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21483" w:rsidTr="00521483">
        <w:tc>
          <w:tcPr>
            <w:tcW w:w="5636" w:type="dxa"/>
          </w:tcPr>
          <w:p w:rsidR="00521483" w:rsidRDefault="00521483" w:rsidP="00521483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  <w:p w:rsidR="00521483" w:rsidRPr="00521483" w:rsidRDefault="00521483" w:rsidP="00521483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521483" w:rsidRDefault="00521483" w:rsidP="00521483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Pr="005214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ГСМ - бензина АИ-92 по топливным картам</w:t>
            </w:r>
          </w:p>
        </w:tc>
      </w:tr>
    </w:tbl>
    <w:p w:rsidR="00521483" w:rsidRDefault="00521483" w:rsidP="00AF080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361A" w:rsidRDefault="007B361A" w:rsidP="00EB35F4">
      <w:pPr>
        <w:spacing w:after="0"/>
        <w:jc w:val="center"/>
        <w:rPr>
          <w:rFonts w:ascii="Times New Roman" w:hAnsi="Times New Roman" w:cs="Times New Roman"/>
          <w:b/>
        </w:rPr>
      </w:pPr>
    </w:p>
    <w:p w:rsidR="00521483" w:rsidRDefault="00521483" w:rsidP="00EB35F4">
      <w:pPr>
        <w:spacing w:after="0"/>
        <w:jc w:val="center"/>
        <w:rPr>
          <w:rFonts w:ascii="Times New Roman" w:hAnsi="Times New Roman" w:cs="Times New Roman"/>
          <w:b/>
        </w:rPr>
      </w:pPr>
    </w:p>
    <w:p w:rsidR="007B361A" w:rsidRDefault="007B361A" w:rsidP="00EB35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:rsidR="00EB35F4" w:rsidRDefault="00EB35F4" w:rsidP="00EB3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5F4" w:rsidRPr="00E93B27" w:rsidRDefault="00EB35F4" w:rsidP="00E93B27">
      <w:pPr>
        <w:pStyle w:val="a5"/>
        <w:numPr>
          <w:ilvl w:val="1"/>
          <w:numId w:val="4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B27">
        <w:rPr>
          <w:rFonts w:ascii="Times New Roman" w:hAnsi="Times New Roman"/>
          <w:b/>
          <w:sz w:val="24"/>
          <w:szCs w:val="24"/>
        </w:rPr>
        <w:t>Общие сведения</w:t>
      </w:r>
    </w:p>
    <w:p w:rsidR="007B361A" w:rsidRPr="00521483" w:rsidRDefault="00521483" w:rsidP="00E93B2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</w:t>
      </w:r>
      <w:r w:rsidR="007B361A" w:rsidRPr="00521483">
        <w:rPr>
          <w:rFonts w:ascii="Times New Roman" w:hAnsi="Times New Roman"/>
          <w:b/>
          <w:sz w:val="24"/>
          <w:szCs w:val="24"/>
        </w:rPr>
        <w:t>бъект</w:t>
      </w:r>
      <w:r>
        <w:rPr>
          <w:rFonts w:ascii="Times New Roman" w:hAnsi="Times New Roman"/>
          <w:b/>
          <w:sz w:val="24"/>
          <w:szCs w:val="24"/>
        </w:rPr>
        <w:t>а</w:t>
      </w:r>
      <w:r w:rsidR="007B361A" w:rsidRPr="00521483">
        <w:rPr>
          <w:rFonts w:ascii="Times New Roman" w:hAnsi="Times New Roman"/>
          <w:b/>
          <w:sz w:val="24"/>
          <w:szCs w:val="24"/>
        </w:rPr>
        <w:t xml:space="preserve"> </w:t>
      </w:r>
      <w:r w:rsidRPr="00521483">
        <w:rPr>
          <w:rFonts w:ascii="Times New Roman" w:hAnsi="Times New Roman"/>
          <w:b/>
          <w:sz w:val="24"/>
          <w:szCs w:val="24"/>
        </w:rPr>
        <w:t>закупки</w:t>
      </w:r>
      <w:r w:rsidR="007B361A" w:rsidRPr="00521483">
        <w:rPr>
          <w:rFonts w:ascii="Times New Roman" w:hAnsi="Times New Roman"/>
          <w:b/>
          <w:sz w:val="24"/>
          <w:szCs w:val="24"/>
        </w:rPr>
        <w:t>:</w:t>
      </w:r>
      <w:r w:rsidR="007B361A" w:rsidRPr="00521483">
        <w:rPr>
          <w:rFonts w:ascii="Times New Roman" w:hAnsi="Times New Roman"/>
          <w:sz w:val="24"/>
          <w:szCs w:val="24"/>
        </w:rPr>
        <w:t xml:space="preserve"> поставка </w:t>
      </w:r>
      <w:r>
        <w:rPr>
          <w:rFonts w:ascii="Times New Roman" w:hAnsi="Times New Roman"/>
          <w:sz w:val="24"/>
          <w:szCs w:val="24"/>
        </w:rPr>
        <w:t>горюче-смазочных материалов (</w:t>
      </w:r>
      <w:r w:rsidR="007B361A" w:rsidRPr="00521483">
        <w:rPr>
          <w:rFonts w:ascii="Times New Roman" w:hAnsi="Times New Roman"/>
          <w:sz w:val="24"/>
          <w:szCs w:val="24"/>
        </w:rPr>
        <w:t>ГСМ</w:t>
      </w:r>
      <w:r>
        <w:rPr>
          <w:rFonts w:ascii="Times New Roman" w:hAnsi="Times New Roman"/>
          <w:sz w:val="24"/>
          <w:szCs w:val="24"/>
        </w:rPr>
        <w:t>)</w:t>
      </w:r>
      <w:r w:rsidR="007B361A" w:rsidRPr="00521483">
        <w:rPr>
          <w:rFonts w:ascii="Times New Roman" w:hAnsi="Times New Roman"/>
          <w:sz w:val="24"/>
          <w:szCs w:val="24"/>
        </w:rPr>
        <w:t xml:space="preserve"> - автомобильного бензина АИ-92 по топливным картам.</w:t>
      </w:r>
    </w:p>
    <w:p w:rsidR="00EB35F4" w:rsidRPr="00EB35F4" w:rsidRDefault="00EB35F4" w:rsidP="00E93B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483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  <w:r w:rsidR="007B361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бластное государственное учреждение </w:t>
      </w:r>
      <w:r w:rsidR="007B361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Пугачевская 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районная станция по борьбе с болезнями животных</w:t>
      </w:r>
      <w:r w:rsidR="007B361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 (ОГУ </w:t>
      </w:r>
      <w:r>
        <w:rPr>
          <w:rFonts w:ascii="Times New Roman" w:eastAsia="Times New Roman" w:hAnsi="Times New Roman" w:cs="Times New Roman"/>
          <w:sz w:val="24"/>
          <w:szCs w:val="24"/>
        </w:rPr>
        <w:t>Пугачевская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 СББЖ), 413</w:t>
      </w:r>
      <w:r>
        <w:rPr>
          <w:rFonts w:ascii="Times New Roman" w:eastAsia="Times New Roman" w:hAnsi="Times New Roman" w:cs="Times New Roman"/>
          <w:sz w:val="24"/>
          <w:szCs w:val="24"/>
        </w:rPr>
        <w:t>720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Саратовская область, 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Пугачев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40 лет Октября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, тел. 8(845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483" w:rsidRPr="00EB35F4" w:rsidRDefault="00521483" w:rsidP="00E93B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Ориентировочная потребность в Товаре на срок действия договора: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>автомобильн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бензин АИ-92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BC2">
        <w:rPr>
          <w:rFonts w:ascii="Times New Roman" w:eastAsia="Times New Roman" w:hAnsi="Times New Roman" w:cs="Times New Roman"/>
          <w:sz w:val="24"/>
          <w:szCs w:val="24"/>
        </w:rPr>
        <w:t>7000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литров.</w:t>
      </w:r>
    </w:p>
    <w:p w:rsidR="00EB35F4" w:rsidRPr="00E93B27" w:rsidRDefault="00EB35F4" w:rsidP="00E93B27">
      <w:pPr>
        <w:pStyle w:val="a5"/>
        <w:numPr>
          <w:ilvl w:val="0"/>
          <w:numId w:val="9"/>
        </w:numPr>
        <w:tabs>
          <w:tab w:val="right" w:pos="1276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B27">
        <w:rPr>
          <w:rFonts w:ascii="Times New Roman" w:hAnsi="Times New Roman"/>
          <w:b/>
          <w:sz w:val="24"/>
          <w:szCs w:val="24"/>
        </w:rPr>
        <w:t>Краткие характеристики поставляемого товара.</w:t>
      </w:r>
    </w:p>
    <w:tbl>
      <w:tblPr>
        <w:tblpPr w:leftFromText="180" w:rightFromText="180" w:vertAnchor="text" w:horzAnchor="margin" w:tblpXSpec="center" w:tblpY="182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5386"/>
        <w:gridCol w:w="918"/>
        <w:gridCol w:w="708"/>
      </w:tblGrid>
      <w:tr w:rsidR="00EB35F4" w:rsidRPr="00EB35F4" w:rsidTr="00375189">
        <w:trPr>
          <w:trHeight w:val="5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Технические характеристики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Ед. изм</w:t>
            </w:r>
            <w:r w:rsidR="003A2DC6" w:rsidRPr="0002634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EB35F4" w:rsidRPr="00EB35F4" w:rsidTr="0002634A">
        <w:trPr>
          <w:trHeight w:val="8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Бензин</w:t>
            </w:r>
          </w:p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2634A">
              <w:rPr>
                <w:rFonts w:ascii="Times New Roman" w:eastAsia="Calibri" w:hAnsi="Times New Roman" w:cs="Times New Roman"/>
              </w:rPr>
              <w:t>автомобильный</w:t>
            </w:r>
            <w:proofErr w:type="gramEnd"/>
            <w:r w:rsidRPr="0002634A">
              <w:rPr>
                <w:rFonts w:ascii="Times New Roman" w:eastAsia="Calibri" w:hAnsi="Times New Roman" w:cs="Times New Roman"/>
              </w:rPr>
              <w:t xml:space="preserve"> АИ-92</w:t>
            </w:r>
            <w:r w:rsidR="003A2DC6" w:rsidRPr="0002634A">
              <w:rPr>
                <w:rFonts w:ascii="Times New Roman" w:eastAsia="Calibri" w:hAnsi="Times New Roman" w:cs="Times New Roman"/>
              </w:rPr>
              <w:t xml:space="preserve"> по топливным картам</w:t>
            </w:r>
          </w:p>
          <w:p w:rsidR="00EB35F4" w:rsidRPr="0002634A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 xml:space="preserve">      Жидкое топливо для использования в двигателях внутреннего сгорания с искровым воспламенением. Октановое число бензина автомобильного по исследовательскому методу должно </w:t>
            </w:r>
            <w:r w:rsidR="0023302F" w:rsidRPr="0002634A">
              <w:rPr>
                <w:rFonts w:ascii="Times New Roman" w:eastAsia="Calibri" w:hAnsi="Times New Roman" w:cs="Times New Roman"/>
              </w:rPr>
              <w:t>быть не менее 92, Класс К5</w:t>
            </w:r>
            <w:r w:rsidR="00521483" w:rsidRPr="0002634A">
              <w:rPr>
                <w:rFonts w:ascii="Times New Roman" w:eastAsia="Calibri" w:hAnsi="Times New Roman" w:cs="Times New Roman"/>
              </w:rPr>
              <w:t>, должен соответствовать:</w:t>
            </w:r>
          </w:p>
          <w:p w:rsidR="00521483" w:rsidRPr="0002634A" w:rsidRDefault="00EB35F4" w:rsidP="00EB35F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 xml:space="preserve">  </w:t>
            </w:r>
            <w:r w:rsidR="00521483" w:rsidRPr="0002634A">
              <w:rPr>
                <w:rFonts w:ascii="Times New Roman" w:eastAsia="Calibri" w:hAnsi="Times New Roman" w:cs="Times New Roman"/>
              </w:rPr>
              <w:t xml:space="preserve">- ГОСТ </w:t>
            </w:r>
            <w:proofErr w:type="gramStart"/>
            <w:r w:rsidR="00521483" w:rsidRPr="0002634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521483" w:rsidRPr="0002634A">
              <w:rPr>
                <w:rFonts w:ascii="Times New Roman" w:eastAsia="Calibri" w:hAnsi="Times New Roman" w:cs="Times New Roman"/>
              </w:rPr>
              <w:t xml:space="preserve"> 51105-97. Государственный стандарт Российской Федерации «Топлива для двигателей внутреннего сгорания. Неэтилированный бензин. Технические условия»</w:t>
            </w:r>
            <w:r w:rsidRPr="0002634A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B35F4" w:rsidRPr="0002634A" w:rsidRDefault="00521483" w:rsidP="0002634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634A">
              <w:rPr>
                <w:rFonts w:ascii="Times New Roman" w:eastAsia="Calibri" w:hAnsi="Times New Roman" w:cs="Times New Roman"/>
              </w:rPr>
              <w:t>-</w:t>
            </w:r>
            <w:r w:rsidR="00EB35F4" w:rsidRPr="0002634A">
              <w:rPr>
                <w:rFonts w:ascii="Times New Roman" w:eastAsia="Times New Roman" w:hAnsi="Times New Roman" w:cs="Times New Roman"/>
              </w:rPr>
              <w:t xml:space="preserve"> Техническ</w:t>
            </w:r>
            <w:r w:rsidRPr="0002634A">
              <w:rPr>
                <w:rFonts w:ascii="Times New Roman" w:eastAsia="Times New Roman" w:hAnsi="Times New Roman" w:cs="Times New Roman"/>
              </w:rPr>
              <w:t>ому</w:t>
            </w:r>
            <w:r w:rsidR="00EB35F4" w:rsidRPr="0002634A">
              <w:rPr>
                <w:rFonts w:ascii="Times New Roman" w:eastAsia="Times New Roman" w:hAnsi="Times New Roman" w:cs="Times New Roman"/>
              </w:rPr>
              <w:t xml:space="preserve"> регламент</w:t>
            </w:r>
            <w:r w:rsidRPr="0002634A">
              <w:rPr>
                <w:rFonts w:ascii="Times New Roman" w:eastAsia="Times New Roman" w:hAnsi="Times New Roman" w:cs="Times New Roman"/>
              </w:rPr>
              <w:t>у</w:t>
            </w:r>
            <w:r w:rsidR="00EB35F4" w:rsidRPr="0002634A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34A">
              <w:rPr>
                <w:rFonts w:ascii="Times New Roman" w:eastAsia="Times New Roman" w:hAnsi="Times New Roman" w:cs="Times New Roman"/>
              </w:rPr>
              <w:t xml:space="preserve">Таможенного союза </w:t>
            </w:r>
            <w:r w:rsidRPr="0002634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2634A">
              <w:rPr>
                <w:rFonts w:ascii="Times New Roman" w:eastAsia="Calibri" w:hAnsi="Times New Roman" w:cs="Times New Roman"/>
              </w:rPr>
              <w:t>ТР</w:t>
            </w:r>
            <w:proofErr w:type="gramEnd"/>
            <w:r w:rsidRPr="0002634A">
              <w:rPr>
                <w:rFonts w:ascii="Times New Roman" w:eastAsia="Calibri" w:hAnsi="Times New Roman" w:cs="Times New Roman"/>
              </w:rPr>
              <w:t xml:space="preserve"> ТС 013/2011</w:t>
            </w:r>
            <w:r w:rsidRPr="0002634A">
              <w:rPr>
                <w:rFonts w:ascii="Times New Roman" w:eastAsia="Times New Roman" w:hAnsi="Times New Roman" w:cs="Times New Roman"/>
              </w:rPr>
              <w:t xml:space="preserve"> </w:t>
            </w:r>
            <w:r w:rsidR="00EB35F4" w:rsidRPr="0002634A">
              <w:rPr>
                <w:rFonts w:ascii="Times New Roman" w:eastAsia="Times New Roman" w:hAnsi="Times New Roman" w:cs="Times New Roman"/>
              </w:rPr>
              <w:t>«</w:t>
            </w:r>
            <w:r w:rsidR="00EB35F4" w:rsidRPr="0002634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О требованиях к автомобильному и авиационному</w:t>
            </w:r>
            <w:r w:rsidR="00EB35F4" w:rsidRPr="0002634A">
              <w:rPr>
                <w:rFonts w:ascii="Times New Roman" w:eastAsia="Times New Roman" w:hAnsi="Times New Roman" w:cs="Times New Roman"/>
              </w:rPr>
              <w:t xml:space="preserve"> </w:t>
            </w:r>
            <w:r w:rsidR="00EB35F4" w:rsidRPr="0002634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бензину, дизельному и судовому топливу,</w:t>
            </w:r>
            <w:r w:rsidR="00EB35F4" w:rsidRPr="0002634A">
              <w:rPr>
                <w:rFonts w:ascii="Times New Roman" w:eastAsia="Times New Roman" w:hAnsi="Times New Roman" w:cs="Times New Roman"/>
              </w:rPr>
              <w:t xml:space="preserve"> </w:t>
            </w:r>
            <w:r w:rsidR="00EB35F4" w:rsidRPr="0002634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топливу для реактивных двигателей и мазуту</w:t>
            </w:r>
            <w:r w:rsidR="00EB35F4" w:rsidRPr="0002634A">
              <w:rPr>
                <w:rFonts w:ascii="Times New Roman" w:eastAsia="Calibri" w:hAnsi="Times New Roman" w:cs="Times New Roman"/>
              </w:rPr>
              <w:t>»</w:t>
            </w:r>
            <w:r w:rsidR="00EB35F4" w:rsidRPr="0002634A">
              <w:rPr>
                <w:rFonts w:ascii="Times New Roman" w:eastAsia="Calibri" w:hAnsi="Times New Roman" w:cs="Times New Roman"/>
                <w:b/>
              </w:rPr>
              <w:t>,</w:t>
            </w:r>
            <w:r w:rsidR="00EB35F4" w:rsidRPr="0002634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23302F" w:rsidRPr="0002634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2634A">
              <w:rPr>
                <w:rFonts w:ascii="Times New Roman" w:eastAsia="Calibri" w:hAnsi="Times New Roman" w:cs="Times New Roman"/>
                <w:bCs/>
              </w:rPr>
              <w:t xml:space="preserve">утвержденного Решением Таможенного союза от 18.10.2011 № 826 и требованиям технического регламента, </w:t>
            </w:r>
            <w:r w:rsidR="00EB35F4" w:rsidRPr="0002634A">
              <w:rPr>
                <w:rFonts w:ascii="Times New Roman" w:eastAsia="Calibri" w:hAnsi="Times New Roman" w:cs="Times New Roman"/>
                <w:bCs/>
              </w:rPr>
              <w:t>утвержденного Постановлением Правител</w:t>
            </w:r>
            <w:r w:rsidR="0002634A" w:rsidRPr="0002634A">
              <w:rPr>
                <w:rFonts w:ascii="Times New Roman" w:eastAsia="Calibri" w:hAnsi="Times New Roman" w:cs="Times New Roman"/>
                <w:bCs/>
              </w:rPr>
              <w:t xml:space="preserve">ьства РФ от 27.02.2008 г. № 118 </w:t>
            </w:r>
            <w:r w:rsidR="0002634A" w:rsidRPr="0002634A">
              <w:rPr>
                <w:rFonts w:ascii="Times New Roman" w:eastAsia="Times New Roman" w:hAnsi="Times New Roman" w:cs="Times New Roman"/>
              </w:rPr>
              <w:t>«</w:t>
            </w:r>
            <w:r w:rsidR="0002634A" w:rsidRPr="0002634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О требованиях к автомобильному и авиационному</w:t>
            </w:r>
            <w:r w:rsidR="0002634A" w:rsidRPr="0002634A">
              <w:rPr>
                <w:rFonts w:ascii="Times New Roman" w:eastAsia="Times New Roman" w:hAnsi="Times New Roman" w:cs="Times New Roman"/>
              </w:rPr>
              <w:t xml:space="preserve"> </w:t>
            </w:r>
            <w:r w:rsidR="0002634A" w:rsidRPr="0002634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бензину, дизельному и судовому топливу,</w:t>
            </w:r>
            <w:r w:rsidR="0002634A" w:rsidRPr="0002634A">
              <w:rPr>
                <w:rFonts w:ascii="Times New Roman" w:eastAsia="Times New Roman" w:hAnsi="Times New Roman" w:cs="Times New Roman"/>
              </w:rPr>
              <w:t xml:space="preserve"> </w:t>
            </w:r>
            <w:r w:rsidR="0002634A" w:rsidRPr="0002634A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топливу для реактивных двигателей и мазуту</w:t>
            </w:r>
            <w:r w:rsidR="0002634A" w:rsidRPr="0002634A">
              <w:rPr>
                <w:rFonts w:ascii="Times New Roman" w:eastAsia="Calibri" w:hAnsi="Times New Roman" w:cs="Times New Roman"/>
                <w:bCs/>
              </w:rPr>
              <w:t>», а также сертификату соответствия на Товар и паспортам качества.</w:t>
            </w:r>
            <w:r w:rsidR="00EB35F4" w:rsidRPr="0002634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2634A" w:rsidRPr="0002634A" w:rsidRDefault="0002634A" w:rsidP="0002634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2634A">
              <w:rPr>
                <w:rFonts w:ascii="Times New Roman" w:eastAsia="Calibri" w:hAnsi="Times New Roman" w:cs="Times New Roman"/>
                <w:bCs/>
              </w:rPr>
              <w:t>Качество ГСМ должно соответствовать ГОСТам и ТУ на данный товар, подтверждаться действующими сертификатами соответствия РФ, паспортом качества, выданным заводом-изготовителем.</w:t>
            </w:r>
          </w:p>
          <w:p w:rsidR="0002634A" w:rsidRPr="0002634A" w:rsidRDefault="0002634A" w:rsidP="000263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34A">
              <w:rPr>
                <w:rFonts w:ascii="Times New Roman" w:eastAsia="Calibri" w:hAnsi="Times New Roman" w:cs="Times New Roman"/>
                <w:bCs/>
              </w:rPr>
              <w:t>Товар должен отвечать требованиям безопасности жизни и здоровья, а также иным требованиям, предъявляемым действующим законодательством Российской Федерации.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Литр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BD2BC2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7</w:t>
            </w:r>
            <w:r w:rsidR="00EB35F4" w:rsidRPr="0002634A">
              <w:rPr>
                <w:rFonts w:ascii="Times New Roman" w:eastAsia="Calibri" w:hAnsi="Times New Roman" w:cs="Times New Roman"/>
              </w:rPr>
              <w:t>000</w:t>
            </w:r>
          </w:p>
        </w:tc>
      </w:tr>
    </w:tbl>
    <w:p w:rsidR="00EB35F4" w:rsidRPr="00EB35F4" w:rsidRDefault="004C6978" w:rsidP="00EB35F4">
      <w:pPr>
        <w:widowControl w:val="0"/>
        <w:tabs>
          <w:tab w:val="left" w:pos="788"/>
        </w:tabs>
        <w:suppressAutoHyphens/>
        <w:spacing w:after="12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</w:t>
      </w:r>
      <w:r w:rsidR="00EB35F4" w:rsidRPr="00EB35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Обязанности Поставщика</w:t>
      </w:r>
    </w:p>
    <w:p w:rsidR="00EB35F4" w:rsidRPr="00EB35F4" w:rsidRDefault="00EB35F4" w:rsidP="00627B30">
      <w:pPr>
        <w:keepNext/>
        <w:keepLines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При выдаче карт </w:t>
      </w:r>
      <w:r w:rsidR="005757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Покупателю</w:t>
      </w: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Поставщик должен произвести регистрацию </w:t>
      </w:r>
      <w:r w:rsidR="005757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Покупателя</w:t>
      </w: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в своей учетной системе и предоставить удаленное рабочее место, где </w:t>
      </w:r>
      <w:r w:rsidR="005757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Покупателю</w:t>
      </w: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должна  предоставляться:</w:t>
      </w:r>
    </w:p>
    <w:p w:rsidR="00EB35F4" w:rsidRPr="00EB35F4" w:rsidRDefault="00080BB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возможность удаленного пополнение карт, а так же  изменения лимитов;</w:t>
      </w:r>
    </w:p>
    <w:p w:rsidR="00EB35F4" w:rsidRPr="00EB35F4" w:rsidRDefault="00080BB4" w:rsidP="00627B30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достоверная информация о текущих остатках на картах, данные об остатках зафиксированных объемов поставок по действующему </w:t>
      </w:r>
      <w:r w:rsidR="009A5B0B">
        <w:rPr>
          <w:rFonts w:ascii="Times New Roman" w:eastAsia="Arial" w:hAnsi="Times New Roman" w:cs="Times New Roman"/>
          <w:sz w:val="24"/>
          <w:szCs w:val="24"/>
          <w:lang w:eastAsia="ar-SA"/>
        </w:rPr>
        <w:t>Договору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операции по картам в ценах по действующему </w:t>
      </w:r>
      <w:r w:rsidR="009A5B0B">
        <w:rPr>
          <w:rFonts w:ascii="Times New Roman" w:eastAsia="Arial" w:hAnsi="Times New Roman" w:cs="Times New Roman"/>
          <w:sz w:val="24"/>
          <w:szCs w:val="24"/>
          <w:lang w:eastAsia="ar-SA"/>
        </w:rPr>
        <w:t>Договору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EB35F4" w:rsidRPr="00EB35F4" w:rsidRDefault="00EB35F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обязан обеспечить возможность реализовать </w:t>
      </w:r>
      <w:r w:rsidR="005757E1"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Покупателю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все произведенные удаленные (отложенные) пополнения и изменения лимитов на свои карты на всех АЗС без каких-либо ограничений по общему списку АЗС к договору.</w:t>
      </w:r>
    </w:p>
    <w:p w:rsidR="00EB35F4" w:rsidRDefault="00EB35F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должен </w:t>
      </w:r>
      <w:r w:rsidR="005757E1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обеспечить для Покупателя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возможность беспрепятственно</w:t>
      </w:r>
      <w:r w:rsidR="007B361A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круглосуточно, без выходных дней получать нефтепродукты на АЗС. Заправка по топливным картам должна производиться на АЗС, </w:t>
      </w:r>
      <w:proofErr w:type="gramStart"/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расположенных</w:t>
      </w:r>
      <w:proofErr w:type="gramEnd"/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Российской Федерации, г. Пугачева, г. Саратова и Саратовской области</w:t>
      </w:r>
      <w:r w:rsidR="00080BB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EB35F4" w:rsidRPr="00EB35F4" w:rsidRDefault="00EB35F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обязан произвести пополнение карт по заявке </w:t>
      </w:r>
      <w:r w:rsidR="005757E1"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полный объем зафиксированного контрактом количества литров без ограничений.</w:t>
      </w:r>
    </w:p>
    <w:p w:rsidR="00EB35F4" w:rsidRPr="00EB35F4" w:rsidRDefault="005757E1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Покупатель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имеет право не оплачивать продукцию, поставленную сверх объема, который превышает стоимость настоящего гражданско-правового договора (договора).</w:t>
      </w:r>
    </w:p>
    <w:p w:rsidR="00EB35F4" w:rsidRPr="00BD2BC2" w:rsidRDefault="00EB35F4" w:rsidP="00627B3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Электронные топливные карты должны быть изготовлены из пластика, быть номерными. Количество топливных карт – 10  штук.</w:t>
      </w:r>
    </w:p>
    <w:p w:rsidR="00EB35F4" w:rsidRPr="00BD2BC2" w:rsidRDefault="00EB35F4" w:rsidP="00627B3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поставки топливных карт: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 предоставляет </w:t>
      </w:r>
      <w:r w:rsidR="005757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Покупателю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топливные карты в течение 2 (двух) рабочих дней </w:t>
      </w:r>
      <w:proofErr w:type="gramStart"/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договора.</w:t>
      </w:r>
    </w:p>
    <w:p w:rsidR="00EB35F4" w:rsidRPr="00EB35F4" w:rsidRDefault="00EB35F4" w:rsidP="00627B3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Место поставки пластиковых топливных карт: </w:t>
      </w:r>
      <w:proofErr w:type="gramStart"/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Саратовская область, г.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Пугачев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40 лет Октября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190 (бухгалтерия)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</w:p>
    <w:p w:rsidR="001426E2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6E2" w:rsidRPr="001426E2" w:rsidRDefault="001426E2" w:rsidP="001426E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Начал</w:t>
      </w:r>
      <w:r w:rsidR="004C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 максимальная цена договора</w:t>
      </w:r>
    </w:p>
    <w:p w:rsidR="001426E2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 составляет 323 540,00 (триста двадцать три тысячи пятьсот сорок) рублей 00 копеек (с учетом НДС).</w:t>
      </w:r>
    </w:p>
    <w:p w:rsidR="001426E2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все расходы поставщика, связанные с исполнением договора, а также стоимость ГСМ, затраты на изготовление и обслуживание топливных смарт-карт (в количестве 10 штук), информационные услуги, все расходы по оформлению необходимой документации, в том числе расходы на страхование, расходы, связанные с уплатой всех пошлин, налогов (в том числе НДС), сборов и других обязательных платежей в соответствии с законодательства Российской Федерации</w:t>
      </w:r>
    </w:p>
    <w:p w:rsidR="007A302B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и порядок оплаты -  Безналичная форма оплаты в рублях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за Товар производятся </w:t>
      </w:r>
      <w:r w:rsidR="005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фактически поставленный Поставщиком Товар, в течение 10 (десяти)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оформленной счета-фактуры, товарной накладной и счета на оплату, выставленных Поставщиком за отчетный период (календарный месяц). Отчетные документы направляются Поставщиком не позднее 3 (трех) рабочих дней с даты выставления.</w:t>
      </w:r>
    </w:p>
    <w:p w:rsidR="004C6978" w:rsidRDefault="004C6978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78" w:rsidRPr="004C6978" w:rsidRDefault="004C6978" w:rsidP="004C6978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78">
        <w:rPr>
          <w:rFonts w:ascii="Times New Roman" w:hAnsi="Times New Roman"/>
          <w:b/>
          <w:sz w:val="24"/>
          <w:szCs w:val="24"/>
        </w:rPr>
        <w:t xml:space="preserve">Срок </w:t>
      </w:r>
      <w:r>
        <w:rPr>
          <w:rFonts w:ascii="Times New Roman" w:hAnsi="Times New Roman"/>
          <w:b/>
          <w:sz w:val="24"/>
          <w:szCs w:val="24"/>
        </w:rPr>
        <w:t>(период) поставки Товара</w:t>
      </w:r>
    </w:p>
    <w:p w:rsidR="00627B30" w:rsidRPr="00627B30" w:rsidRDefault="00627B30" w:rsidP="00627B30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Срок  поставки товара: Товар должен быть доставлен силами Поставщика до места заправки АЗС с момента заключения договора  в срок  до 3</w:t>
      </w:r>
      <w:r>
        <w:rPr>
          <w:rFonts w:ascii="Times New Roman" w:hAnsi="Times New Roman"/>
          <w:sz w:val="24"/>
          <w:szCs w:val="24"/>
        </w:rPr>
        <w:t>1</w:t>
      </w:r>
      <w:r w:rsidRPr="00627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627B30">
        <w:rPr>
          <w:rFonts w:ascii="Times New Roman" w:hAnsi="Times New Roman"/>
          <w:sz w:val="24"/>
          <w:szCs w:val="24"/>
        </w:rPr>
        <w:t xml:space="preserve"> 2020 года. </w:t>
      </w:r>
    </w:p>
    <w:p w:rsidR="00C5135A" w:rsidRDefault="00C5135A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978" w:rsidRPr="004C6978" w:rsidRDefault="004C6978" w:rsidP="004C6978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78">
        <w:rPr>
          <w:rFonts w:ascii="Times New Roman" w:hAnsi="Times New Roman"/>
          <w:b/>
          <w:sz w:val="24"/>
          <w:szCs w:val="24"/>
        </w:rPr>
        <w:t>Требования к гарантийному сроку товара и/или объему предоставления гаран</w:t>
      </w:r>
      <w:r>
        <w:rPr>
          <w:rFonts w:ascii="Times New Roman" w:hAnsi="Times New Roman"/>
          <w:b/>
          <w:sz w:val="24"/>
          <w:szCs w:val="24"/>
        </w:rPr>
        <w:t>тий их качества</w:t>
      </w:r>
    </w:p>
    <w:p w:rsidR="004C6978" w:rsidRPr="004C6978" w:rsidRDefault="004C6978" w:rsidP="004C6978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978">
        <w:rPr>
          <w:rFonts w:ascii="Times New Roman" w:hAnsi="Times New Roman"/>
          <w:sz w:val="24"/>
          <w:szCs w:val="24"/>
        </w:rPr>
        <w:t>Поставщик гарантирует качество ГСМ на момент отпуска, претензии по качеству принимаются не позднее 3-х дней с момента заправки.</w:t>
      </w:r>
    </w:p>
    <w:p w:rsidR="004C6978" w:rsidRDefault="004C6978" w:rsidP="004C6978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C6978">
        <w:rPr>
          <w:rFonts w:ascii="Times New Roman" w:hAnsi="Times New Roman"/>
          <w:sz w:val="24"/>
          <w:szCs w:val="24"/>
        </w:rPr>
        <w:lastRenderedPageBreak/>
        <w:t xml:space="preserve">В случае выявления несоответствия качества поставляемого ГСМ условиям договора, </w:t>
      </w:r>
      <w:r w:rsidR="005757E1">
        <w:rPr>
          <w:rFonts w:ascii="Times New Roman" w:hAnsi="Times New Roman"/>
          <w:sz w:val="24"/>
          <w:szCs w:val="24"/>
        </w:rPr>
        <w:t>Покупатель</w:t>
      </w:r>
      <w:r w:rsidRPr="004C6978">
        <w:rPr>
          <w:rFonts w:ascii="Times New Roman" w:hAnsi="Times New Roman"/>
          <w:sz w:val="24"/>
          <w:szCs w:val="24"/>
        </w:rPr>
        <w:t xml:space="preserve"> вправе обращаться в органы государственного контроля и экспертные организации с целью определения качества и проведения экспертизы ГСМ.</w:t>
      </w:r>
      <w:bookmarkEnd w:id="0"/>
    </w:p>
    <w:p w:rsidR="004C6978" w:rsidRPr="004C6978" w:rsidRDefault="004C6978" w:rsidP="004C6978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C6978" w:rsidRPr="004C6978" w:rsidRDefault="004C6978" w:rsidP="004C6978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78">
        <w:rPr>
          <w:rFonts w:ascii="Times New Roman" w:hAnsi="Times New Roman"/>
          <w:b/>
          <w:sz w:val="24"/>
          <w:szCs w:val="24"/>
        </w:rPr>
        <w:t>Требования к форме предоставляемой информации</w:t>
      </w:r>
    </w:p>
    <w:p w:rsidR="00C5135A" w:rsidRPr="004C6978" w:rsidRDefault="004C6978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64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(одного) рабочего дня </w:t>
      </w:r>
      <w:proofErr w:type="gramStart"/>
      <w:r w:rsidR="00644E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64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договора/контракта,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предоставить список АЗС с указанием месторасположения, где принимаются к оплате за ГСМ топливные карты Поставщика</w:t>
      </w:r>
      <w:r w:rsidR="005D0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бумажном либо электронном носителе.</w:t>
      </w:r>
    </w:p>
    <w:p w:rsidR="00C5135A" w:rsidRPr="00996266" w:rsidRDefault="00C5135A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35A" w:rsidRPr="00996266" w:rsidRDefault="00C5135A" w:rsidP="007B361A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962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9626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 использовании товаров-эквивалентов участник  закупки должен указать товарный знак и технические характеристики данного товара, при этом использование слов «не более», «не менее», «от», «до» не допускается.</w:t>
      </w:r>
    </w:p>
    <w:p w:rsidR="005D0C5A" w:rsidRDefault="005D0C5A" w:rsidP="007B361A">
      <w:pPr>
        <w:tabs>
          <w:tab w:val="left" w:pos="1276"/>
        </w:tabs>
        <w:ind w:firstLine="567"/>
      </w:pPr>
    </w:p>
    <w:p w:rsidR="006C2E70" w:rsidRPr="00A36ADD" w:rsidRDefault="005D0C5A" w:rsidP="007B361A">
      <w:pPr>
        <w:tabs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36AD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D0C5A" w:rsidRPr="00A36ADD" w:rsidRDefault="005D0C5A" w:rsidP="007B361A">
      <w:pPr>
        <w:tabs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36ADD">
        <w:rPr>
          <w:rFonts w:ascii="Times New Roman" w:hAnsi="Times New Roman" w:cs="Times New Roman"/>
          <w:sz w:val="24"/>
          <w:szCs w:val="24"/>
        </w:rPr>
        <w:t>Инженер-механик ______________________ Филатов П.С.</w:t>
      </w:r>
    </w:p>
    <w:sectPr w:rsidR="005D0C5A" w:rsidRPr="00A36ADD" w:rsidSect="004C6978">
      <w:footerReference w:type="default" r:id="rId8"/>
      <w:pgSz w:w="11906" w:h="16838"/>
      <w:pgMar w:top="993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2A" w:rsidRDefault="003E482A" w:rsidP="00E93B27">
      <w:pPr>
        <w:spacing w:after="0" w:line="240" w:lineRule="auto"/>
      </w:pPr>
      <w:r>
        <w:separator/>
      </w:r>
    </w:p>
  </w:endnote>
  <w:endnote w:type="continuationSeparator" w:id="0">
    <w:p w:rsidR="003E482A" w:rsidRDefault="003E482A" w:rsidP="00E9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5491"/>
      <w:docPartObj>
        <w:docPartGallery w:val="Page Numbers (Bottom of Page)"/>
        <w:docPartUnique/>
      </w:docPartObj>
    </w:sdtPr>
    <w:sdtEndPr/>
    <w:sdtContent>
      <w:p w:rsidR="00E93B27" w:rsidRDefault="00E93B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E8C">
          <w:rPr>
            <w:noProof/>
          </w:rPr>
          <w:t>3</w:t>
        </w:r>
        <w:r>
          <w:fldChar w:fldCharType="end"/>
        </w:r>
      </w:p>
    </w:sdtContent>
  </w:sdt>
  <w:p w:rsidR="00E93B27" w:rsidRDefault="00E93B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2A" w:rsidRDefault="003E482A" w:rsidP="00E93B27">
      <w:pPr>
        <w:spacing w:after="0" w:line="240" w:lineRule="auto"/>
      </w:pPr>
      <w:r>
        <w:separator/>
      </w:r>
    </w:p>
  </w:footnote>
  <w:footnote w:type="continuationSeparator" w:id="0">
    <w:p w:rsidR="003E482A" w:rsidRDefault="003E482A" w:rsidP="00E9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7C6"/>
    <w:multiLevelType w:val="multilevel"/>
    <w:tmpl w:val="1B109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2D2D2D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65CC8"/>
    <w:multiLevelType w:val="multilevel"/>
    <w:tmpl w:val="5DFC18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3">
    <w:nsid w:val="40B80D28"/>
    <w:multiLevelType w:val="hybridMultilevel"/>
    <w:tmpl w:val="25129144"/>
    <w:lvl w:ilvl="0" w:tplc="E286C1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367B0E"/>
    <w:multiLevelType w:val="hybridMultilevel"/>
    <w:tmpl w:val="E758AC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C10A9"/>
    <w:multiLevelType w:val="multilevel"/>
    <w:tmpl w:val="A5AE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8060863"/>
    <w:multiLevelType w:val="hybridMultilevel"/>
    <w:tmpl w:val="9174ABF2"/>
    <w:lvl w:ilvl="0" w:tplc="C4543C0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05945A5"/>
    <w:multiLevelType w:val="hybridMultilevel"/>
    <w:tmpl w:val="7D8E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7815"/>
    <w:multiLevelType w:val="hybridMultilevel"/>
    <w:tmpl w:val="2DEC0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2634A"/>
    <w:rsid w:val="00036E4C"/>
    <w:rsid w:val="00057CC7"/>
    <w:rsid w:val="00080BB4"/>
    <w:rsid w:val="000902D3"/>
    <w:rsid w:val="000F0511"/>
    <w:rsid w:val="00141D7A"/>
    <w:rsid w:val="001426E2"/>
    <w:rsid w:val="001A40AE"/>
    <w:rsid w:val="001E0DFA"/>
    <w:rsid w:val="0023302F"/>
    <w:rsid w:val="00253C23"/>
    <w:rsid w:val="002E5978"/>
    <w:rsid w:val="00305007"/>
    <w:rsid w:val="003105F3"/>
    <w:rsid w:val="003A116B"/>
    <w:rsid w:val="003A2DC6"/>
    <w:rsid w:val="003E482A"/>
    <w:rsid w:val="0041524A"/>
    <w:rsid w:val="00483672"/>
    <w:rsid w:val="00494C1A"/>
    <w:rsid w:val="004B35FB"/>
    <w:rsid w:val="004C6978"/>
    <w:rsid w:val="00520E48"/>
    <w:rsid w:val="00521483"/>
    <w:rsid w:val="00540502"/>
    <w:rsid w:val="00544D73"/>
    <w:rsid w:val="00560AA4"/>
    <w:rsid w:val="005757E1"/>
    <w:rsid w:val="00587615"/>
    <w:rsid w:val="005D0C5A"/>
    <w:rsid w:val="0061313B"/>
    <w:rsid w:val="00627B30"/>
    <w:rsid w:val="00644E8C"/>
    <w:rsid w:val="00653890"/>
    <w:rsid w:val="00691D51"/>
    <w:rsid w:val="006C2E70"/>
    <w:rsid w:val="007656F9"/>
    <w:rsid w:val="00785D63"/>
    <w:rsid w:val="007A302B"/>
    <w:rsid w:val="007B361A"/>
    <w:rsid w:val="008B1C63"/>
    <w:rsid w:val="009A5B0B"/>
    <w:rsid w:val="009D6537"/>
    <w:rsid w:val="00A36ADD"/>
    <w:rsid w:val="00A65B69"/>
    <w:rsid w:val="00AC196A"/>
    <w:rsid w:val="00AF0809"/>
    <w:rsid w:val="00B00CF4"/>
    <w:rsid w:val="00BD2BC2"/>
    <w:rsid w:val="00C251D3"/>
    <w:rsid w:val="00C34ADA"/>
    <w:rsid w:val="00C5135A"/>
    <w:rsid w:val="00CC1C7F"/>
    <w:rsid w:val="00D76EF0"/>
    <w:rsid w:val="00D93685"/>
    <w:rsid w:val="00E93B27"/>
    <w:rsid w:val="00EB35F4"/>
    <w:rsid w:val="00F041FA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27"/>
  </w:style>
  <w:style w:type="paragraph" w:styleId="aa">
    <w:name w:val="footer"/>
    <w:basedOn w:val="a"/>
    <w:link w:val="ab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27"/>
  </w:style>
  <w:style w:type="paragraph" w:styleId="aa">
    <w:name w:val="footer"/>
    <w:basedOn w:val="a"/>
    <w:link w:val="ab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27</cp:revision>
  <cp:lastPrinted>2019-05-16T11:49:00Z</cp:lastPrinted>
  <dcterms:created xsi:type="dcterms:W3CDTF">2019-03-29T07:02:00Z</dcterms:created>
  <dcterms:modified xsi:type="dcterms:W3CDTF">2020-05-28T07:55:00Z</dcterms:modified>
</cp:coreProperties>
</file>