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7C2316">
            <w:pPr>
              <w:autoSpaceDE w:val="0"/>
              <w:autoSpaceDN w:val="0"/>
              <w:adjustRightInd w:val="0"/>
              <w:ind w:left="34"/>
              <w:jc w:val="right"/>
              <w:rPr>
                <w:b/>
                <w:bCs/>
                <w:lang w:eastAsia="en-US"/>
              </w:rPr>
            </w:pPr>
            <w:r>
              <w:rPr>
                <w:bCs/>
              </w:rPr>
              <w:t xml:space="preserve">на поставку </w:t>
            </w:r>
            <w:r w:rsidR="007C2316">
              <w:rPr>
                <w:lang w:eastAsia="zh-CN"/>
              </w:rPr>
              <w:t>офисной мебели</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r>
              <w:t>выражает свое согласие исполнить условия договора, указанные в извещении о проведении запроса котировок в электронной форме, а</w:t>
            </w:r>
            <w:bookmarkStart w:id="0" w:name="_GoBack"/>
            <w:bookmarkEnd w:id="0"/>
            <w:r>
              <w:t xml:space="preserve">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 xml:space="preserve">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402"/>
        <w:gridCol w:w="1980"/>
      </w:tblGrid>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402"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143B95">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790"/>
        <w:gridCol w:w="1134"/>
        <w:gridCol w:w="1418"/>
        <w:gridCol w:w="2268"/>
      </w:tblGrid>
      <w:tr w:rsidR="00602CD1" w:rsidRPr="00602CD1" w:rsidTr="00143B95">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4790"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134"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143B95">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4790"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43B95"/>
    <w:rsid w:val="00164437"/>
    <w:rsid w:val="00223ED4"/>
    <w:rsid w:val="00237BB7"/>
    <w:rsid w:val="002B5057"/>
    <w:rsid w:val="002C3806"/>
    <w:rsid w:val="003F0C4A"/>
    <w:rsid w:val="0043391E"/>
    <w:rsid w:val="00442014"/>
    <w:rsid w:val="004E0BA0"/>
    <w:rsid w:val="005477ED"/>
    <w:rsid w:val="00602CD1"/>
    <w:rsid w:val="00606475"/>
    <w:rsid w:val="00764C41"/>
    <w:rsid w:val="007C2316"/>
    <w:rsid w:val="008A632E"/>
    <w:rsid w:val="008B1462"/>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14</cp:revision>
  <cp:lastPrinted>2019-04-01T12:55:00Z</cp:lastPrinted>
  <dcterms:created xsi:type="dcterms:W3CDTF">2019-03-29T07:00:00Z</dcterms:created>
  <dcterms:modified xsi:type="dcterms:W3CDTF">2020-06-09T12:30:00Z</dcterms:modified>
</cp:coreProperties>
</file>