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6CB">
      <w:pPr>
        <w:pStyle w:val="messagecaption"/>
      </w:pPr>
      <w:r>
        <w:t>ПРОТОКОЛ РАССМОТРЕНИЯ И ОЦЕНКИ КОТИРОВОЧНЫХ ЗАЯВОК</w:t>
      </w:r>
      <w:r w:rsidR="00CB217C">
        <w:t xml:space="preserve"> №16/2020</w:t>
      </w:r>
    </w:p>
    <w:p w:rsidR="00000000" w:rsidRDefault="008E66CB">
      <w:pPr>
        <w:pStyle w:val="centered"/>
      </w:pPr>
      <w:r>
        <w:rPr>
          <w:b/>
        </w:rPr>
        <w:t>(в редакции № 1)</w:t>
      </w:r>
    </w:p>
    <w:p w:rsidR="00000000" w:rsidRDefault="008E66CB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26 ноября 2020 года</w:t>
      </w:r>
    </w:p>
    <w:p w:rsidR="00000000" w:rsidRDefault="008E66CB">
      <w:pPr>
        <w:pStyle w:val="text"/>
      </w:pPr>
    </w:p>
    <w:p w:rsidR="00000000" w:rsidRDefault="008E66CB">
      <w:pPr>
        <w:pStyle w:val="variable"/>
      </w:pPr>
      <w:r>
        <w:t>Номер процедуры:</w:t>
      </w:r>
      <w:r>
        <w:rPr>
          <w:b w:val="0"/>
        </w:rPr>
        <w:t xml:space="preserve"> 0118720008DP</w:t>
      </w:r>
    </w:p>
    <w:p w:rsidR="00000000" w:rsidRDefault="008E66CB" w:rsidP="00CB217C">
      <w:pPr>
        <w:pStyle w:val="variable"/>
      </w:pPr>
      <w:r>
        <w:t>Реестровый номер (ЕИС):</w:t>
      </w:r>
      <w:r>
        <w:rPr>
          <w:b w:val="0"/>
        </w:rPr>
        <w:t xml:space="preserve"> 32009690243</w:t>
      </w:r>
    </w:p>
    <w:p w:rsidR="00000000" w:rsidRDefault="008E66CB">
      <w:pPr>
        <w:pStyle w:val="centered"/>
      </w:pPr>
      <w:r>
        <w:rPr>
          <w:b/>
        </w:rPr>
        <w:t>I. Общие п</w:t>
      </w:r>
      <w:r>
        <w:rPr>
          <w:b/>
        </w:rPr>
        <w:t>оложения</w:t>
      </w:r>
    </w:p>
    <w:p w:rsidR="00000000" w:rsidRDefault="008E66CB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форме.</w:t>
      </w:r>
    </w:p>
    <w:p w:rsidR="00000000" w:rsidRDefault="008E66CB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</w:t>
      </w:r>
      <w:r>
        <w:rPr>
          <w:b w:val="0"/>
        </w:rPr>
        <w:t>1020202088532).</w:t>
      </w:r>
    </w:p>
    <w:p w:rsidR="00000000" w:rsidRDefault="008E66CB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8E66CB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8E66CB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</w:t>
      </w:r>
      <w:r>
        <w:rPr>
          <w:b w:val="0"/>
        </w:rPr>
        <w:t>ЕЖДЕНИЕ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8E66CB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8E66CB">
      <w:pPr>
        <w:pStyle w:val="text"/>
      </w:pPr>
      <w:r>
        <w:t xml:space="preserve">Почтовый </w:t>
      </w:r>
      <w:r>
        <w:t xml:space="preserve">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8E66CB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8E66CB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</w:t>
      </w:r>
      <w:r>
        <w:rPr>
          <w:b w:val="0"/>
        </w:rPr>
        <w:t>ниченной ответственностью "РЕГИОН" (ИНН: 0278160590, КПП: 027601001, ОГРН: 1090280022777).</w:t>
      </w:r>
    </w:p>
    <w:p w:rsidR="00000000" w:rsidRDefault="008E66CB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8E66CB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8E66CB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8E66CB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</w:t>
      </w:r>
      <w:r>
        <w:rPr>
          <w:b w:val="0"/>
        </w:rPr>
        <w:br/>
        <w:t>Мяса говядины 1 категории (замороженного) и мяса кур (охлажденного)</w:t>
      </w:r>
      <w:r>
        <w:rPr>
          <w:b w:val="0"/>
        </w:rPr>
        <w:br/>
      </w:r>
    </w:p>
    <w:p w:rsidR="00000000" w:rsidRDefault="008E66CB">
      <w:pPr>
        <w:pStyle w:val="variable"/>
      </w:pPr>
      <w:r>
        <w:t>Предмет дого</w:t>
      </w:r>
      <w:r>
        <w:t>вора (лота):</w:t>
      </w:r>
      <w:r>
        <w:rPr>
          <w:b w:val="0"/>
        </w:rPr>
        <w:t xml:space="preserve"> Поставка продуктов питания:</w:t>
      </w:r>
    </w:p>
    <w:p w:rsidR="00000000" w:rsidRDefault="008E66CB">
      <w:pPr>
        <w:pStyle w:val="text"/>
      </w:pPr>
      <w:r>
        <w:br/>
        <w:t>Мяса говядины 1 категории (замороженного) и мяса кур (охлажденного).</w:t>
      </w:r>
    </w:p>
    <w:p w:rsidR="00000000" w:rsidRDefault="008E66CB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649"/>
        <w:gridCol w:w="1526"/>
        <w:gridCol w:w="2794"/>
        <w:gridCol w:w="2254"/>
      </w:tblGrid>
      <w:tr w:rsidR="00000000" w:rsidRPr="00CB217C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Pr="00CB217C" w:rsidRDefault="008E66CB">
            <w:pPr>
              <w:pStyle w:val="TableContents"/>
              <w:jc w:val="center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17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217C">
              <w:rPr>
                <w:b/>
                <w:sz w:val="20"/>
                <w:szCs w:val="20"/>
              </w:rPr>
              <w:t>/</w:t>
            </w:r>
            <w:proofErr w:type="spellStart"/>
            <w:r w:rsidRPr="00CB217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Pr="00CB217C" w:rsidRDefault="008E66CB">
            <w:pPr>
              <w:pStyle w:val="TableContents"/>
              <w:jc w:val="center"/>
              <w:rPr>
                <w:sz w:val="20"/>
                <w:szCs w:val="20"/>
              </w:rPr>
            </w:pPr>
            <w:r w:rsidRPr="00CB2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Pr="00CB217C" w:rsidRDefault="008E66CB">
            <w:pPr>
              <w:pStyle w:val="TableContents"/>
              <w:jc w:val="center"/>
              <w:rPr>
                <w:sz w:val="20"/>
                <w:szCs w:val="20"/>
              </w:rPr>
            </w:pPr>
            <w:r w:rsidRPr="00CB217C">
              <w:rPr>
                <w:b/>
                <w:sz w:val="20"/>
                <w:szCs w:val="20"/>
              </w:rPr>
              <w:t>Количество (ед. измерения)</w:t>
            </w:r>
          </w:p>
        </w:tc>
        <w:tc>
          <w:tcPr>
            <w:tcW w:w="279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Pr="00CB217C" w:rsidRDefault="008E66CB">
            <w:pPr>
              <w:pStyle w:val="TableContents"/>
              <w:jc w:val="center"/>
              <w:rPr>
                <w:sz w:val="20"/>
                <w:szCs w:val="20"/>
              </w:rPr>
            </w:pPr>
            <w:r w:rsidRPr="00CB217C">
              <w:rPr>
                <w:b/>
                <w:sz w:val="20"/>
                <w:szCs w:val="20"/>
              </w:rPr>
              <w:t>Код ОКПД 2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Pr="00CB217C" w:rsidRDefault="008E66CB">
            <w:pPr>
              <w:pStyle w:val="TableContents"/>
              <w:jc w:val="center"/>
              <w:rPr>
                <w:sz w:val="20"/>
                <w:szCs w:val="20"/>
              </w:rPr>
            </w:pPr>
            <w:r w:rsidRPr="00CB217C">
              <w:rPr>
                <w:b/>
                <w:sz w:val="20"/>
                <w:szCs w:val="20"/>
              </w:rPr>
              <w:t>Код ОКВЭД 2</w:t>
            </w:r>
          </w:p>
        </w:tc>
      </w:tr>
      <w:tr w:rsidR="00000000" w:rsidRPr="00CB217C">
        <w:tc>
          <w:tcPr>
            <w:tcW w:w="41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Говядина замороженная</w:t>
            </w:r>
          </w:p>
        </w:tc>
        <w:tc>
          <w:tcPr>
            <w:tcW w:w="15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765 (Килограмм</w:t>
            </w:r>
            <w:r w:rsidRPr="00CB217C">
              <w:rPr>
                <w:sz w:val="20"/>
                <w:szCs w:val="20"/>
              </w:rPr>
              <w:t>)</w:t>
            </w:r>
          </w:p>
        </w:tc>
        <w:tc>
          <w:tcPr>
            <w:tcW w:w="27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10.11.31.110: Говядина замороженная</w:t>
            </w:r>
          </w:p>
        </w:tc>
        <w:tc>
          <w:tcPr>
            <w:tcW w:w="22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10.11.3: Производство мяса и пищевых субпродуктов в замороженном виде</w:t>
            </w:r>
          </w:p>
        </w:tc>
      </w:tr>
      <w:tr w:rsidR="00000000" w:rsidRPr="00CB217C">
        <w:tc>
          <w:tcPr>
            <w:tcW w:w="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Мясо кур, в том числе цыплят (включая цыплят-бройлеров) охлажденное</w:t>
            </w:r>
          </w:p>
        </w:tc>
        <w:tc>
          <w:tcPr>
            <w:tcW w:w="152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167 (Килограмм)</w:t>
            </w:r>
          </w:p>
        </w:tc>
        <w:tc>
          <w:tcPr>
            <w:tcW w:w="2794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10.12.10.110: Мясо кур, в том числе цыплят (включая цыплят-бр</w:t>
            </w:r>
            <w:r w:rsidRPr="00CB217C">
              <w:rPr>
                <w:sz w:val="20"/>
                <w:szCs w:val="20"/>
              </w:rPr>
              <w:t>ойлеров) охлажденное</w:t>
            </w:r>
          </w:p>
        </w:tc>
        <w:tc>
          <w:tcPr>
            <w:tcW w:w="22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Pr="00CB217C" w:rsidRDefault="008E66CB">
            <w:pPr>
              <w:pStyle w:val="TableContents"/>
              <w:rPr>
                <w:sz w:val="20"/>
                <w:szCs w:val="20"/>
              </w:rPr>
            </w:pPr>
            <w:r w:rsidRPr="00CB217C">
              <w:rPr>
                <w:sz w:val="20"/>
                <w:szCs w:val="20"/>
              </w:rPr>
              <w:t>10.12.1: Производство мяса птицы в охлажденном виде</w:t>
            </w:r>
          </w:p>
        </w:tc>
      </w:tr>
    </w:tbl>
    <w:p w:rsidR="00000000" w:rsidRDefault="008E66CB">
      <w:pPr>
        <w:pStyle w:val="text"/>
      </w:pPr>
    </w:p>
    <w:p w:rsidR="00000000" w:rsidRDefault="008E66CB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Говядина замороженная: 765 Килограмм, Мясо кур, в том числе цыплят (включая цыплят-бройлеров) охлажденно</w:t>
      </w:r>
      <w:r>
        <w:rPr>
          <w:b w:val="0"/>
        </w:rPr>
        <w:t>е: 167 Килограмм.</w:t>
      </w:r>
    </w:p>
    <w:p w:rsidR="00000000" w:rsidRDefault="008E66CB">
      <w:pPr>
        <w:pStyle w:val="variable"/>
      </w:pPr>
      <w:r>
        <w:lastRenderedPageBreak/>
        <w:t>Начальная (максимальная) цена договора (лота):</w:t>
      </w:r>
      <w:r>
        <w:rPr>
          <w:b w:val="0"/>
        </w:rPr>
        <w:t xml:space="preserve"> 266 440.55 руб.</w:t>
      </w:r>
    </w:p>
    <w:p w:rsidR="00000000" w:rsidRDefault="008E66CB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18 ноября 2020 года по 25 ноября 2020 года.</w:t>
      </w:r>
    </w:p>
    <w:p w:rsidR="00000000" w:rsidRDefault="008E66CB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8E66CB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8E66CB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8E66CB">
      <w:pPr>
        <w:pStyle w:val="variable"/>
      </w:pPr>
      <w:r>
        <w:t>Размер, срок и порядок внесения платы за предоставление документации о за</w:t>
      </w:r>
      <w:r>
        <w:t>купке:</w:t>
      </w:r>
      <w:r>
        <w:rPr>
          <w:b w:val="0"/>
        </w:rPr>
        <w:t xml:space="preserve"> плата не установлена.</w:t>
      </w:r>
    </w:p>
    <w:p w:rsidR="00000000" w:rsidRDefault="008E66CB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8E66CB">
      <w:pPr>
        <w:pStyle w:val="variable"/>
      </w:pPr>
      <w:r>
        <w:t>Дата и время начала подачи заявок:</w:t>
      </w:r>
      <w:r>
        <w:rPr>
          <w:b w:val="0"/>
        </w:rPr>
        <w:t xml:space="preserve"> 18 ноября 2020 года в 00:00 MCK+2.</w:t>
      </w:r>
    </w:p>
    <w:p w:rsidR="00000000" w:rsidRDefault="008E66CB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25 ноября 2020 года в 10:00 MCK+2.</w:t>
      </w:r>
    </w:p>
    <w:p w:rsidR="00000000" w:rsidRDefault="008E66CB">
      <w:pPr>
        <w:pStyle w:val="variable"/>
      </w:pPr>
      <w:r>
        <w:t>Место, дата и время рас</w:t>
      </w:r>
      <w:r>
        <w:t>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25 ноября 2020 года в 10:05 MCK+2.</w:t>
      </w:r>
    </w:p>
    <w:p w:rsidR="00000000" w:rsidRDefault="008E66CB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27</w:t>
      </w:r>
      <w:r>
        <w:rPr>
          <w:b w:val="0"/>
        </w:rPr>
        <w:t xml:space="preserve"> ноября 2020 года в 16:00 MCK+2.</w:t>
      </w:r>
    </w:p>
    <w:p w:rsidR="00000000" w:rsidRDefault="008E66CB">
      <w:pPr>
        <w:pStyle w:val="text"/>
      </w:pPr>
    </w:p>
    <w:p w:rsidR="00000000" w:rsidRDefault="008E66CB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8E66CB" w:rsidP="00CB217C">
      <w:pPr>
        <w:pStyle w:val="variable"/>
      </w:pPr>
      <w:r>
        <w:t>Сведения об участниках, подавших заявки на участие в закупке:</w:t>
      </w:r>
      <w:r>
        <w:rPr>
          <w:b w:val="0"/>
        </w:rPr>
        <w:t xml:space="preserve"> не подано ни одной заявки.</w:t>
      </w:r>
    </w:p>
    <w:p w:rsidR="00000000" w:rsidRDefault="008E66CB" w:rsidP="00CB217C">
      <w:pPr>
        <w:pStyle w:val="variable"/>
      </w:pPr>
      <w:r>
        <w:t>Сведения об участниках, допущенных к участию в закупке:</w:t>
      </w:r>
      <w:r>
        <w:rPr>
          <w:b w:val="0"/>
        </w:rPr>
        <w:t xml:space="preserve"> допущенные заявки отсутствуют</w:t>
      </w:r>
      <w:r>
        <w:rPr>
          <w:b w:val="0"/>
        </w:rPr>
        <w:t>.</w:t>
      </w:r>
    </w:p>
    <w:p w:rsidR="00000000" w:rsidRDefault="008E66CB" w:rsidP="00CB217C">
      <w:pPr>
        <w:pStyle w:val="variable"/>
      </w:pPr>
      <w:r>
        <w:t>Сведения об участниках, которым отказано в допуске к участию в закупке с указанием причин отклонения: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8E66CB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8E66CB">
      <w:pPr>
        <w:pStyle w:val="variable"/>
      </w:pPr>
      <w:r>
        <w:t>Сведения о принятом на основании подведения итогов закупки реше</w:t>
      </w:r>
      <w:r>
        <w:t>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  <w:r>
        <w:rPr>
          <w:b w:val="0"/>
        </w:rPr>
        <w:t xml:space="preserve"> не подано ни одной заявки на участие в закупке.</w:t>
      </w:r>
    </w:p>
    <w:p w:rsidR="00000000" w:rsidRDefault="008E66CB">
      <w:pPr>
        <w:pStyle w:val="text"/>
      </w:pPr>
    </w:p>
    <w:p w:rsidR="00000000" w:rsidRDefault="008E66CB">
      <w:r>
        <w:rPr>
          <w:b/>
        </w:rPr>
        <w:t>Сведения об участниках закупки, которым присвоены перв</w:t>
      </w:r>
      <w:r>
        <w:rPr>
          <w:b/>
        </w:rPr>
        <w:t>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75"/>
        <w:gridCol w:w="4362"/>
      </w:tblGrid>
      <w:tr w:rsidR="00000000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E66CB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6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E66CB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отсутствует</w:t>
            </w:r>
          </w:p>
        </w:tc>
        <w:tc>
          <w:tcPr>
            <w:tcW w:w="4362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отсутствует</w:t>
            </w:r>
          </w:p>
        </w:tc>
      </w:tr>
    </w:tbl>
    <w:p w:rsidR="00000000" w:rsidRDefault="008E66CB">
      <w:pPr>
        <w:pStyle w:val="text"/>
      </w:pPr>
    </w:p>
    <w:p w:rsidR="00000000" w:rsidRDefault="008E66CB">
      <w:pPr>
        <w:pStyle w:val="centered"/>
      </w:pPr>
      <w:r>
        <w:rPr>
          <w:b/>
        </w:rPr>
        <w:t>IV. Сведения о признании закупки несостоявшейся</w:t>
      </w:r>
    </w:p>
    <w:p w:rsidR="00000000" w:rsidRDefault="008E66CB">
      <w:pPr>
        <w:pStyle w:val="text"/>
      </w:pPr>
      <w:r>
        <w:t>Не подана н</w:t>
      </w:r>
      <w:r w:rsidR="00CB217C">
        <w:t>и</w:t>
      </w:r>
      <w:r>
        <w:t xml:space="preserve"> одна котировочная за</w:t>
      </w:r>
      <w:r>
        <w:t>явка</w:t>
      </w:r>
    </w:p>
    <w:p w:rsidR="00000000" w:rsidRDefault="008E66CB">
      <w:pPr>
        <w:pStyle w:val="centered"/>
      </w:pPr>
      <w:r>
        <w:rPr>
          <w:b/>
        </w:rPr>
        <w:t>V. Дополнительные сведения</w:t>
      </w:r>
    </w:p>
    <w:p w:rsidR="00000000" w:rsidRDefault="008E66CB">
      <w:pPr>
        <w:pStyle w:val="text"/>
      </w:pPr>
      <w:r>
        <w:t>На основании результатов рассмотрения заявок на соответствие требованиям, установленным в документации к закупке, признать процедуру не состоявшейся. Комиссией принято решение провести закупку у единственного поставщика.</w:t>
      </w:r>
    </w:p>
    <w:p w:rsidR="00000000" w:rsidRDefault="008E66CB">
      <w:pPr>
        <w:pStyle w:val="text"/>
      </w:pPr>
    </w:p>
    <w:p w:rsidR="00000000" w:rsidRDefault="008E66CB">
      <w:r>
        <w:rPr>
          <w:b/>
        </w:rPr>
        <w:t>С</w:t>
      </w:r>
      <w:r>
        <w:rPr>
          <w:b/>
        </w:rPr>
        <w:t>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5"/>
        <w:gridCol w:w="4971"/>
        <w:gridCol w:w="1761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E66CB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61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8E66CB">
            <w:pPr>
              <w:pStyle w:val="TableContents"/>
            </w:pPr>
            <w:r>
              <w:t> </w:t>
            </w:r>
          </w:p>
        </w:tc>
      </w:tr>
    </w:tbl>
    <w:p w:rsidR="008E66CB" w:rsidRDefault="008E66CB">
      <w:pPr>
        <w:pStyle w:val="text"/>
      </w:pPr>
    </w:p>
    <w:sectPr w:rsidR="008E66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217C"/>
    <w:rsid w:val="008E66CB"/>
    <w:rsid w:val="00CB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1601-01-01T00:00:00Z</cp:lastPrinted>
  <dcterms:created xsi:type="dcterms:W3CDTF">2020-11-26T09:11:00Z</dcterms:created>
  <dcterms:modified xsi:type="dcterms:W3CDTF">2020-11-26T09:11:00Z</dcterms:modified>
</cp:coreProperties>
</file>