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4C" w:rsidRDefault="00044D76" w:rsidP="00223AF8">
      <w:pPr>
        <w:jc w:val="center"/>
        <w:rPr>
          <w:b/>
          <w:sz w:val="22"/>
          <w:szCs w:val="22"/>
        </w:rPr>
      </w:pPr>
      <w:r>
        <w:t xml:space="preserve">Обоснование начальной (максимальной) цены </w:t>
      </w:r>
      <w:r w:rsidR="00DA12D6">
        <w:t>договора</w:t>
      </w:r>
      <w:r w:rsidR="00FF1B89">
        <w:t xml:space="preserve"> </w:t>
      </w:r>
      <w:r>
        <w:br/>
      </w:r>
      <w:r w:rsidR="00223AF8" w:rsidRPr="00380E1E">
        <w:rPr>
          <w:b/>
          <w:sz w:val="22"/>
          <w:szCs w:val="22"/>
        </w:rPr>
        <w:t>на поставку канцелярских товаров для нужд МУЭТ г. Уфы</w:t>
      </w:r>
    </w:p>
    <w:p w:rsidR="00223AF8" w:rsidRPr="00223AF8" w:rsidRDefault="00223AF8" w:rsidP="00223AF8">
      <w:pPr>
        <w:jc w:val="center"/>
        <w:rPr>
          <w:b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9"/>
        <w:gridCol w:w="7570"/>
      </w:tblGrid>
      <w:tr w:rsidR="00044D76" w:rsidTr="007655BA">
        <w:trPr>
          <w:trHeight w:val="355"/>
        </w:trPr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44D76" w:rsidRPr="00C609B4" w:rsidRDefault="00044D76" w:rsidP="004B5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09B4">
              <w:rPr>
                <w:sz w:val="20"/>
                <w:szCs w:val="20"/>
              </w:rPr>
              <w:t xml:space="preserve">Основные характеристики </w:t>
            </w:r>
            <w:r w:rsidR="004B5896">
              <w:rPr>
                <w:sz w:val="20"/>
                <w:szCs w:val="20"/>
              </w:rPr>
              <w:t>предмета</w:t>
            </w:r>
            <w:r w:rsidRPr="00C609B4">
              <w:rPr>
                <w:sz w:val="20"/>
                <w:szCs w:val="20"/>
              </w:rPr>
              <w:t xml:space="preserve"> закупки   </w:t>
            </w: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44D76" w:rsidRPr="006275E0" w:rsidRDefault="006275E0" w:rsidP="004B5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75E0">
              <w:rPr>
                <w:iCs/>
                <w:sz w:val="20"/>
                <w:szCs w:val="20"/>
              </w:rPr>
              <w:t xml:space="preserve">Функциональные, технические и качественные характеристикам товара, эксплуатационные характеристики </w:t>
            </w:r>
            <w:r w:rsidR="004B5896">
              <w:rPr>
                <w:iCs/>
                <w:sz w:val="20"/>
                <w:szCs w:val="20"/>
              </w:rPr>
              <w:t>предмета</w:t>
            </w:r>
            <w:r w:rsidRPr="006275E0">
              <w:rPr>
                <w:iCs/>
                <w:sz w:val="20"/>
                <w:szCs w:val="20"/>
              </w:rPr>
              <w:t xml:space="preserve"> закупки (при необходимости), информация о количестве товара и показатели, позволяющие определить соответствие закупаемого товара установленным заказчиком требованиям, приведены в </w:t>
            </w:r>
            <w:r w:rsidR="00C104FB">
              <w:rPr>
                <w:iCs/>
                <w:sz w:val="20"/>
                <w:szCs w:val="20"/>
              </w:rPr>
              <w:t>р</w:t>
            </w:r>
            <w:r w:rsidR="004B5896">
              <w:rPr>
                <w:iCs/>
                <w:sz w:val="20"/>
                <w:szCs w:val="20"/>
              </w:rPr>
              <w:t>азделе «Описание предмета</w:t>
            </w:r>
            <w:r w:rsidRPr="006275E0">
              <w:rPr>
                <w:iCs/>
                <w:sz w:val="20"/>
                <w:szCs w:val="20"/>
              </w:rPr>
              <w:t xml:space="preserve"> закупки» </w:t>
            </w:r>
            <w:r w:rsidR="006D78B0">
              <w:rPr>
                <w:iCs/>
                <w:sz w:val="20"/>
                <w:szCs w:val="20"/>
              </w:rPr>
              <w:t xml:space="preserve">настоящего </w:t>
            </w:r>
            <w:r w:rsidR="004B5896">
              <w:rPr>
                <w:iCs/>
                <w:sz w:val="20"/>
                <w:szCs w:val="20"/>
              </w:rPr>
              <w:t>открытого аукциона</w:t>
            </w:r>
            <w:r w:rsidR="006D78B0">
              <w:rPr>
                <w:iCs/>
                <w:sz w:val="20"/>
                <w:szCs w:val="20"/>
              </w:rPr>
              <w:t xml:space="preserve"> в электронной форме.</w:t>
            </w:r>
          </w:p>
        </w:tc>
      </w:tr>
      <w:tr w:rsidR="00044D76" w:rsidTr="007655BA">
        <w:trPr>
          <w:trHeight w:val="1642"/>
        </w:trPr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44D76" w:rsidRPr="00C609B4" w:rsidRDefault="00044D76" w:rsidP="00DA12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09B4">
              <w:rPr>
                <w:sz w:val="20"/>
                <w:szCs w:val="20"/>
              </w:rPr>
              <w:t>Используемый метод определения НМЦ</w:t>
            </w:r>
            <w:r w:rsidR="00DA12D6">
              <w:rPr>
                <w:sz w:val="20"/>
                <w:szCs w:val="20"/>
              </w:rPr>
              <w:t>Д</w:t>
            </w:r>
            <w:r w:rsidRPr="00C609B4">
              <w:rPr>
                <w:sz w:val="20"/>
                <w:szCs w:val="20"/>
              </w:rPr>
              <w:t xml:space="preserve"> с обоснованием:      </w:t>
            </w: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66B8" w:rsidRPr="00CC66B8" w:rsidRDefault="00CC66B8" w:rsidP="006D5B14">
            <w:pPr>
              <w:rPr>
                <w:sz w:val="20"/>
              </w:rPr>
            </w:pPr>
            <w:r w:rsidRPr="00CC66B8">
              <w:rPr>
                <w:sz w:val="20"/>
              </w:rPr>
              <w:t>НМЦ</w:t>
            </w:r>
            <w:r w:rsidR="00DA12D6">
              <w:rPr>
                <w:sz w:val="20"/>
              </w:rPr>
              <w:t>Д</w:t>
            </w:r>
            <w:r w:rsidRPr="00CC66B8">
              <w:rPr>
                <w:sz w:val="20"/>
              </w:rPr>
              <w:t xml:space="preserve"> была определена методом сопоставимых рыночных цен (анализа рынка) в соответствии с приказом Минэкономразвития России № 567 от 02.10.2013 «Об утверждении методических рекомендаций по применению методов определения (начальной) максимальной цены, цены контракта, заключаемого с единственным поставщиком (подрядчиком, исполнителем)».</w:t>
            </w:r>
          </w:p>
          <w:p w:rsidR="00044D76" w:rsidRPr="00C609B4" w:rsidRDefault="00CC66B8" w:rsidP="006D5B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66B8">
              <w:rPr>
                <w:sz w:val="20"/>
              </w:rPr>
              <w:t>Метод сопоставимых рыночных цен (анализа рынка) является приоритетным для</w:t>
            </w:r>
            <w:r w:rsidR="002B0ECB">
              <w:rPr>
                <w:sz w:val="20"/>
              </w:rPr>
              <w:t xml:space="preserve"> определения и обоснования НМЦ</w:t>
            </w:r>
            <w:r w:rsidR="00DA12D6">
              <w:rPr>
                <w:sz w:val="20"/>
              </w:rPr>
              <w:t>Д</w:t>
            </w:r>
            <w:r w:rsidR="005858AF">
              <w:rPr>
                <w:sz w:val="20"/>
              </w:rPr>
              <w:t>.</w:t>
            </w:r>
          </w:p>
        </w:tc>
      </w:tr>
      <w:tr w:rsidR="00044D76" w:rsidTr="007655BA"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44D76" w:rsidRPr="00C609B4" w:rsidRDefault="00044D76" w:rsidP="00DA12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09B4">
              <w:rPr>
                <w:sz w:val="20"/>
                <w:szCs w:val="20"/>
              </w:rPr>
              <w:t>Расчет НМЦ</w:t>
            </w:r>
            <w:r w:rsidR="00DA12D6">
              <w:rPr>
                <w:sz w:val="20"/>
                <w:szCs w:val="20"/>
              </w:rPr>
              <w:t>Д</w:t>
            </w:r>
            <w:r w:rsidRPr="00C60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44D76" w:rsidRPr="00C609B4" w:rsidRDefault="00324FAE" w:rsidP="00324F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  <w:r w:rsidR="009D0196" w:rsidRPr="009D019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089</w:t>
            </w:r>
            <w:r w:rsidR="00D863E1" w:rsidRPr="009D0196">
              <w:rPr>
                <w:sz w:val="20"/>
                <w:szCs w:val="20"/>
              </w:rPr>
              <w:t xml:space="preserve"> </w:t>
            </w:r>
            <w:r w:rsidR="00D863E1" w:rsidRPr="009D0196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рублей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56</w:t>
            </w:r>
            <w:r w:rsidR="00D863E1" w:rsidRPr="009D0196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копеек</w:t>
            </w:r>
          </w:p>
        </w:tc>
      </w:tr>
    </w:tbl>
    <w:p w:rsidR="00FF1B89" w:rsidRPr="00122D20" w:rsidRDefault="00FF1B89" w:rsidP="009E7C0A">
      <w:pPr>
        <w:widowControl w:val="0"/>
        <w:autoSpaceDE w:val="0"/>
        <w:autoSpaceDN w:val="0"/>
        <w:adjustRightInd w:val="0"/>
      </w:pPr>
    </w:p>
    <w:p w:rsidR="00DA12D6" w:rsidRDefault="00CC66B8" w:rsidP="009E7C0A">
      <w:pPr>
        <w:widowControl w:val="0"/>
        <w:autoSpaceDE w:val="0"/>
        <w:autoSpaceDN w:val="0"/>
        <w:adjustRightInd w:val="0"/>
        <w:rPr>
          <w:sz w:val="20"/>
        </w:rPr>
      </w:pPr>
      <w:r w:rsidRPr="00122D20">
        <w:rPr>
          <w:b/>
          <w:sz w:val="20"/>
        </w:rPr>
        <w:t xml:space="preserve">Расчет начальной (максимальной) цены </w:t>
      </w:r>
      <w:r w:rsidR="00DA12D6">
        <w:rPr>
          <w:b/>
          <w:sz w:val="20"/>
        </w:rPr>
        <w:t>договора</w:t>
      </w:r>
      <w:r w:rsidRPr="00C94D39">
        <w:rPr>
          <w:sz w:val="20"/>
        </w:rPr>
        <w:t xml:space="preserve"> производится по формуле:</w:t>
      </w:r>
    </w:p>
    <w:p w:rsidR="00E142E6" w:rsidRPr="00DA12D6" w:rsidRDefault="00DA12D6" w:rsidP="009E7C0A">
      <w:pPr>
        <w:widowControl w:val="0"/>
        <w:autoSpaceDE w:val="0"/>
        <w:autoSpaceDN w:val="0"/>
        <w:adjustRightInd w:val="0"/>
        <w:rPr>
          <w:sz w:val="20"/>
        </w:rPr>
      </w:pPr>
      <w:r w:rsidRPr="00DA12D6">
        <w:rPr>
          <w:position w:val="6"/>
          <w:sz w:val="20"/>
          <w:szCs w:val="20"/>
        </w:rPr>
        <w:t xml:space="preserve">НМЦД </w:t>
      </w:r>
      <w:proofErr w:type="spellStart"/>
      <w:r w:rsidRPr="00DA12D6">
        <w:rPr>
          <w:position w:val="6"/>
          <w:sz w:val="20"/>
          <w:szCs w:val="20"/>
          <w:vertAlign w:val="superscript"/>
        </w:rPr>
        <w:t>рын</w:t>
      </w:r>
      <w:proofErr w:type="spellEnd"/>
      <w:r w:rsidR="009E7C0A" w:rsidRPr="000622DF">
        <w:rPr>
          <w:sz w:val="20"/>
          <w:szCs w:val="20"/>
        </w:rPr>
        <w:t xml:space="preserve"> </w:t>
      </w:r>
      <w:r w:rsidR="000D06E4" w:rsidRPr="000622DF">
        <w:rPr>
          <w:noProof/>
          <w:sz w:val="20"/>
          <w:szCs w:val="20"/>
        </w:rPr>
        <w:drawing>
          <wp:inline distT="0" distB="0" distL="0" distR="0" wp14:anchorId="1DE1C772" wp14:editId="79AD359B">
            <wp:extent cx="1081376" cy="3578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41339"/>
                    <a:stretch/>
                  </pic:blipFill>
                  <pic:spPr bwMode="auto">
                    <a:xfrm>
                      <a:off x="0" y="0"/>
                      <a:ext cx="1115170" cy="3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2D6" w:rsidRPr="000622DF" w:rsidRDefault="009E7C0A" w:rsidP="009E7C0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622DF">
        <w:rPr>
          <w:sz w:val="20"/>
          <w:szCs w:val="20"/>
        </w:rPr>
        <w:t>где:</w:t>
      </w:r>
    </w:p>
    <w:p w:rsidR="00CC66B8" w:rsidRDefault="00DA12D6" w:rsidP="00CC66B8">
      <w:pPr>
        <w:widowControl w:val="0"/>
        <w:autoSpaceDE w:val="0"/>
        <w:autoSpaceDN w:val="0"/>
        <w:adjustRightInd w:val="0"/>
        <w:rPr>
          <w:sz w:val="20"/>
        </w:rPr>
      </w:pPr>
      <w:r w:rsidRPr="00830AE5">
        <w:rPr>
          <w:sz w:val="20"/>
          <w:szCs w:val="20"/>
        </w:rPr>
        <w:t xml:space="preserve">НМЦД </w:t>
      </w:r>
      <w:proofErr w:type="spellStart"/>
      <w:r w:rsidRPr="00830AE5">
        <w:rPr>
          <w:sz w:val="20"/>
          <w:szCs w:val="20"/>
          <w:vertAlign w:val="superscript"/>
        </w:rPr>
        <w:t>рын</w:t>
      </w:r>
      <w:proofErr w:type="spellEnd"/>
      <w:r w:rsidRPr="000622DF">
        <w:rPr>
          <w:sz w:val="20"/>
          <w:szCs w:val="20"/>
        </w:rPr>
        <w:t xml:space="preserve"> </w:t>
      </w:r>
      <w:r w:rsidR="009E7C0A" w:rsidRPr="000622DF">
        <w:rPr>
          <w:sz w:val="20"/>
          <w:szCs w:val="20"/>
        </w:rPr>
        <w:t xml:space="preserve">- </w:t>
      </w:r>
      <w:r w:rsidR="00CC66B8" w:rsidRPr="00C94D39">
        <w:rPr>
          <w:sz w:val="20"/>
        </w:rPr>
        <w:t xml:space="preserve">начальная (максимальная) цена </w:t>
      </w:r>
      <w:r w:rsidR="00830AE5">
        <w:rPr>
          <w:sz w:val="20"/>
        </w:rPr>
        <w:t>договора</w:t>
      </w:r>
      <w:r w:rsidR="00CC66B8" w:rsidRPr="00C94D39">
        <w:rPr>
          <w:sz w:val="20"/>
        </w:rPr>
        <w:t>,  определяемая методом сопоставимых рыночных цен (анализа рынка);</w:t>
      </w:r>
    </w:p>
    <w:p w:rsidR="00CC66B8" w:rsidRPr="00CC66B8" w:rsidRDefault="00CC66B8" w:rsidP="00CC66B8">
      <w:pPr>
        <w:pStyle w:val="Style20"/>
        <w:jc w:val="both"/>
        <w:rPr>
          <w:rFonts w:ascii="Times New Roman" w:hAnsi="Times New Roman" w:cs="Times New Roman"/>
          <w:sz w:val="20"/>
          <w:szCs w:val="24"/>
        </w:rPr>
      </w:pPr>
      <w:r w:rsidRPr="00CC66B8">
        <w:rPr>
          <w:rFonts w:ascii="Times New Roman" w:hAnsi="Times New Roman" w:cs="Times New Roman"/>
          <w:sz w:val="20"/>
          <w:lang w:val="en-US"/>
        </w:rPr>
        <w:t>v</w:t>
      </w:r>
      <w:r w:rsidRPr="00CC66B8">
        <w:rPr>
          <w:rFonts w:ascii="Times New Roman" w:hAnsi="Times New Roman" w:cs="Times New Roman"/>
          <w:sz w:val="20"/>
        </w:rPr>
        <w:t xml:space="preserve"> - </w:t>
      </w:r>
      <w:proofErr w:type="gramStart"/>
      <w:r w:rsidRPr="00CC66B8">
        <w:rPr>
          <w:rFonts w:ascii="Times New Roman" w:hAnsi="Times New Roman" w:cs="Times New Roman"/>
          <w:sz w:val="20"/>
          <w:szCs w:val="24"/>
        </w:rPr>
        <w:t>количество</w:t>
      </w:r>
      <w:proofErr w:type="gramEnd"/>
      <w:r w:rsidRPr="00CC66B8">
        <w:rPr>
          <w:rFonts w:ascii="Times New Roman" w:hAnsi="Times New Roman" w:cs="Times New Roman"/>
          <w:sz w:val="20"/>
          <w:szCs w:val="24"/>
        </w:rPr>
        <w:t xml:space="preserve"> закупаемого товара (работы, услуги);</w:t>
      </w:r>
    </w:p>
    <w:p w:rsidR="00CC66B8" w:rsidRPr="00C94D39" w:rsidRDefault="00CC66B8" w:rsidP="00CC66B8">
      <w:pPr>
        <w:pStyle w:val="Style20"/>
        <w:jc w:val="both"/>
        <w:rPr>
          <w:sz w:val="20"/>
          <w:szCs w:val="24"/>
        </w:rPr>
      </w:pPr>
      <w:r w:rsidRPr="00CC66B8">
        <w:rPr>
          <w:rFonts w:ascii="Times New Roman" w:hAnsi="Times New Roman" w:cs="Times New Roman"/>
          <w:sz w:val="20"/>
          <w:szCs w:val="24"/>
        </w:rPr>
        <w:t>n – количество значений, используемых в расчете;</w:t>
      </w:r>
    </w:p>
    <w:p w:rsidR="00CC66B8" w:rsidRPr="00CC66B8" w:rsidRDefault="00CC66B8" w:rsidP="00CC66B8">
      <w:pPr>
        <w:widowControl w:val="0"/>
        <w:autoSpaceDE w:val="0"/>
        <w:autoSpaceDN w:val="0"/>
        <w:adjustRightInd w:val="0"/>
        <w:rPr>
          <w:sz w:val="20"/>
        </w:rPr>
      </w:pPr>
      <w:r w:rsidRPr="00C94D39">
        <w:rPr>
          <w:sz w:val="20"/>
        </w:rPr>
        <w:t>i – номер источника ценовой информации;</w:t>
      </w:r>
    </w:p>
    <w:p w:rsidR="000622DF" w:rsidRDefault="008D400F" w:rsidP="009E7C0A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</w:rPr>
        <w:pict>
          <v:shape id="_x0000_i1026" type="#_x0000_t75" style="width:11.5pt;height:17.5pt;visibility:visible;mso-wrap-style:square" o:bullet="t">
            <v:imagedata r:id="rId10" o:title=""/>
          </v:shape>
        </w:pict>
      </w:r>
      <w:r w:rsidR="000622DF" w:rsidRPr="000622DF">
        <w:rPr>
          <w:sz w:val="20"/>
          <w:szCs w:val="20"/>
        </w:rPr>
        <w:t xml:space="preserve">   - </w:t>
      </w:r>
      <w:r w:rsidR="00CC66B8" w:rsidRPr="00C94D39">
        <w:rPr>
          <w:sz w:val="20"/>
        </w:rPr>
        <w:t>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услуг,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CC66B8" w:rsidRDefault="00CC66B8" w:rsidP="00CC66B8">
      <w:pPr>
        <w:pStyle w:val="Style20"/>
        <w:jc w:val="both"/>
        <w:rPr>
          <w:rFonts w:ascii="Times New Roman" w:hAnsi="Times New Roman" w:cs="Times New Roman"/>
          <w:sz w:val="20"/>
          <w:szCs w:val="24"/>
        </w:rPr>
      </w:pPr>
    </w:p>
    <w:p w:rsidR="00CC66B8" w:rsidRPr="00CC66B8" w:rsidRDefault="00CC66B8" w:rsidP="00CC66B8">
      <w:pPr>
        <w:pStyle w:val="Style20"/>
        <w:jc w:val="both"/>
        <w:rPr>
          <w:rFonts w:ascii="Times New Roman" w:hAnsi="Times New Roman" w:cs="Times New Roman"/>
          <w:sz w:val="20"/>
          <w:szCs w:val="24"/>
        </w:rPr>
      </w:pPr>
      <w:r w:rsidRPr="00CC66B8">
        <w:rPr>
          <w:rFonts w:ascii="Times New Roman" w:hAnsi="Times New Roman" w:cs="Times New Roman"/>
          <w:sz w:val="20"/>
          <w:szCs w:val="24"/>
        </w:rPr>
        <w:t>1. Среднее значение цены, полученной из анализа ценовой информации:</w:t>
      </w:r>
    </w:p>
    <w:p w:rsidR="00CC66B8" w:rsidRPr="00CC66B8" w:rsidRDefault="00CC66B8" w:rsidP="00CC66B8">
      <w:pPr>
        <w:pStyle w:val="Style20"/>
        <w:jc w:val="both"/>
        <w:rPr>
          <w:rFonts w:ascii="Times New Roman" w:hAnsi="Times New Roman" w:cs="Times New Roman"/>
          <w:sz w:val="20"/>
          <w:szCs w:val="24"/>
        </w:rPr>
      </w:pPr>
      <w:r w:rsidRPr="00CC66B8">
        <w:rPr>
          <w:rFonts w:ascii="Times New Roman" w:hAnsi="Times New Roman" w:cs="Times New Roman"/>
          <w:sz w:val="20"/>
          <w:szCs w:val="20"/>
        </w:rPr>
        <w:t>&lt;ц&gt;</w:t>
      </w:r>
      <w:r>
        <w:rPr>
          <w:sz w:val="20"/>
          <w:szCs w:val="20"/>
        </w:rPr>
        <w:t xml:space="preserve"> </w:t>
      </w:r>
      <w:r w:rsidRPr="00CC66B8">
        <w:rPr>
          <w:rFonts w:ascii="Times New Roman" w:hAnsi="Times New Roman" w:cs="Times New Roman"/>
          <w:sz w:val="20"/>
          <w:szCs w:val="24"/>
        </w:rPr>
        <w:t xml:space="preserve">= </w:t>
      </w:r>
      <w:r w:rsidRPr="00700E4B">
        <w:rPr>
          <w:rFonts w:ascii="Times New Roman" w:hAnsi="Times New Roman" w:cs="Times New Roman"/>
          <w:sz w:val="20"/>
          <w:szCs w:val="24"/>
        </w:rPr>
        <w:t>(</w:t>
      </w:r>
      <w:r w:rsidR="00581CA8">
        <w:rPr>
          <w:rFonts w:ascii="Times New Roman" w:hAnsi="Times New Roman" w:cs="Times New Roman"/>
          <w:sz w:val="20"/>
          <w:szCs w:val="24"/>
        </w:rPr>
        <w:t>234 221</w:t>
      </w:r>
      <w:r w:rsidR="00D35193" w:rsidRPr="00D35193">
        <w:rPr>
          <w:rFonts w:ascii="Times New Roman" w:hAnsi="Times New Roman" w:cs="Times New Roman"/>
          <w:sz w:val="20"/>
          <w:szCs w:val="20"/>
        </w:rPr>
        <w:t>,</w:t>
      </w:r>
      <w:r w:rsidR="00581CA8">
        <w:rPr>
          <w:rFonts w:ascii="Times New Roman" w:hAnsi="Times New Roman" w:cs="Times New Roman"/>
          <w:sz w:val="20"/>
          <w:szCs w:val="20"/>
        </w:rPr>
        <w:t>85</w:t>
      </w:r>
      <w:r w:rsidR="009D0196">
        <w:rPr>
          <w:rFonts w:ascii="Times New Roman" w:hAnsi="Times New Roman" w:cs="Times New Roman"/>
          <w:sz w:val="20"/>
          <w:szCs w:val="20"/>
        </w:rPr>
        <w:t xml:space="preserve"> </w:t>
      </w:r>
      <w:r w:rsidR="00550AD3" w:rsidRPr="00D35193">
        <w:rPr>
          <w:rFonts w:ascii="Times New Roman" w:hAnsi="Times New Roman" w:cs="Times New Roman"/>
          <w:sz w:val="20"/>
          <w:szCs w:val="24"/>
        </w:rPr>
        <w:t>+</w:t>
      </w:r>
      <w:r w:rsidR="009D0196">
        <w:rPr>
          <w:rFonts w:ascii="Times New Roman" w:hAnsi="Times New Roman" w:cs="Times New Roman"/>
          <w:sz w:val="20"/>
          <w:szCs w:val="24"/>
        </w:rPr>
        <w:t xml:space="preserve"> </w:t>
      </w:r>
      <w:r w:rsidR="00581CA8">
        <w:rPr>
          <w:rFonts w:ascii="Times New Roman" w:hAnsi="Times New Roman" w:cs="Times New Roman"/>
          <w:sz w:val="20"/>
          <w:szCs w:val="24"/>
        </w:rPr>
        <w:t>225</w:t>
      </w:r>
      <w:r w:rsidR="009D0196">
        <w:rPr>
          <w:rFonts w:ascii="Times New Roman" w:hAnsi="Times New Roman" w:cs="Times New Roman"/>
          <w:sz w:val="20"/>
          <w:szCs w:val="20"/>
        </w:rPr>
        <w:t xml:space="preserve"> </w:t>
      </w:r>
      <w:r w:rsidR="00581CA8">
        <w:rPr>
          <w:rFonts w:ascii="Times New Roman" w:hAnsi="Times New Roman" w:cs="Times New Roman"/>
          <w:sz w:val="20"/>
          <w:szCs w:val="20"/>
        </w:rPr>
        <w:t>207</w:t>
      </w:r>
      <w:r w:rsidR="00D35193" w:rsidRPr="00D35193">
        <w:rPr>
          <w:rFonts w:ascii="Times New Roman" w:hAnsi="Times New Roman" w:cs="Times New Roman"/>
          <w:sz w:val="20"/>
          <w:szCs w:val="20"/>
        </w:rPr>
        <w:t>,</w:t>
      </w:r>
      <w:r w:rsidR="00581CA8">
        <w:rPr>
          <w:rFonts w:ascii="Times New Roman" w:hAnsi="Times New Roman" w:cs="Times New Roman"/>
          <w:sz w:val="20"/>
          <w:szCs w:val="20"/>
        </w:rPr>
        <w:t>47</w:t>
      </w:r>
      <w:r w:rsidR="009D0196">
        <w:rPr>
          <w:rFonts w:ascii="Times New Roman" w:hAnsi="Times New Roman" w:cs="Times New Roman"/>
          <w:sz w:val="20"/>
          <w:szCs w:val="20"/>
        </w:rPr>
        <w:t xml:space="preserve"> </w:t>
      </w:r>
      <w:r w:rsidR="00550AD3" w:rsidRPr="00D35193">
        <w:rPr>
          <w:rFonts w:ascii="Times New Roman" w:hAnsi="Times New Roman" w:cs="Times New Roman"/>
          <w:sz w:val="20"/>
          <w:szCs w:val="24"/>
        </w:rPr>
        <w:t>+</w:t>
      </w:r>
      <w:r w:rsidR="009D0196">
        <w:rPr>
          <w:rFonts w:ascii="Times New Roman" w:hAnsi="Times New Roman" w:cs="Times New Roman"/>
          <w:sz w:val="20"/>
          <w:szCs w:val="24"/>
        </w:rPr>
        <w:t xml:space="preserve"> </w:t>
      </w:r>
      <w:r w:rsidR="00581CA8">
        <w:rPr>
          <w:rFonts w:ascii="Times New Roman" w:hAnsi="Times New Roman" w:cs="Times New Roman"/>
          <w:sz w:val="20"/>
          <w:szCs w:val="24"/>
        </w:rPr>
        <w:t>218</w:t>
      </w:r>
      <w:r w:rsidR="009D0196">
        <w:rPr>
          <w:rFonts w:ascii="Times New Roman" w:hAnsi="Times New Roman" w:cs="Times New Roman"/>
          <w:sz w:val="20"/>
          <w:szCs w:val="20"/>
        </w:rPr>
        <w:t xml:space="preserve"> </w:t>
      </w:r>
      <w:r w:rsidR="00581CA8">
        <w:rPr>
          <w:rFonts w:ascii="Times New Roman" w:hAnsi="Times New Roman" w:cs="Times New Roman"/>
          <w:sz w:val="20"/>
          <w:szCs w:val="20"/>
        </w:rPr>
        <w:t>839</w:t>
      </w:r>
      <w:r w:rsidR="00D35193" w:rsidRPr="00D35193">
        <w:rPr>
          <w:rFonts w:ascii="Times New Roman" w:hAnsi="Times New Roman" w:cs="Times New Roman"/>
          <w:sz w:val="20"/>
          <w:szCs w:val="20"/>
        </w:rPr>
        <w:t>,</w:t>
      </w:r>
      <w:r w:rsidR="00581CA8">
        <w:rPr>
          <w:rFonts w:ascii="Times New Roman" w:hAnsi="Times New Roman" w:cs="Times New Roman"/>
          <w:sz w:val="20"/>
          <w:szCs w:val="20"/>
        </w:rPr>
        <w:t>37</w:t>
      </w:r>
      <w:r w:rsidRPr="00D35193">
        <w:rPr>
          <w:rFonts w:ascii="Times New Roman" w:hAnsi="Times New Roman" w:cs="Times New Roman"/>
          <w:sz w:val="20"/>
          <w:szCs w:val="24"/>
        </w:rPr>
        <w:t>)</w:t>
      </w:r>
      <w:proofErr w:type="gramStart"/>
      <w:r w:rsidRPr="00D35193">
        <w:rPr>
          <w:rFonts w:ascii="Times New Roman" w:hAnsi="Times New Roman" w:cs="Times New Roman"/>
          <w:sz w:val="20"/>
          <w:szCs w:val="24"/>
        </w:rPr>
        <w:t xml:space="preserve"> :</w:t>
      </w:r>
      <w:proofErr w:type="gramEnd"/>
      <w:r w:rsidRPr="00D35193">
        <w:rPr>
          <w:rFonts w:ascii="Times New Roman" w:hAnsi="Times New Roman" w:cs="Times New Roman"/>
          <w:sz w:val="20"/>
          <w:szCs w:val="24"/>
        </w:rPr>
        <w:t xml:space="preserve"> 3 = </w:t>
      </w:r>
      <w:r w:rsidR="00581CA8">
        <w:rPr>
          <w:rFonts w:ascii="Times New Roman" w:hAnsi="Times New Roman" w:cs="Times New Roman"/>
          <w:sz w:val="20"/>
          <w:szCs w:val="24"/>
        </w:rPr>
        <w:t>226</w:t>
      </w:r>
      <w:r w:rsidR="009D0196">
        <w:rPr>
          <w:rFonts w:ascii="Times New Roman" w:hAnsi="Times New Roman" w:cs="Times New Roman"/>
          <w:sz w:val="20"/>
          <w:szCs w:val="20"/>
        </w:rPr>
        <w:t xml:space="preserve"> </w:t>
      </w:r>
      <w:r w:rsidR="00581CA8">
        <w:rPr>
          <w:rFonts w:ascii="Times New Roman" w:hAnsi="Times New Roman" w:cs="Times New Roman"/>
          <w:sz w:val="20"/>
          <w:szCs w:val="20"/>
        </w:rPr>
        <w:t>089</w:t>
      </w:r>
      <w:r w:rsidR="00D35193" w:rsidRPr="00D35193">
        <w:rPr>
          <w:rFonts w:ascii="Times New Roman" w:hAnsi="Times New Roman" w:cs="Times New Roman"/>
          <w:sz w:val="20"/>
          <w:szCs w:val="20"/>
        </w:rPr>
        <w:t>,</w:t>
      </w:r>
      <w:r w:rsidR="00581CA8">
        <w:rPr>
          <w:rFonts w:ascii="Times New Roman" w:hAnsi="Times New Roman" w:cs="Times New Roman"/>
          <w:sz w:val="20"/>
          <w:szCs w:val="20"/>
        </w:rPr>
        <w:t>56</w:t>
      </w:r>
      <w:r w:rsidR="00D35193" w:rsidRPr="00700E4B">
        <w:rPr>
          <w:rFonts w:ascii="Times New Roman" w:hAnsi="Times New Roman" w:cs="Times New Roman"/>
          <w:sz w:val="20"/>
          <w:szCs w:val="24"/>
        </w:rPr>
        <w:t xml:space="preserve"> </w:t>
      </w:r>
      <w:r w:rsidR="00830AE5" w:rsidRPr="00700E4B">
        <w:rPr>
          <w:rFonts w:ascii="Times New Roman" w:hAnsi="Times New Roman" w:cs="Times New Roman"/>
          <w:sz w:val="20"/>
          <w:szCs w:val="24"/>
        </w:rPr>
        <w:t>(руб.)</w:t>
      </w:r>
    </w:p>
    <w:p w:rsidR="00CC66B8" w:rsidRDefault="00CC66B8" w:rsidP="00CC66B8">
      <w:pPr>
        <w:widowControl w:val="0"/>
        <w:autoSpaceDE w:val="0"/>
        <w:autoSpaceDN w:val="0"/>
        <w:adjustRightInd w:val="0"/>
        <w:rPr>
          <w:sz w:val="20"/>
        </w:rPr>
      </w:pPr>
    </w:p>
    <w:p w:rsidR="00CC66B8" w:rsidRDefault="00CC66B8" w:rsidP="00CC66B8">
      <w:pPr>
        <w:widowControl w:val="0"/>
        <w:autoSpaceDE w:val="0"/>
        <w:autoSpaceDN w:val="0"/>
        <w:adjustRightInd w:val="0"/>
        <w:rPr>
          <w:sz w:val="20"/>
        </w:rPr>
      </w:pPr>
      <w:r w:rsidRPr="00C94D39">
        <w:rPr>
          <w:sz w:val="20"/>
        </w:rPr>
        <w:t>2. Расчет среднего квадратичного отклонения производится по формуле:</w:t>
      </w:r>
    </w:p>
    <w:p w:rsidR="00CC66B8" w:rsidRDefault="004A3F47" w:rsidP="00CC66B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622DF">
        <w:rPr>
          <w:noProof/>
          <w:sz w:val="20"/>
          <w:szCs w:val="20"/>
        </w:rPr>
        <w:drawing>
          <wp:inline distT="0" distB="0" distL="0" distR="0" wp14:anchorId="2BD773AB" wp14:editId="037D2E15">
            <wp:extent cx="1733384" cy="4255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266" cy="43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AE5" w:rsidRDefault="004A3F47" w:rsidP="00CC66B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A3F47">
        <w:rPr>
          <w:sz w:val="20"/>
          <w:szCs w:val="20"/>
        </w:rPr>
        <w:t>В результате расчета по указанной формуле: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w:br/>
        </m:r>
        <m:r>
          <w:rPr>
            <w:rFonts w:ascii="Cambria Math" w:hAnsi="Cambria Math"/>
            <w:sz w:val="20"/>
            <w:szCs w:val="20"/>
          </w:rPr>
          <m:t xml:space="preserve">σ= 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234 221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,85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-226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 089,56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225 207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,47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226 089,56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218 839,37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-226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 089,56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3-1</m:t>
                </m:r>
              </m:den>
            </m:f>
          </m:e>
        </m:rad>
      </m:oMath>
      <w:r w:rsidR="00122D20">
        <w:rPr>
          <w:sz w:val="20"/>
          <w:szCs w:val="20"/>
        </w:rPr>
        <w:t xml:space="preserve"> = </w:t>
      </w:r>
      <w:r w:rsidR="00581CA8">
        <w:rPr>
          <w:sz w:val="20"/>
          <w:szCs w:val="20"/>
        </w:rPr>
        <w:t>7 729</w:t>
      </w:r>
      <w:r w:rsidR="009D0196">
        <w:rPr>
          <w:sz w:val="20"/>
          <w:szCs w:val="20"/>
        </w:rPr>
        <w:t>,0</w:t>
      </w:r>
      <w:r w:rsidR="00581CA8">
        <w:rPr>
          <w:sz w:val="20"/>
          <w:szCs w:val="20"/>
        </w:rPr>
        <w:t>8</w:t>
      </w:r>
    </w:p>
    <w:p w:rsidR="004B5896" w:rsidRDefault="004B5896" w:rsidP="00CC66B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22D20" w:rsidRDefault="00122D20" w:rsidP="00CC66B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22D20">
        <w:rPr>
          <w:sz w:val="20"/>
          <w:szCs w:val="20"/>
        </w:rPr>
        <w:t>3. Расчет коэффициента вариации производится по формуле:</w:t>
      </w:r>
    </w:p>
    <w:p w:rsidR="00122D20" w:rsidRDefault="00122D20" w:rsidP="00CC66B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622DF">
        <w:rPr>
          <w:noProof/>
          <w:sz w:val="20"/>
          <w:szCs w:val="20"/>
        </w:rPr>
        <w:drawing>
          <wp:inline distT="0" distB="0" distL="0" distR="0" wp14:anchorId="745D8FA0" wp14:editId="445BEF93">
            <wp:extent cx="906449" cy="3640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60" cy="36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D20" w:rsidRPr="00122D20" w:rsidRDefault="00122D20" w:rsidP="00122D20">
      <w:pPr>
        <w:pStyle w:val="a8"/>
        <w:spacing w:before="0" w:after="0"/>
        <w:ind w:left="0"/>
        <w:rPr>
          <w:sz w:val="20"/>
          <w:szCs w:val="20"/>
        </w:rPr>
      </w:pPr>
      <w:r w:rsidRPr="00122D20">
        <w:rPr>
          <w:sz w:val="20"/>
          <w:szCs w:val="20"/>
        </w:rPr>
        <w:t>В результате расчета по указанной формуле:</w:t>
      </w:r>
    </w:p>
    <w:p w:rsidR="007A7350" w:rsidRDefault="007A7350" w:rsidP="00122D20">
      <w:pPr>
        <w:pStyle w:val="a8"/>
        <w:spacing w:before="0" w:after="0"/>
        <w:ind w:left="0"/>
        <w:rPr>
          <w:sz w:val="20"/>
          <w:szCs w:val="20"/>
        </w:rPr>
      </w:pPr>
      <w:r w:rsidRPr="007A7350">
        <w:rPr>
          <w:i/>
          <w:sz w:val="20"/>
          <w:szCs w:val="20"/>
          <w:lang w:val="en-US"/>
        </w:rPr>
        <w:t>V</w:t>
      </w:r>
      <w:r w:rsidR="00122D20" w:rsidRPr="00122D20">
        <w:rPr>
          <w:sz w:val="20"/>
          <w:szCs w:val="20"/>
        </w:rPr>
        <w:t xml:space="preserve"> = (</w:t>
      </w:r>
      <w:r w:rsidR="00581CA8">
        <w:rPr>
          <w:sz w:val="20"/>
          <w:szCs w:val="20"/>
        </w:rPr>
        <w:t>7729</w:t>
      </w:r>
      <w:r w:rsidR="009D0196">
        <w:rPr>
          <w:sz w:val="20"/>
          <w:szCs w:val="20"/>
        </w:rPr>
        <w:t>,</w:t>
      </w:r>
      <w:r w:rsidR="00581CA8">
        <w:rPr>
          <w:sz w:val="20"/>
          <w:szCs w:val="20"/>
        </w:rPr>
        <w:t>08</w:t>
      </w:r>
      <w:r w:rsidR="00226472">
        <w:rPr>
          <w:sz w:val="20"/>
          <w:szCs w:val="20"/>
        </w:rPr>
        <w:t xml:space="preserve"> </w:t>
      </w:r>
      <w:r w:rsidR="00122D20" w:rsidRPr="00122D20">
        <w:rPr>
          <w:sz w:val="20"/>
          <w:szCs w:val="20"/>
        </w:rPr>
        <w:t xml:space="preserve">: </w:t>
      </w:r>
      <w:r w:rsidR="00581CA8">
        <w:rPr>
          <w:sz w:val="20"/>
          <w:szCs w:val="20"/>
        </w:rPr>
        <w:t>226</w:t>
      </w:r>
      <w:r w:rsidR="009D0196">
        <w:rPr>
          <w:sz w:val="20"/>
          <w:szCs w:val="20"/>
        </w:rPr>
        <w:t> </w:t>
      </w:r>
      <w:r w:rsidR="00581CA8">
        <w:rPr>
          <w:sz w:val="20"/>
          <w:szCs w:val="20"/>
        </w:rPr>
        <w:t>089</w:t>
      </w:r>
      <w:r w:rsidR="009D0196">
        <w:rPr>
          <w:sz w:val="20"/>
          <w:szCs w:val="20"/>
        </w:rPr>
        <w:t>,</w:t>
      </w:r>
      <w:r w:rsidR="00581CA8">
        <w:rPr>
          <w:sz w:val="20"/>
          <w:szCs w:val="20"/>
        </w:rPr>
        <w:t>56</w:t>
      </w:r>
      <w:r w:rsidR="00122D20" w:rsidRPr="00122D20">
        <w:rPr>
          <w:sz w:val="20"/>
          <w:szCs w:val="20"/>
        </w:rPr>
        <w:t xml:space="preserve">) × 100% = </w:t>
      </w:r>
      <w:r w:rsidR="00581CA8">
        <w:rPr>
          <w:sz w:val="20"/>
          <w:szCs w:val="20"/>
        </w:rPr>
        <w:t>3</w:t>
      </w:r>
      <w:r w:rsidR="009D0196">
        <w:rPr>
          <w:sz w:val="20"/>
          <w:szCs w:val="20"/>
        </w:rPr>
        <w:t>,</w:t>
      </w:r>
      <w:r w:rsidR="00581CA8">
        <w:rPr>
          <w:sz w:val="20"/>
          <w:szCs w:val="20"/>
        </w:rPr>
        <w:t>42</w:t>
      </w:r>
      <w:r w:rsidR="00122D20" w:rsidRPr="00122D20">
        <w:rPr>
          <w:sz w:val="20"/>
          <w:szCs w:val="20"/>
        </w:rPr>
        <w:t>%</w:t>
      </w:r>
    </w:p>
    <w:p w:rsidR="002D07CA" w:rsidRPr="002D07CA" w:rsidRDefault="002D07CA" w:rsidP="00122D20">
      <w:pPr>
        <w:pStyle w:val="a8"/>
        <w:spacing w:before="0" w:after="0"/>
        <w:ind w:left="0"/>
        <w:rPr>
          <w:sz w:val="16"/>
          <w:szCs w:val="16"/>
        </w:rPr>
      </w:pPr>
    </w:p>
    <w:p w:rsidR="00122D20" w:rsidRPr="00122D20" w:rsidRDefault="00122D20" w:rsidP="00122D20">
      <w:pPr>
        <w:pStyle w:val="a8"/>
        <w:spacing w:before="0" w:after="0"/>
        <w:ind w:left="0"/>
        <w:rPr>
          <w:sz w:val="20"/>
          <w:szCs w:val="20"/>
        </w:rPr>
      </w:pPr>
      <w:r w:rsidRPr="00122D20">
        <w:rPr>
          <w:sz w:val="20"/>
          <w:szCs w:val="20"/>
        </w:rPr>
        <w:t>Значение коэффициентов вариации – менее 33%, следовательно, совокупность цен принимается однородной.</w:t>
      </w:r>
    </w:p>
    <w:p w:rsidR="002D07CA" w:rsidRPr="002D07CA" w:rsidRDefault="002D07CA" w:rsidP="00CC66B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90CFD" w:rsidRPr="00761B88" w:rsidRDefault="00290CFD" w:rsidP="009E7C0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16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852"/>
        <w:gridCol w:w="770"/>
        <w:gridCol w:w="927"/>
        <w:gridCol w:w="1575"/>
        <w:gridCol w:w="1575"/>
        <w:gridCol w:w="1563"/>
        <w:gridCol w:w="1403"/>
        <w:gridCol w:w="1804"/>
        <w:gridCol w:w="1544"/>
        <w:gridCol w:w="1935"/>
      </w:tblGrid>
      <w:tr w:rsidR="007A4410" w:rsidRPr="00D163D6" w:rsidTr="008D400F">
        <w:trPr>
          <w:trHeight w:val="254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410" w:rsidRPr="00D163D6" w:rsidRDefault="007A4410" w:rsidP="001C0246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 w:rsidRPr="00D163D6">
              <w:rPr>
                <w:b/>
                <w:bCs/>
                <w:sz w:val="20"/>
                <w:szCs w:val="20"/>
              </w:rPr>
              <w:t xml:space="preserve">Расчет начальной (максимальной) цены </w:t>
            </w:r>
            <w:r w:rsidR="001C0246">
              <w:rPr>
                <w:b/>
                <w:bCs/>
                <w:sz w:val="20"/>
                <w:szCs w:val="20"/>
              </w:rPr>
              <w:t>договора</w:t>
            </w:r>
            <w:r w:rsidRPr="00D163D6">
              <w:rPr>
                <w:b/>
                <w:bCs/>
                <w:sz w:val="20"/>
                <w:szCs w:val="20"/>
              </w:rPr>
              <w:t xml:space="preserve"> методом сопоставимых рыночных цен (анализа рынка)</w:t>
            </w:r>
            <w:r w:rsidR="00375C1D" w:rsidRPr="00D163D6">
              <w:rPr>
                <w:sz w:val="20"/>
                <w:szCs w:val="20"/>
              </w:rPr>
              <w:t xml:space="preserve">               </w:t>
            </w:r>
            <w:r w:rsidRPr="00D163D6">
              <w:rPr>
                <w:sz w:val="20"/>
                <w:szCs w:val="20"/>
              </w:rPr>
              <w:t xml:space="preserve">  </w:t>
            </w:r>
          </w:p>
        </w:tc>
      </w:tr>
      <w:tr w:rsidR="004520C5" w:rsidRPr="00D163D6" w:rsidTr="008D400F">
        <w:trPr>
          <w:trHeight w:val="1544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6B8" w:rsidRPr="00D163D6" w:rsidRDefault="00CC66B8" w:rsidP="001C02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3D6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предмета </w:t>
            </w:r>
            <w:r w:rsidR="001C0246">
              <w:rPr>
                <w:sz w:val="20"/>
                <w:szCs w:val="20"/>
              </w:rPr>
              <w:t>договора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6B8" w:rsidRPr="00D163D6" w:rsidRDefault="00CC66B8" w:rsidP="00D163D6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 изм.</w:t>
            </w:r>
            <w:r w:rsidRPr="00D163D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6B8" w:rsidRPr="00D163D6" w:rsidRDefault="00CC66B8" w:rsidP="0037674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Кол-</w:t>
            </w:r>
            <w:r w:rsidRPr="00D163D6">
              <w:rPr>
                <w:bCs/>
                <w:sz w:val="20"/>
                <w:szCs w:val="20"/>
              </w:rPr>
              <w:t>во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66B8" w:rsidRPr="00D163D6" w:rsidRDefault="00FC40FF" w:rsidP="00857956">
            <w:pPr>
              <w:widowControl w:val="0"/>
              <w:autoSpaceDE w:val="0"/>
              <w:autoSpaceDN w:val="0"/>
              <w:adjustRightInd w:val="0"/>
              <w:ind w:left="-32" w:right="-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ком.</w:t>
            </w:r>
          </w:p>
          <w:p w:rsidR="00CC66B8" w:rsidRDefault="00CC66B8" w:rsidP="007A56B4">
            <w:pPr>
              <w:widowControl w:val="0"/>
              <w:autoSpaceDE w:val="0"/>
              <w:autoSpaceDN w:val="0"/>
              <w:adjustRightInd w:val="0"/>
              <w:ind w:left="-32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пред.</w:t>
            </w:r>
          </w:p>
          <w:p w:rsidR="00CC66B8" w:rsidRPr="00D163D6" w:rsidRDefault="00CC66B8" w:rsidP="001C0246">
            <w:pPr>
              <w:widowControl w:val="0"/>
              <w:autoSpaceDE w:val="0"/>
              <w:autoSpaceDN w:val="0"/>
              <w:adjustRightInd w:val="0"/>
              <w:ind w:left="-14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163D6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66B8" w:rsidRPr="00D163D6" w:rsidRDefault="00CC66B8" w:rsidP="001D3175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0"/>
                <w:szCs w:val="20"/>
              </w:rPr>
            </w:pPr>
            <w:r w:rsidRPr="00D163D6">
              <w:rPr>
                <w:sz w:val="20"/>
                <w:szCs w:val="20"/>
              </w:rPr>
              <w:t>Цена</w:t>
            </w:r>
            <w:r w:rsidR="00700E4B">
              <w:rPr>
                <w:sz w:val="20"/>
                <w:szCs w:val="20"/>
              </w:rPr>
              <w:t xml:space="preserve"> за </w:t>
            </w:r>
            <w:r w:rsidR="001C0246">
              <w:rPr>
                <w:sz w:val="20"/>
                <w:szCs w:val="20"/>
              </w:rPr>
              <w:t>ед.</w:t>
            </w:r>
            <w:r w:rsidRPr="00D163D6">
              <w:rPr>
                <w:sz w:val="20"/>
                <w:szCs w:val="20"/>
              </w:rPr>
              <w:t>, указанная в источнике</w:t>
            </w:r>
          </w:p>
          <w:p w:rsidR="001B4F50" w:rsidRDefault="00CC66B8" w:rsidP="001B4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3D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D163D6">
              <w:rPr>
                <w:sz w:val="20"/>
                <w:szCs w:val="20"/>
              </w:rPr>
              <w:t xml:space="preserve">1, </w:t>
            </w:r>
            <w:r w:rsidR="001B4F50">
              <w:rPr>
                <w:sz w:val="20"/>
                <w:szCs w:val="20"/>
              </w:rPr>
              <w:t xml:space="preserve">(руб.)  </w:t>
            </w:r>
          </w:p>
          <w:p w:rsidR="00CC66B8" w:rsidRPr="00D163D6" w:rsidRDefault="00223AF8" w:rsidP="00223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DA6EC5" w:rsidRPr="00DA6EC5">
              <w:rPr>
                <w:sz w:val="18"/>
                <w:szCs w:val="18"/>
              </w:rPr>
              <w:t>х</w:t>
            </w:r>
            <w:proofErr w:type="spellEnd"/>
            <w:r w:rsidR="00DA6EC5" w:rsidRPr="00DA6EC5">
              <w:rPr>
                <w:sz w:val="18"/>
                <w:szCs w:val="18"/>
              </w:rPr>
              <w:t>.</w:t>
            </w:r>
            <w:r w:rsidR="001B4F50" w:rsidRPr="00DA6EC5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87</w:t>
            </w:r>
            <w:r w:rsidR="001B4F50" w:rsidRPr="00DA6EC5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="00DA6EC5" w:rsidRPr="00DA6EC5">
              <w:rPr>
                <w:sz w:val="18"/>
                <w:szCs w:val="18"/>
              </w:rPr>
              <w:t>.12</w:t>
            </w:r>
            <w:r w:rsidR="001B4F50" w:rsidRPr="00DA6EC5">
              <w:rPr>
                <w:sz w:val="18"/>
                <w:szCs w:val="18"/>
              </w:rPr>
              <w:t>.2020</w:t>
            </w:r>
            <w:r w:rsidR="00DA6EC5" w:rsidRPr="00DA6EC5">
              <w:rPr>
                <w:sz w:val="18"/>
                <w:szCs w:val="18"/>
              </w:rPr>
              <w:t xml:space="preserve"> </w:t>
            </w:r>
            <w:r w:rsidR="001B4F50" w:rsidRPr="00DA6EC5">
              <w:rPr>
                <w:sz w:val="18"/>
                <w:szCs w:val="18"/>
              </w:rPr>
              <w:t>г</w:t>
            </w:r>
            <w:r w:rsidR="001B4F50" w:rsidRPr="00DA6EC5">
              <w:rPr>
                <w:sz w:val="20"/>
                <w:szCs w:val="20"/>
              </w:rPr>
              <w:t>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6B8" w:rsidRDefault="00CC66B8" w:rsidP="00452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3D6">
              <w:rPr>
                <w:sz w:val="20"/>
                <w:szCs w:val="20"/>
              </w:rPr>
              <w:t xml:space="preserve">Цена </w:t>
            </w:r>
            <w:r w:rsidR="00700E4B">
              <w:rPr>
                <w:sz w:val="20"/>
                <w:szCs w:val="20"/>
              </w:rPr>
              <w:t xml:space="preserve">за </w:t>
            </w:r>
            <w:r w:rsidR="001C0246">
              <w:rPr>
                <w:sz w:val="20"/>
                <w:szCs w:val="20"/>
              </w:rPr>
              <w:t>ед.</w:t>
            </w:r>
            <w:r w:rsidRPr="00D163D6">
              <w:rPr>
                <w:sz w:val="20"/>
                <w:szCs w:val="20"/>
              </w:rPr>
              <w:t>, указанная в источнике</w:t>
            </w:r>
          </w:p>
          <w:p w:rsidR="00CC66B8" w:rsidRDefault="00CC66B8" w:rsidP="00452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3D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D163D6">
              <w:rPr>
                <w:sz w:val="20"/>
                <w:szCs w:val="20"/>
              </w:rPr>
              <w:t>2, (руб.)</w:t>
            </w:r>
          </w:p>
          <w:p w:rsidR="00CC66B8" w:rsidRPr="00916351" w:rsidRDefault="00223AF8" w:rsidP="00223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9D0196" w:rsidRPr="00DA6EC5">
              <w:rPr>
                <w:sz w:val="18"/>
                <w:szCs w:val="18"/>
              </w:rPr>
              <w:t>х</w:t>
            </w:r>
            <w:proofErr w:type="spellEnd"/>
            <w:r w:rsidR="009D0196" w:rsidRPr="00DA6EC5">
              <w:rPr>
                <w:sz w:val="18"/>
                <w:szCs w:val="18"/>
              </w:rPr>
              <w:t xml:space="preserve">. № </w:t>
            </w:r>
            <w:r>
              <w:rPr>
                <w:sz w:val="18"/>
                <w:szCs w:val="18"/>
              </w:rPr>
              <w:t>88</w:t>
            </w:r>
            <w:r w:rsidR="009D0196" w:rsidRPr="00DA6EC5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="009D0196" w:rsidRPr="00DA6EC5">
              <w:rPr>
                <w:sz w:val="18"/>
                <w:szCs w:val="18"/>
              </w:rPr>
              <w:t>.12.2020 г</w:t>
            </w:r>
            <w:r w:rsidR="009D0196" w:rsidRPr="00DA6EC5">
              <w:rPr>
                <w:sz w:val="20"/>
                <w:szCs w:val="20"/>
              </w:rPr>
              <w:t>.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6B8" w:rsidRDefault="00CC66B8" w:rsidP="00C57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3D6">
              <w:rPr>
                <w:sz w:val="20"/>
                <w:szCs w:val="20"/>
              </w:rPr>
              <w:t xml:space="preserve">Цена </w:t>
            </w:r>
            <w:r w:rsidR="00700E4B">
              <w:rPr>
                <w:sz w:val="20"/>
                <w:szCs w:val="20"/>
              </w:rPr>
              <w:t xml:space="preserve">за </w:t>
            </w:r>
            <w:r w:rsidR="001C0246">
              <w:rPr>
                <w:sz w:val="20"/>
                <w:szCs w:val="20"/>
              </w:rPr>
              <w:t>ед.</w:t>
            </w:r>
            <w:r w:rsidRPr="00D163D6">
              <w:rPr>
                <w:sz w:val="20"/>
                <w:szCs w:val="20"/>
              </w:rPr>
              <w:t>, указан</w:t>
            </w:r>
            <w:r>
              <w:rPr>
                <w:sz w:val="20"/>
                <w:szCs w:val="20"/>
              </w:rPr>
              <w:t xml:space="preserve">ная в источнике </w:t>
            </w:r>
          </w:p>
          <w:p w:rsidR="008B042F" w:rsidRDefault="00CC66B8" w:rsidP="00C57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3, (руб.)</w:t>
            </w:r>
          </w:p>
          <w:p w:rsidR="00CC66B8" w:rsidRPr="00D35193" w:rsidRDefault="00223AF8" w:rsidP="00C57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9D0196" w:rsidRPr="00DA6EC5">
              <w:rPr>
                <w:sz w:val="18"/>
                <w:szCs w:val="18"/>
              </w:rPr>
              <w:t>х</w:t>
            </w:r>
            <w:proofErr w:type="spellEnd"/>
            <w:r w:rsidR="009D0196" w:rsidRPr="00DA6EC5">
              <w:rPr>
                <w:sz w:val="18"/>
                <w:szCs w:val="18"/>
              </w:rPr>
              <w:t>.</w:t>
            </w:r>
            <w:r w:rsidR="009D0196">
              <w:rPr>
                <w:sz w:val="18"/>
                <w:szCs w:val="18"/>
              </w:rPr>
              <w:t xml:space="preserve"> </w:t>
            </w:r>
            <w:r w:rsidR="009D0196" w:rsidRPr="00DA6EC5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89</w:t>
            </w:r>
            <w:r w:rsidR="009D0196" w:rsidRPr="00DA6EC5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="009D0196" w:rsidRPr="00DA6EC5">
              <w:rPr>
                <w:sz w:val="18"/>
                <w:szCs w:val="18"/>
              </w:rPr>
              <w:t>.12.2020 г</w:t>
            </w:r>
            <w:r w:rsidR="009D0196" w:rsidRPr="00DA6EC5">
              <w:rPr>
                <w:sz w:val="20"/>
                <w:szCs w:val="20"/>
              </w:rPr>
              <w:t>.</w:t>
            </w:r>
          </w:p>
          <w:p w:rsidR="00CC66B8" w:rsidRPr="00D35193" w:rsidRDefault="00CC66B8" w:rsidP="00370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66B8" w:rsidRPr="00D163D6" w:rsidRDefault="00CC66B8" w:rsidP="00D163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3D6">
              <w:rPr>
                <w:sz w:val="20"/>
                <w:szCs w:val="20"/>
              </w:rPr>
              <w:t xml:space="preserve">Средняя арифметическая величина цены </w:t>
            </w:r>
            <w:r>
              <w:rPr>
                <w:sz w:val="20"/>
                <w:szCs w:val="20"/>
              </w:rPr>
              <w:t>усл.ед.</w:t>
            </w:r>
          </w:p>
          <w:p w:rsidR="00CC66B8" w:rsidRPr="00D163D6" w:rsidRDefault="00CC66B8" w:rsidP="00D163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3D6">
              <w:rPr>
                <w:sz w:val="20"/>
                <w:szCs w:val="20"/>
              </w:rPr>
              <w:t>&lt;ц&gt;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66B8" w:rsidRPr="00D163D6" w:rsidRDefault="00CC66B8" w:rsidP="00D163D6">
            <w:pPr>
              <w:widowControl w:val="0"/>
              <w:autoSpaceDE w:val="0"/>
              <w:autoSpaceDN w:val="0"/>
              <w:adjustRightInd w:val="0"/>
              <w:ind w:left="-72"/>
              <w:jc w:val="center"/>
              <w:rPr>
                <w:sz w:val="20"/>
                <w:szCs w:val="20"/>
              </w:rPr>
            </w:pPr>
            <w:r w:rsidRPr="00D163D6">
              <w:rPr>
                <w:sz w:val="20"/>
                <w:szCs w:val="20"/>
              </w:rPr>
              <w:t>Среднее квадратичное отклонение</w:t>
            </w:r>
          </w:p>
          <w:p w:rsidR="00CC66B8" w:rsidRPr="00D163D6" w:rsidRDefault="00CC66B8" w:rsidP="00D163D6">
            <w:pPr>
              <w:widowControl w:val="0"/>
              <w:autoSpaceDE w:val="0"/>
              <w:autoSpaceDN w:val="0"/>
              <w:adjustRightInd w:val="0"/>
              <w:ind w:left="-72" w:right="-123"/>
              <w:jc w:val="center"/>
              <w:rPr>
                <w:sz w:val="20"/>
                <w:szCs w:val="20"/>
              </w:rPr>
            </w:pPr>
            <w:r w:rsidRPr="00D163D6">
              <w:rPr>
                <w:noProof/>
                <w:sz w:val="20"/>
                <w:szCs w:val="20"/>
              </w:rPr>
              <w:drawing>
                <wp:inline distT="0" distB="0" distL="0" distR="0" wp14:anchorId="68D381F9" wp14:editId="152E1D54">
                  <wp:extent cx="1097280" cy="493062"/>
                  <wp:effectExtent l="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858" cy="495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66B8" w:rsidRPr="00D163D6" w:rsidRDefault="00CC66B8" w:rsidP="00D163D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sz w:val="20"/>
                <w:szCs w:val="20"/>
              </w:rPr>
            </w:pPr>
            <w:r w:rsidRPr="00D163D6">
              <w:rPr>
                <w:sz w:val="20"/>
                <w:szCs w:val="20"/>
              </w:rPr>
              <w:t>Коэффициент вариации</w:t>
            </w:r>
            <w:proofErr w:type="gramStart"/>
            <w:r w:rsidRPr="00D163D6">
              <w:rPr>
                <w:sz w:val="20"/>
                <w:szCs w:val="20"/>
              </w:rPr>
              <w:t xml:space="preserve"> (%)</w:t>
            </w:r>
            <w:proofErr w:type="gramEnd"/>
          </w:p>
          <w:p w:rsidR="00CC66B8" w:rsidRPr="00D163D6" w:rsidRDefault="00CC66B8" w:rsidP="00D163D6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sz w:val="20"/>
                <w:szCs w:val="20"/>
              </w:rPr>
            </w:pPr>
            <w:r w:rsidRPr="00D163D6">
              <w:rPr>
                <w:noProof/>
                <w:sz w:val="20"/>
                <w:szCs w:val="20"/>
              </w:rPr>
              <w:drawing>
                <wp:inline distT="0" distB="0" distL="0" distR="0" wp14:anchorId="2527DA43" wp14:editId="04ECFF68">
                  <wp:extent cx="803082" cy="347041"/>
                  <wp:effectExtent l="0" t="0" r="0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695" cy="352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66B8" w:rsidRPr="00D163D6" w:rsidRDefault="00CC66B8" w:rsidP="00D163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63D6">
              <w:rPr>
                <w:sz w:val="20"/>
                <w:szCs w:val="20"/>
              </w:rPr>
              <w:t>НМЦ</w:t>
            </w:r>
            <w:r w:rsidR="001C0246">
              <w:rPr>
                <w:sz w:val="20"/>
                <w:szCs w:val="20"/>
              </w:rPr>
              <w:t>Д</w:t>
            </w:r>
          </w:p>
          <w:p w:rsidR="00CC66B8" w:rsidRPr="00D163D6" w:rsidRDefault="00C104FB" w:rsidP="00C104FB">
            <w:pPr>
              <w:widowControl w:val="0"/>
              <w:tabs>
                <w:tab w:val="left" w:pos="-51"/>
                <w:tab w:val="left" w:pos="466"/>
                <w:tab w:val="center" w:pos="852"/>
              </w:tabs>
              <w:autoSpaceDE w:val="0"/>
              <w:autoSpaceDN w:val="0"/>
              <w:adjustRightInd w:val="0"/>
              <w:ind w:left="-51"/>
              <w:rPr>
                <w:sz w:val="20"/>
                <w:szCs w:val="20"/>
              </w:rPr>
            </w:pPr>
            <w:r w:rsidRPr="00C104FB">
              <w:rPr>
                <w:position w:val="6"/>
                <w:sz w:val="16"/>
                <w:szCs w:val="16"/>
              </w:rPr>
              <w:t xml:space="preserve">НМЦД </w:t>
            </w:r>
            <w:proofErr w:type="spellStart"/>
            <w:r w:rsidRPr="00C104FB">
              <w:rPr>
                <w:position w:val="6"/>
                <w:sz w:val="16"/>
                <w:szCs w:val="16"/>
                <w:vertAlign w:val="superscript"/>
              </w:rPr>
              <w:t>рын</w:t>
            </w:r>
            <w:proofErr w:type="spellEnd"/>
            <w:r w:rsidR="001C0246">
              <w:rPr>
                <w:sz w:val="20"/>
                <w:szCs w:val="20"/>
              </w:rPr>
              <w:tab/>
            </w:r>
            <w:r w:rsidR="00CC66B8" w:rsidRPr="00D163D6">
              <w:rPr>
                <w:noProof/>
                <w:sz w:val="20"/>
                <w:szCs w:val="20"/>
              </w:rPr>
              <w:drawing>
                <wp:inline distT="0" distB="0" distL="0" distR="0" wp14:anchorId="130EDBB3" wp14:editId="3C0F2E3B">
                  <wp:extent cx="659359" cy="323065"/>
                  <wp:effectExtent l="0" t="0" r="0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/>
                          <a:srcRect l="40201"/>
                          <a:stretch/>
                        </pic:blipFill>
                        <pic:spPr bwMode="auto">
                          <a:xfrm>
                            <a:off x="0" y="0"/>
                            <a:ext cx="681380" cy="33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F50" w:rsidRPr="00D163D6" w:rsidTr="008D400F">
        <w:trPr>
          <w:trHeight w:val="752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50" w:rsidRPr="00D35193" w:rsidRDefault="00223AF8" w:rsidP="00223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Канцелярские товары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50" w:rsidRPr="00D163D6" w:rsidRDefault="00223AF8" w:rsidP="008D400F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D400F">
              <w:rPr>
                <w:sz w:val="20"/>
                <w:szCs w:val="20"/>
              </w:rPr>
              <w:t>словная единица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50" w:rsidRPr="00D163D6" w:rsidRDefault="00223AF8" w:rsidP="004B5896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B4F50" w:rsidRPr="00D163D6" w:rsidRDefault="001B4F50" w:rsidP="001B4F50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B4F50" w:rsidRPr="004B5896" w:rsidRDefault="00223AF8" w:rsidP="00223AF8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234 221,85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50" w:rsidRPr="009D0196" w:rsidRDefault="00223AF8" w:rsidP="00223AF8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225 207</w:t>
            </w:r>
            <w:r w:rsidR="001B4F50" w:rsidRPr="009D01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4F50" w:rsidRPr="009D0196" w:rsidRDefault="00223AF8" w:rsidP="00223AF8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218 839</w:t>
            </w:r>
            <w:r w:rsidR="009D0196" w:rsidRPr="009D01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B4F50" w:rsidRPr="009D0196" w:rsidRDefault="00223AF8" w:rsidP="00223AF8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226 089</w:t>
            </w:r>
            <w:r w:rsidR="009D0196" w:rsidRPr="009D01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B4F50" w:rsidRPr="009D0196" w:rsidRDefault="00324FAE" w:rsidP="00324FAE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7729</w:t>
            </w:r>
            <w:r w:rsidR="009D0196" w:rsidRPr="009D01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B4F50" w:rsidRPr="009D0196" w:rsidRDefault="00324FAE" w:rsidP="009D0196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B4F50" w:rsidRPr="009D0196" w:rsidRDefault="00324FAE" w:rsidP="001B4F50">
            <w:pPr>
              <w:widowControl w:val="0"/>
              <w:autoSpaceDE w:val="0"/>
              <w:autoSpaceDN w:val="0"/>
              <w:adjustRightInd w:val="0"/>
              <w:spacing w:befor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226 089,56</w:t>
            </w:r>
          </w:p>
        </w:tc>
      </w:tr>
    </w:tbl>
    <w:p w:rsidR="000D06E4" w:rsidRDefault="000D06E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42E6" w:rsidRDefault="00811D6C" w:rsidP="00E142E6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>В результате проведенного расчета НМЦ</w:t>
      </w:r>
      <w:r w:rsidR="001C0246">
        <w:rPr>
          <w:sz w:val="20"/>
          <w:szCs w:val="20"/>
        </w:rPr>
        <w:t>Д</w:t>
      </w:r>
      <w:r>
        <w:rPr>
          <w:sz w:val="20"/>
          <w:szCs w:val="20"/>
        </w:rPr>
        <w:t xml:space="preserve"> составила</w:t>
      </w:r>
      <w:r w:rsidR="00C57A7B">
        <w:rPr>
          <w:sz w:val="20"/>
          <w:szCs w:val="20"/>
        </w:rPr>
        <w:t xml:space="preserve"> </w:t>
      </w:r>
      <w:r w:rsidR="00324FAE">
        <w:rPr>
          <w:sz w:val="20"/>
          <w:szCs w:val="20"/>
        </w:rPr>
        <w:t>226</w:t>
      </w:r>
      <w:r w:rsidR="009D0196" w:rsidRPr="009D0196">
        <w:rPr>
          <w:b/>
          <w:sz w:val="20"/>
          <w:szCs w:val="20"/>
        </w:rPr>
        <w:t xml:space="preserve"> </w:t>
      </w:r>
      <w:r w:rsidR="00324FAE">
        <w:rPr>
          <w:b/>
          <w:sz w:val="20"/>
          <w:szCs w:val="20"/>
        </w:rPr>
        <w:t>089</w:t>
      </w:r>
      <w:r w:rsidR="00DA12D6" w:rsidRPr="009D0196">
        <w:rPr>
          <w:sz w:val="20"/>
          <w:szCs w:val="20"/>
        </w:rPr>
        <w:t xml:space="preserve"> </w:t>
      </w:r>
      <w:r w:rsidR="00746786" w:rsidRPr="009D0196">
        <w:rPr>
          <w:b/>
          <w:color w:val="000000"/>
          <w:sz w:val="20"/>
          <w:szCs w:val="20"/>
          <w:shd w:val="clear" w:color="auto" w:fill="FFFFFF"/>
        </w:rPr>
        <w:t>рубл</w:t>
      </w:r>
      <w:r w:rsidR="00D067E6" w:rsidRPr="009D0196">
        <w:rPr>
          <w:b/>
          <w:color w:val="000000"/>
          <w:sz w:val="20"/>
          <w:szCs w:val="20"/>
          <w:shd w:val="clear" w:color="auto" w:fill="FFFFFF"/>
        </w:rPr>
        <w:t>ей</w:t>
      </w:r>
      <w:r w:rsidR="00746786" w:rsidRPr="009D0196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324FAE">
        <w:rPr>
          <w:b/>
          <w:color w:val="000000"/>
          <w:sz w:val="20"/>
          <w:szCs w:val="20"/>
          <w:shd w:val="clear" w:color="auto" w:fill="FFFFFF"/>
        </w:rPr>
        <w:t>56</w:t>
      </w:r>
      <w:r w:rsidR="00746786" w:rsidRPr="009D0196">
        <w:rPr>
          <w:b/>
          <w:color w:val="000000"/>
          <w:sz w:val="20"/>
          <w:szCs w:val="20"/>
          <w:shd w:val="clear" w:color="auto" w:fill="FFFFFF"/>
        </w:rPr>
        <w:t xml:space="preserve"> копе</w:t>
      </w:r>
      <w:r w:rsidR="000E73DF" w:rsidRPr="009D0196">
        <w:rPr>
          <w:b/>
          <w:color w:val="000000"/>
          <w:sz w:val="20"/>
          <w:szCs w:val="20"/>
          <w:shd w:val="clear" w:color="auto" w:fill="FFFFFF"/>
        </w:rPr>
        <w:t>е</w:t>
      </w:r>
      <w:r w:rsidR="00700E4B" w:rsidRPr="009D0196">
        <w:rPr>
          <w:b/>
          <w:color w:val="000000"/>
          <w:sz w:val="20"/>
          <w:szCs w:val="20"/>
          <w:shd w:val="clear" w:color="auto" w:fill="FFFFFF"/>
        </w:rPr>
        <w:t>к</w:t>
      </w:r>
      <w:r w:rsidR="00746786" w:rsidRPr="009D0196">
        <w:rPr>
          <w:b/>
          <w:color w:val="000000"/>
          <w:sz w:val="20"/>
          <w:szCs w:val="20"/>
          <w:shd w:val="clear" w:color="auto" w:fill="FFFFFF"/>
        </w:rPr>
        <w:t>.</w:t>
      </w:r>
    </w:p>
    <w:p w:rsidR="006275E0" w:rsidRDefault="009E7C0A" w:rsidP="00B11C9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Итоговые результаты в </w:t>
      </w:r>
      <w:r w:rsidR="002B0ECB">
        <w:rPr>
          <w:sz w:val="20"/>
          <w:szCs w:val="20"/>
        </w:rPr>
        <w:t xml:space="preserve">расчётах и </w:t>
      </w:r>
      <w:r>
        <w:rPr>
          <w:sz w:val="20"/>
          <w:szCs w:val="20"/>
        </w:rPr>
        <w:t>таблице округлены с точностью до сотых аналогично примеру определения и обоснования НМЦ</w:t>
      </w:r>
      <w:r w:rsidR="00DA12D6">
        <w:rPr>
          <w:sz w:val="20"/>
          <w:szCs w:val="20"/>
        </w:rPr>
        <w:t>Д</w:t>
      </w:r>
      <w:r>
        <w:rPr>
          <w:sz w:val="20"/>
          <w:szCs w:val="20"/>
        </w:rPr>
        <w:t xml:space="preserve"> методом сопоставимых рыночных цен</w:t>
      </w:r>
      <w:r w:rsidR="00565021">
        <w:rPr>
          <w:sz w:val="20"/>
          <w:szCs w:val="20"/>
        </w:rPr>
        <w:t>.</w:t>
      </w:r>
      <w:bookmarkStart w:id="0" w:name="_GoBack"/>
      <w:bookmarkEnd w:id="0"/>
    </w:p>
    <w:sectPr w:rsidR="006275E0" w:rsidSect="004520C5">
      <w:pgSz w:w="16838" w:h="11906" w:orient="landscape"/>
      <w:pgMar w:top="1134" w:right="851" w:bottom="567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50" w:rsidRDefault="001B4F50" w:rsidP="00E142E6">
      <w:r>
        <w:separator/>
      </w:r>
    </w:p>
  </w:endnote>
  <w:endnote w:type="continuationSeparator" w:id="0">
    <w:p w:rsidR="001B4F50" w:rsidRDefault="001B4F50" w:rsidP="00E1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50" w:rsidRDefault="001B4F50" w:rsidP="00E142E6">
      <w:r>
        <w:separator/>
      </w:r>
    </w:p>
  </w:footnote>
  <w:footnote w:type="continuationSeparator" w:id="0">
    <w:p w:rsidR="001B4F50" w:rsidRDefault="001B4F50" w:rsidP="00E1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6in;visibility:visible;mso-wrap-style:square" o:bullet="t">
        <v:imagedata r:id="rId1" o:title=""/>
      </v:shape>
    </w:pict>
  </w:numPicBullet>
  <w:abstractNum w:abstractNumId="0">
    <w:nsid w:val="6F740779"/>
    <w:multiLevelType w:val="hybridMultilevel"/>
    <w:tmpl w:val="D4A6A00E"/>
    <w:lvl w:ilvl="0" w:tplc="633C61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1398D"/>
    <w:multiLevelType w:val="hybridMultilevel"/>
    <w:tmpl w:val="EA4A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129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D76"/>
    <w:rsid w:val="00006F91"/>
    <w:rsid w:val="00044D76"/>
    <w:rsid w:val="00046972"/>
    <w:rsid w:val="000622DF"/>
    <w:rsid w:val="0008085F"/>
    <w:rsid w:val="00096095"/>
    <w:rsid w:val="000A5341"/>
    <w:rsid w:val="000A6295"/>
    <w:rsid w:val="000B5BA1"/>
    <w:rsid w:val="000D06E4"/>
    <w:rsid w:val="000D7D50"/>
    <w:rsid w:val="000E73DF"/>
    <w:rsid w:val="000F0D60"/>
    <w:rsid w:val="00122D20"/>
    <w:rsid w:val="001B1B5C"/>
    <w:rsid w:val="001B4F50"/>
    <w:rsid w:val="001C0246"/>
    <w:rsid w:val="001C7553"/>
    <w:rsid w:val="001D0AF9"/>
    <w:rsid w:val="001D3175"/>
    <w:rsid w:val="00212D1E"/>
    <w:rsid w:val="00223AF8"/>
    <w:rsid w:val="002240CB"/>
    <w:rsid w:val="00226472"/>
    <w:rsid w:val="002344FB"/>
    <w:rsid w:val="002371E1"/>
    <w:rsid w:val="00250803"/>
    <w:rsid w:val="00290CFD"/>
    <w:rsid w:val="002B0ECB"/>
    <w:rsid w:val="002B637E"/>
    <w:rsid w:val="002D07CA"/>
    <w:rsid w:val="002D3217"/>
    <w:rsid w:val="002D51DF"/>
    <w:rsid w:val="002D577A"/>
    <w:rsid w:val="00305826"/>
    <w:rsid w:val="0030623B"/>
    <w:rsid w:val="00324FAE"/>
    <w:rsid w:val="00335E14"/>
    <w:rsid w:val="0037074C"/>
    <w:rsid w:val="00375C1D"/>
    <w:rsid w:val="00376746"/>
    <w:rsid w:val="00386400"/>
    <w:rsid w:val="0039010D"/>
    <w:rsid w:val="00392BC8"/>
    <w:rsid w:val="003972AB"/>
    <w:rsid w:val="003A2887"/>
    <w:rsid w:val="003B1330"/>
    <w:rsid w:val="003B47BA"/>
    <w:rsid w:val="003B4896"/>
    <w:rsid w:val="003C285D"/>
    <w:rsid w:val="00432AFD"/>
    <w:rsid w:val="00442937"/>
    <w:rsid w:val="004520C5"/>
    <w:rsid w:val="00464B12"/>
    <w:rsid w:val="0049345C"/>
    <w:rsid w:val="004948FD"/>
    <w:rsid w:val="004A3F47"/>
    <w:rsid w:val="004B5896"/>
    <w:rsid w:val="004E6BFC"/>
    <w:rsid w:val="005016EC"/>
    <w:rsid w:val="005266C8"/>
    <w:rsid w:val="00546AA4"/>
    <w:rsid w:val="00550AD3"/>
    <w:rsid w:val="00561495"/>
    <w:rsid w:val="00565021"/>
    <w:rsid w:val="00581CA8"/>
    <w:rsid w:val="005858AF"/>
    <w:rsid w:val="005B0D4C"/>
    <w:rsid w:val="005C1DA2"/>
    <w:rsid w:val="005F000C"/>
    <w:rsid w:val="005F3D47"/>
    <w:rsid w:val="006011B3"/>
    <w:rsid w:val="006275E0"/>
    <w:rsid w:val="00632183"/>
    <w:rsid w:val="00654872"/>
    <w:rsid w:val="00677289"/>
    <w:rsid w:val="00691D66"/>
    <w:rsid w:val="006A0B19"/>
    <w:rsid w:val="006A2A02"/>
    <w:rsid w:val="006B1637"/>
    <w:rsid w:val="006B1E59"/>
    <w:rsid w:val="006B22EF"/>
    <w:rsid w:val="006D5B14"/>
    <w:rsid w:val="006D78B0"/>
    <w:rsid w:val="006E6414"/>
    <w:rsid w:val="006F0E5D"/>
    <w:rsid w:val="006F4E22"/>
    <w:rsid w:val="00700E4B"/>
    <w:rsid w:val="00710117"/>
    <w:rsid w:val="007275A2"/>
    <w:rsid w:val="00745B88"/>
    <w:rsid w:val="00746786"/>
    <w:rsid w:val="00757EEC"/>
    <w:rsid w:val="007605D1"/>
    <w:rsid w:val="00761B88"/>
    <w:rsid w:val="007655BA"/>
    <w:rsid w:val="00781EDF"/>
    <w:rsid w:val="00783FC9"/>
    <w:rsid w:val="007901B3"/>
    <w:rsid w:val="007A4410"/>
    <w:rsid w:val="007A56B4"/>
    <w:rsid w:val="007A7350"/>
    <w:rsid w:val="007C6E48"/>
    <w:rsid w:val="008110A3"/>
    <w:rsid w:val="00811D6C"/>
    <w:rsid w:val="008257D0"/>
    <w:rsid w:val="00830AE5"/>
    <w:rsid w:val="00835344"/>
    <w:rsid w:val="00857956"/>
    <w:rsid w:val="00873F2D"/>
    <w:rsid w:val="0087529E"/>
    <w:rsid w:val="008B042F"/>
    <w:rsid w:val="008B0510"/>
    <w:rsid w:val="008D400F"/>
    <w:rsid w:val="008E516C"/>
    <w:rsid w:val="008E613F"/>
    <w:rsid w:val="009017FB"/>
    <w:rsid w:val="009205F7"/>
    <w:rsid w:val="00925E75"/>
    <w:rsid w:val="00934EFE"/>
    <w:rsid w:val="00954B78"/>
    <w:rsid w:val="009551A5"/>
    <w:rsid w:val="009553D8"/>
    <w:rsid w:val="00962531"/>
    <w:rsid w:val="00971596"/>
    <w:rsid w:val="009870A3"/>
    <w:rsid w:val="009B5E61"/>
    <w:rsid w:val="009D0196"/>
    <w:rsid w:val="009E7C0A"/>
    <w:rsid w:val="009F0E6D"/>
    <w:rsid w:val="009F3201"/>
    <w:rsid w:val="00A0427F"/>
    <w:rsid w:val="00A05D1A"/>
    <w:rsid w:val="00A12A4E"/>
    <w:rsid w:val="00A4116C"/>
    <w:rsid w:val="00A67688"/>
    <w:rsid w:val="00A85260"/>
    <w:rsid w:val="00AD2903"/>
    <w:rsid w:val="00AD5593"/>
    <w:rsid w:val="00AE7EB5"/>
    <w:rsid w:val="00AF0AF1"/>
    <w:rsid w:val="00AF2702"/>
    <w:rsid w:val="00AF3419"/>
    <w:rsid w:val="00AF686B"/>
    <w:rsid w:val="00B11C92"/>
    <w:rsid w:val="00B1639B"/>
    <w:rsid w:val="00B37C83"/>
    <w:rsid w:val="00B46DCF"/>
    <w:rsid w:val="00B735FE"/>
    <w:rsid w:val="00B968E7"/>
    <w:rsid w:val="00BA5E74"/>
    <w:rsid w:val="00BE129E"/>
    <w:rsid w:val="00C104FB"/>
    <w:rsid w:val="00C12AB9"/>
    <w:rsid w:val="00C217E8"/>
    <w:rsid w:val="00C23453"/>
    <w:rsid w:val="00C535F4"/>
    <w:rsid w:val="00C57A7B"/>
    <w:rsid w:val="00C609B4"/>
    <w:rsid w:val="00C60F9A"/>
    <w:rsid w:val="00C625F5"/>
    <w:rsid w:val="00C718C9"/>
    <w:rsid w:val="00C86511"/>
    <w:rsid w:val="00CB7611"/>
    <w:rsid w:val="00CC66B8"/>
    <w:rsid w:val="00CC6FB8"/>
    <w:rsid w:val="00D00FCD"/>
    <w:rsid w:val="00D016E3"/>
    <w:rsid w:val="00D05F59"/>
    <w:rsid w:val="00D067E6"/>
    <w:rsid w:val="00D163D6"/>
    <w:rsid w:val="00D35193"/>
    <w:rsid w:val="00D3788E"/>
    <w:rsid w:val="00D50A12"/>
    <w:rsid w:val="00D51641"/>
    <w:rsid w:val="00D62228"/>
    <w:rsid w:val="00D64E84"/>
    <w:rsid w:val="00D8445B"/>
    <w:rsid w:val="00D863E1"/>
    <w:rsid w:val="00DA12D6"/>
    <w:rsid w:val="00DA3E9B"/>
    <w:rsid w:val="00DA6EC5"/>
    <w:rsid w:val="00DB576B"/>
    <w:rsid w:val="00DD4AE6"/>
    <w:rsid w:val="00DE305F"/>
    <w:rsid w:val="00DF0938"/>
    <w:rsid w:val="00DF0956"/>
    <w:rsid w:val="00E142E6"/>
    <w:rsid w:val="00E252A3"/>
    <w:rsid w:val="00E55B64"/>
    <w:rsid w:val="00E56353"/>
    <w:rsid w:val="00E56D6F"/>
    <w:rsid w:val="00E57133"/>
    <w:rsid w:val="00EB3A0C"/>
    <w:rsid w:val="00EB4934"/>
    <w:rsid w:val="00EC64CB"/>
    <w:rsid w:val="00ED0541"/>
    <w:rsid w:val="00ED2DE4"/>
    <w:rsid w:val="00ED3678"/>
    <w:rsid w:val="00EE08E7"/>
    <w:rsid w:val="00EF10CA"/>
    <w:rsid w:val="00EF15BB"/>
    <w:rsid w:val="00F064F5"/>
    <w:rsid w:val="00F60D50"/>
    <w:rsid w:val="00F63932"/>
    <w:rsid w:val="00F67754"/>
    <w:rsid w:val="00F70D2C"/>
    <w:rsid w:val="00FB0033"/>
    <w:rsid w:val="00FB225D"/>
    <w:rsid w:val="00FB3303"/>
    <w:rsid w:val="00FC0467"/>
    <w:rsid w:val="00FC40FF"/>
    <w:rsid w:val="00FC4578"/>
    <w:rsid w:val="00FC7DE8"/>
    <w:rsid w:val="00FE618A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6AA4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B76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B7611"/>
    <w:rPr>
      <w:sz w:val="24"/>
      <w:szCs w:val="24"/>
    </w:rPr>
  </w:style>
  <w:style w:type="paragraph" w:styleId="a8">
    <w:name w:val="Normal (Web)"/>
    <w:basedOn w:val="a"/>
    <w:uiPriority w:val="99"/>
    <w:rsid w:val="00CB7611"/>
    <w:pPr>
      <w:spacing w:before="200" w:after="200"/>
      <w:ind w:left="200" w:right="200"/>
    </w:pPr>
  </w:style>
  <w:style w:type="paragraph" w:customStyle="1" w:styleId="ConsPlusNormal">
    <w:name w:val="ConsPlusNormal"/>
    <w:rsid w:val="00CB76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42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42E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142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42E6"/>
    <w:rPr>
      <w:sz w:val="24"/>
      <w:szCs w:val="24"/>
    </w:rPr>
  </w:style>
  <w:style w:type="character" w:customStyle="1" w:styleId="Style2">
    <w:name w:val="Style2 Знак"/>
    <w:link w:val="Style20"/>
    <w:semiHidden/>
    <w:locked/>
    <w:rsid w:val="00CC66B8"/>
    <w:rPr>
      <w:rFonts w:ascii="Arial" w:hAnsi="Arial" w:cs="Arial"/>
      <w:lang w:eastAsia="en-US"/>
    </w:rPr>
  </w:style>
  <w:style w:type="paragraph" w:customStyle="1" w:styleId="Style20">
    <w:name w:val="Style2"/>
    <w:link w:val="Style2"/>
    <w:semiHidden/>
    <w:rsid w:val="00CC6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  <w:style w:type="character" w:styleId="ad">
    <w:name w:val="Placeholder Text"/>
    <w:basedOn w:val="a0"/>
    <w:uiPriority w:val="99"/>
    <w:semiHidden/>
    <w:rsid w:val="00EE08E7"/>
    <w:rPr>
      <w:color w:val="808080"/>
    </w:rPr>
  </w:style>
  <w:style w:type="character" w:styleId="ae">
    <w:name w:val="Hyperlink"/>
    <w:basedOn w:val="a0"/>
    <w:uiPriority w:val="99"/>
    <w:unhideWhenUsed/>
    <w:rsid w:val="00390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7EFC-BA26-40E7-8DBE-FB5913D3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418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 начальной (максимальной) цены контракта</vt:lpstr>
    </vt:vector>
  </TitlesOfParts>
  <Company>ugak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начальной (максимальной) цены контракта</dc:title>
  <dc:subject/>
  <dc:creator>Alik</dc:creator>
  <cp:keywords/>
  <dc:description/>
  <cp:lastModifiedBy>Скардина Оксана Владимировна</cp:lastModifiedBy>
  <cp:revision>81</cp:revision>
  <cp:lastPrinted>2020-01-22T05:57:00Z</cp:lastPrinted>
  <dcterms:created xsi:type="dcterms:W3CDTF">2017-03-13T06:06:00Z</dcterms:created>
  <dcterms:modified xsi:type="dcterms:W3CDTF">2020-12-14T09:46:00Z</dcterms:modified>
</cp:coreProperties>
</file>