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69" w:rsidRPr="00640F84" w:rsidRDefault="00D60E69" w:rsidP="00D60E69">
      <w:pPr>
        <w:widowControl w:val="0"/>
        <w:autoSpaceDE w:val="0"/>
        <w:autoSpaceDN w:val="0"/>
        <w:ind w:firstLine="540"/>
        <w:jc w:val="center"/>
        <w:rPr>
          <w:b/>
        </w:rPr>
      </w:pPr>
      <w:r w:rsidRPr="00640F84">
        <w:rPr>
          <w:b/>
        </w:rPr>
        <w:t>ТЕХНИЧЕСКОЕ ЗАДАНИЕ</w:t>
      </w:r>
    </w:p>
    <w:p w:rsidR="00D60E69" w:rsidRDefault="00D60E69" w:rsidP="00D60E69">
      <w:pPr>
        <w:widowControl w:val="0"/>
        <w:autoSpaceDE w:val="0"/>
        <w:autoSpaceDN w:val="0"/>
        <w:jc w:val="center"/>
        <w:rPr>
          <w:b/>
          <w:caps/>
          <w:color w:val="000000"/>
        </w:rPr>
      </w:pPr>
      <w:r w:rsidRPr="00640F84">
        <w:rPr>
          <w:b/>
          <w:caps/>
          <w:color w:val="000000"/>
        </w:rPr>
        <w:t>на разработк</w:t>
      </w:r>
      <w:r>
        <w:rPr>
          <w:b/>
          <w:caps/>
          <w:color w:val="000000"/>
        </w:rPr>
        <w:t>у</w:t>
      </w:r>
      <w:r w:rsidRPr="00640F84">
        <w:rPr>
          <w:b/>
          <w:caps/>
          <w:color w:val="000000"/>
        </w:rPr>
        <w:t xml:space="preserve"> проектно-сметной документации по объекту: </w:t>
      </w:r>
      <w:r>
        <w:rPr>
          <w:b/>
          <w:caps/>
          <w:color w:val="000000"/>
        </w:rPr>
        <w:t>5-ти этажный спальный корпус на территор</w:t>
      </w:r>
      <w:proofErr w:type="gramStart"/>
      <w:r>
        <w:rPr>
          <w:b/>
          <w:caps/>
          <w:color w:val="000000"/>
        </w:rPr>
        <w:t>ии ООО</w:t>
      </w:r>
      <w:proofErr w:type="gramEnd"/>
      <w:r>
        <w:rPr>
          <w:b/>
          <w:caps/>
          <w:color w:val="000000"/>
        </w:rPr>
        <w:t xml:space="preserve"> санаторий « Карагай» </w:t>
      </w:r>
    </w:p>
    <w:p w:rsidR="00D60E69" w:rsidRPr="008B35BB" w:rsidRDefault="00D60E69" w:rsidP="00D60E69">
      <w:pPr>
        <w:widowControl w:val="0"/>
        <w:autoSpaceDE w:val="0"/>
        <w:autoSpaceDN w:val="0"/>
        <w:jc w:val="center"/>
        <w:rPr>
          <w:rFonts w:cs="Calibri"/>
          <w:szCs w:val="20"/>
        </w:rPr>
      </w:pPr>
    </w:p>
    <w:tbl>
      <w:tblPr>
        <w:tblpPr w:leftFromText="180" w:rightFromText="180" w:vertAnchor="text" w:horzAnchor="margin" w:tblpXSpec="center" w:tblpY="220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392"/>
        <w:gridCol w:w="11"/>
        <w:gridCol w:w="5658"/>
        <w:gridCol w:w="62"/>
        <w:gridCol w:w="15"/>
      </w:tblGrid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jc w:val="center"/>
            </w:pPr>
            <w:r w:rsidRPr="00640F84">
              <w:t xml:space="preserve">№ </w:t>
            </w:r>
            <w:proofErr w:type="gramStart"/>
            <w:r w:rsidRPr="00640F84">
              <w:t>п</w:t>
            </w:r>
            <w:proofErr w:type="gramEnd"/>
            <w:r w:rsidRPr="00640F84">
              <w:t>/п</w:t>
            </w:r>
          </w:p>
        </w:tc>
        <w:tc>
          <w:tcPr>
            <w:tcW w:w="3392" w:type="dxa"/>
          </w:tcPr>
          <w:p w:rsidR="00D60E69" w:rsidRPr="00640F84" w:rsidRDefault="00D60E69" w:rsidP="00A90132">
            <w:pPr>
              <w:jc w:val="center"/>
            </w:pPr>
            <w:r w:rsidRPr="00640F84">
              <w:t>Перечень данных и требований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jc w:val="center"/>
            </w:pPr>
            <w:r w:rsidRPr="00640F84">
              <w:t>Содержание данных и требований</w:t>
            </w:r>
          </w:p>
        </w:tc>
      </w:tr>
      <w:tr w:rsidR="00D60E69" w:rsidRPr="00640F84" w:rsidTr="00A90132">
        <w:trPr>
          <w:trHeight w:val="227"/>
        </w:trPr>
        <w:tc>
          <w:tcPr>
            <w:tcW w:w="10380" w:type="dxa"/>
            <w:gridSpan w:val="6"/>
          </w:tcPr>
          <w:p w:rsidR="00D60E69" w:rsidRPr="00640F84" w:rsidRDefault="00D60E69" w:rsidP="00D60E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40F84">
              <w:t>Общие данные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Основание для проектирования</w:t>
            </w:r>
          </w:p>
        </w:tc>
        <w:tc>
          <w:tcPr>
            <w:tcW w:w="5731" w:type="dxa"/>
            <w:gridSpan w:val="3"/>
          </w:tcPr>
          <w:p w:rsidR="00D60E69" w:rsidRPr="00EC3BF1" w:rsidRDefault="00D60E69" w:rsidP="00A90132">
            <w:r w:rsidRPr="00EC3BF1">
              <w:t xml:space="preserve">Договор с Заказчиком      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Заказчик (застройщик)</w:t>
            </w:r>
          </w:p>
        </w:tc>
        <w:tc>
          <w:tcPr>
            <w:tcW w:w="5731" w:type="dxa"/>
            <w:gridSpan w:val="3"/>
          </w:tcPr>
          <w:p w:rsidR="00D60E69" w:rsidRPr="00EC3BF1" w:rsidRDefault="00D60E69" w:rsidP="00A90132">
            <w:r w:rsidRPr="00EC3BF1">
              <w:t>ООО «Карагай»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Проектная организация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7147C4">
              <w:t>По результатам проведения конкурсных процедур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Вид финансирования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>
              <w:t>Собственные средства</w:t>
            </w:r>
            <w:r w:rsidRPr="007147C4">
              <w:t>.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Категория сложности объекта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>II категория сложности класс здания КС-2 согласно ГОСТ 27751-2014 «Надежность строительных конструкций и осн</w:t>
            </w:r>
            <w:r>
              <w:t>ований. Основные положения» (с </w:t>
            </w:r>
            <w:r w:rsidRPr="00640F84">
              <w:t>изменениями).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 xml:space="preserve">Уровень ответственности 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>Нормальный согласно Федеральному зак</w:t>
            </w:r>
            <w:r>
              <w:t xml:space="preserve">ону </w:t>
            </w:r>
            <w:r w:rsidRPr="00640F84">
              <w:t>от 30.12.2009 №</w:t>
            </w:r>
            <w:r>
              <w:t> </w:t>
            </w:r>
            <w:r w:rsidRPr="00640F84">
              <w:t>384-ФЗ «Технический ре</w:t>
            </w:r>
            <w:r>
              <w:t xml:space="preserve">гламент </w:t>
            </w:r>
            <w:r w:rsidRPr="00640F84">
              <w:t>о безопасности зданий и сооружений» (с изменениями).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 xml:space="preserve">Вид строительства 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>
              <w:t>Новое строительство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Сведения об объекте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>
              <w:t>Существующий комплекс зданий санатория Карагай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Нормативные документы и утвержденная проектная и градостроительная документация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>Проектирование вести в соответствии с действующей законодательной градостроительной, нормативно-технической документацией, СНиП и требованиями настоящего технического задания:</w:t>
            </w:r>
          </w:p>
          <w:p w:rsidR="00D60E69" w:rsidRPr="00640F84" w:rsidRDefault="00D60E69" w:rsidP="00A90132">
            <w:r w:rsidRPr="00640F84">
              <w:t>1.Постановление РФ №</w:t>
            </w:r>
            <w:r>
              <w:t> </w:t>
            </w:r>
            <w:r w:rsidRPr="00640F84">
              <w:t>87 от 16.02.2008 «О составе разделов проектной документации и требованиях к их содержанию».</w:t>
            </w:r>
          </w:p>
          <w:p w:rsidR="00D60E69" w:rsidRPr="00640F84" w:rsidRDefault="00D60E69" w:rsidP="00A90132">
            <w:r w:rsidRPr="00640F84">
              <w:t>2.ГОСТ 21.1101-2013 СПДС «Основные требования к проектной и рабочей документации».</w:t>
            </w:r>
          </w:p>
          <w:p w:rsidR="00D60E69" w:rsidRPr="00640F84" w:rsidRDefault="00D60E69" w:rsidP="00A90132">
            <w:r w:rsidRPr="00640F84">
              <w:t>3.ГОСТ 21.501-2018 СПДС «Правила выполнения рабочей документации архитектурных и конструктивных решений».</w:t>
            </w:r>
          </w:p>
          <w:p w:rsidR="00D60E69" w:rsidRPr="00640F84" w:rsidRDefault="00D60E69" w:rsidP="00A90132">
            <w:r>
              <w:t xml:space="preserve">4. Рабочую документацию </w:t>
            </w:r>
            <w:r w:rsidRPr="00640F84">
              <w:t>выполнить с учетом привязки к существующим инженерным сетям.</w:t>
            </w:r>
          </w:p>
          <w:p w:rsidR="00D60E69" w:rsidRPr="00640F84" w:rsidRDefault="00D60E69" w:rsidP="00A90132">
            <w:r>
              <w:t xml:space="preserve">5. </w:t>
            </w:r>
            <w:proofErr w:type="gramStart"/>
            <w:r>
              <w:t xml:space="preserve">Рабочую документацию выполнить в соответствии с требованиями: </w:t>
            </w:r>
            <w:r w:rsidRPr="00640F84">
              <w:t>от 30.12.2009 № 384-ФЗ «Технический регламент о безопасности зданий и со</w:t>
            </w:r>
            <w:r>
              <w:t>оружений», от 23.11.2009 № </w:t>
            </w:r>
            <w:r w:rsidRPr="00640F84">
              <w:t>261-ФЗ "Об энергосб</w:t>
            </w:r>
            <w:r>
              <w:t xml:space="preserve">ережении и </w:t>
            </w:r>
            <w:r w:rsidRPr="00640F84">
              <w:t>о повышении энергетической эффективности и о</w:t>
            </w:r>
            <w:r>
              <w:t xml:space="preserve"> внесении изменений</w:t>
            </w:r>
            <w:r w:rsidRPr="00640F84">
              <w:t xml:space="preserve"> в отдельные законодательные акты Российской Федерации", от 29.12.2004 №</w:t>
            </w:r>
            <w:r>
              <w:t> </w:t>
            </w:r>
            <w:r w:rsidRPr="00640F84">
              <w:t>190-ФЗ «Градострои</w:t>
            </w:r>
            <w:r w:rsidRPr="00640F84">
              <w:softHyphen/>
              <w:t>тельный кодекс Российс</w:t>
            </w:r>
            <w:r>
              <w:t xml:space="preserve">кой Федерации», </w:t>
            </w:r>
            <w:r w:rsidRPr="00640F84">
              <w:t>от 22.07.2008 №</w:t>
            </w:r>
            <w:r>
              <w:t> </w:t>
            </w:r>
            <w:r w:rsidRPr="00640F84">
              <w:t xml:space="preserve">123-ФЗ «Технический </w:t>
            </w:r>
            <w:r>
              <w:t xml:space="preserve">регламент </w:t>
            </w:r>
            <w:r w:rsidRPr="00640F84">
              <w:t>о требованиях пожарной безопасност</w:t>
            </w:r>
            <w:r>
              <w:t>и», от 21.12.94 № </w:t>
            </w:r>
            <w:r w:rsidRPr="00640F84">
              <w:t>69-ФЗ "О пожарной безопасности</w:t>
            </w:r>
            <w:r>
              <w:t>", от30</w:t>
            </w:r>
            <w:proofErr w:type="gramEnd"/>
            <w:r>
              <w:t>.</w:t>
            </w:r>
            <w:proofErr w:type="gramStart"/>
            <w:r>
              <w:t>03.99 № </w:t>
            </w:r>
            <w:r w:rsidRPr="00640F84">
              <w:t>52-ФЗ "О санитарно-эпидемиологическом благополучии населения",</w:t>
            </w:r>
            <w:r>
              <w:t xml:space="preserve"> от 10.01.2002 № 7-ФЗ</w:t>
            </w:r>
            <w:r w:rsidRPr="00640F84">
              <w:t xml:space="preserve"> "Об охране окружающей среды", постановление Правительства РФ от 26 декабря </w:t>
            </w:r>
            <w:r>
              <w:lastRenderedPageBreak/>
              <w:t>2014 г. № 1521</w:t>
            </w:r>
            <w:r w:rsidRPr="00640F84">
              <w:t xml:space="preserve">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</w:t>
            </w:r>
            <w:r>
              <w:t>сти зданий и сооружений"</w:t>
            </w:r>
            <w:r w:rsidRPr="00640F84">
              <w:t xml:space="preserve"> (по состоянию на 2019 г</w:t>
            </w:r>
            <w:proofErr w:type="gramEnd"/>
            <w:r w:rsidRPr="00640F84">
              <w:t xml:space="preserve">.), </w:t>
            </w:r>
            <w:proofErr w:type="gramStart"/>
            <w:r w:rsidRPr="00640F84">
              <w:t>постановление Правительства РФ от 2</w:t>
            </w:r>
            <w:r>
              <w:t>5 января 2011 </w:t>
            </w:r>
            <w:r w:rsidRPr="00640F84">
              <w:t>г.</w:t>
            </w:r>
            <w:r>
              <w:t xml:space="preserve"> № 18 </w:t>
            </w:r>
            <w:r w:rsidRPr="00640F84">
              <w:t>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 (с изменениями и дополнениями), п</w:t>
            </w:r>
            <w:r>
              <w:t>остановление Правительства РФ от 31.12.2009 № </w:t>
            </w:r>
            <w:r w:rsidRPr="00640F84">
              <w:t>1221 (ред. от 21.04.2018)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</w:t>
            </w:r>
            <w:proofErr w:type="gramEnd"/>
            <w:r w:rsidRPr="00640F84">
              <w:t xml:space="preserve"> муниципальных нужд", ГОСТ </w:t>
            </w:r>
            <w:proofErr w:type="gramStart"/>
            <w:r w:rsidRPr="00640F84">
              <w:t>Р</w:t>
            </w:r>
            <w:proofErr w:type="gramEnd"/>
            <w:r w:rsidRPr="00640F84">
              <w:t xml:space="preserve"> 54862-2011 «</w:t>
            </w:r>
            <w:proofErr w:type="spellStart"/>
            <w:r w:rsidRPr="00640F84">
              <w:t>Энергоэффективность</w:t>
            </w:r>
            <w:proofErr w:type="spellEnd"/>
            <w:r w:rsidRPr="00640F84">
              <w:t xml:space="preserve"> зданий. Методы определения влияния автоматизации, уп</w:t>
            </w:r>
            <w:r>
              <w:t xml:space="preserve">равления и эксплуатации здания», </w:t>
            </w:r>
            <w:proofErr w:type="gramStart"/>
            <w:r>
              <w:t>Р</w:t>
            </w:r>
            <w:proofErr w:type="gramEnd"/>
            <w:r>
              <w:t> </w:t>
            </w:r>
            <w:r w:rsidRPr="00640F84">
              <w:t>78.3</w:t>
            </w:r>
            <w:r>
              <w:t xml:space="preserve">6.002-2010, Р 78.36.005-2011, </w:t>
            </w:r>
            <w:r w:rsidRPr="00640F84">
              <w:t xml:space="preserve">Р 78.36.007-99, СП 3.13130.2009, </w:t>
            </w:r>
            <w:r>
              <w:t>СП 5.13130.2009, СП 12.13130.2009, СП 13-102-2003,</w:t>
            </w:r>
            <w:r w:rsidRPr="00640F84">
              <w:t xml:space="preserve"> СП 20.13330.2016, СП 22.13330.2016, СП 23-101-2004, СП 28.13330.2017, СП 29.13330.2011, СП 30.13330.2016,  СП 3</w:t>
            </w:r>
            <w:r>
              <w:t xml:space="preserve">1-110-2003, СП 32.13330.2012, </w:t>
            </w:r>
            <w:r w:rsidRPr="00640F84">
              <w:t>СП 42.13330.2016, СП 48</w:t>
            </w:r>
            <w:r>
              <w:t xml:space="preserve">.13330.2011, СП 51.13330.2011, СП 50.13330.2012, СП 52.13330.2016, </w:t>
            </w:r>
            <w:r w:rsidRPr="00640F84">
              <w:t>СП 60</w:t>
            </w:r>
            <w:r>
              <w:t xml:space="preserve">.13330.2012, СП 61.13330.2012, СП 71.13330.2017, </w:t>
            </w:r>
            <w:r w:rsidRPr="00640F84">
              <w:t>СП76.13330.2016,</w:t>
            </w:r>
            <w:r w:rsidRPr="00640F84">
              <w:rPr>
                <w:bCs/>
              </w:rPr>
              <w:t>СП82.13330.2016,</w:t>
            </w:r>
            <w:r>
              <w:t xml:space="preserve"> СП 112.13330.2011, СП </w:t>
            </w:r>
            <w:r w:rsidRPr="00640F84">
              <w:t xml:space="preserve">118.13330.2012, </w:t>
            </w:r>
            <w:r>
              <w:t>СП 131.13330.2012,</w:t>
            </w:r>
            <w:r w:rsidRPr="00640F84">
              <w:t xml:space="preserve"> СП</w:t>
            </w:r>
            <w:r>
              <w:t xml:space="preserve"> 256.1325800.2016,</w:t>
            </w:r>
            <w:r w:rsidRPr="00640F84">
              <w:t xml:space="preserve"> СанПиН 2.2.1/2.1.1.1076-01, СанПиН 2.2.1/2.1</w:t>
            </w:r>
            <w:r>
              <w:t>.1.1200-03, Приказ Минэнерго РФ</w:t>
            </w:r>
            <w:r w:rsidRPr="00640F84">
              <w:t xml:space="preserve"> от 20.06.2003 №</w:t>
            </w:r>
            <w:r>
              <w:t> </w:t>
            </w:r>
            <w:r w:rsidRPr="00640F84">
              <w:t>242 «Об утверждении глав правил устройства электроустановок», НПБ 244-97 «Материалы строительные», РД 78.3</w:t>
            </w:r>
            <w:r>
              <w:t xml:space="preserve">6.003-2002, </w:t>
            </w:r>
            <w:r w:rsidRPr="00640F84">
              <w:t>СО 153-34.21.122-2003, РД 78.145-93,19. РД 25.953-90, СНиП 21-01-97* «Пожарная безопасность зданий и сооружений».</w:t>
            </w:r>
          </w:p>
          <w:p w:rsidR="00D60E69" w:rsidRPr="00640F84" w:rsidRDefault="00D60E69" w:rsidP="00A90132">
            <w:r w:rsidRPr="00640F84">
              <w:t>Все оборудование и материалы должны иметь необходимые разрешения и сертификаты для применения на территории РФ.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5E4FC9" w:rsidRDefault="00D60E69" w:rsidP="00A90132">
            <w:r w:rsidRPr="005E4FC9">
              <w:t xml:space="preserve">Указания о выделении очередности </w:t>
            </w:r>
          </w:p>
        </w:tc>
        <w:tc>
          <w:tcPr>
            <w:tcW w:w="5731" w:type="dxa"/>
            <w:gridSpan w:val="3"/>
          </w:tcPr>
          <w:p w:rsidR="00D60E69" w:rsidRPr="005E4FC9" w:rsidRDefault="00D60E69" w:rsidP="00A90132">
            <w:pPr>
              <w:rPr>
                <w:strike/>
              </w:rPr>
            </w:pPr>
            <w:r w:rsidRPr="005E4FC9">
              <w:t>В один этап</w:t>
            </w:r>
          </w:p>
        </w:tc>
      </w:tr>
      <w:tr w:rsidR="00D60E69" w:rsidRPr="00640F84" w:rsidTr="00A90132">
        <w:trPr>
          <w:gridAfter w:val="2"/>
          <w:wAfter w:w="77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Сведения об обследовании и обмерных работах</w:t>
            </w:r>
          </w:p>
        </w:tc>
        <w:tc>
          <w:tcPr>
            <w:tcW w:w="5669" w:type="dxa"/>
            <w:gridSpan w:val="2"/>
          </w:tcPr>
          <w:p w:rsidR="00D60E69" w:rsidRPr="00640F84" w:rsidRDefault="00D60E69" w:rsidP="00A90132">
            <w:r>
              <w:t>нет</w:t>
            </w:r>
          </w:p>
          <w:p w:rsidR="00D60E69" w:rsidRPr="00D276CF" w:rsidRDefault="00D60E69" w:rsidP="00A90132">
            <w:pPr>
              <w:rPr>
                <w:strike/>
                <w:color w:val="FF0000"/>
              </w:rPr>
            </w:pPr>
          </w:p>
        </w:tc>
      </w:tr>
      <w:tr w:rsidR="00D60E69" w:rsidRPr="00640F84" w:rsidTr="00A90132">
        <w:trPr>
          <w:gridAfter w:val="2"/>
          <w:wAfter w:w="77" w:type="dxa"/>
          <w:trHeight w:val="2542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Сведения о технических условиях</w:t>
            </w:r>
          </w:p>
        </w:tc>
        <w:tc>
          <w:tcPr>
            <w:tcW w:w="5669" w:type="dxa"/>
            <w:gridSpan w:val="2"/>
          </w:tcPr>
          <w:p w:rsidR="00D60E69" w:rsidRPr="00640F84" w:rsidRDefault="00D60E69" w:rsidP="00A90132">
            <w:r w:rsidRPr="00640F84">
              <w:t xml:space="preserve">Документация, предоставляемая Заказчиком  в течение 10 дней после заключения </w:t>
            </w:r>
            <w:r>
              <w:t>договора</w:t>
            </w:r>
            <w:r w:rsidRPr="00640F84">
              <w:t>:</w:t>
            </w:r>
          </w:p>
          <w:p w:rsidR="00D60E69" w:rsidRPr="00640F84" w:rsidRDefault="00D60E69" w:rsidP="00A90132">
            <w:r w:rsidRPr="00640F84">
              <w:t>- информацию о кадастровых номерах земельных участков;</w:t>
            </w:r>
          </w:p>
          <w:p w:rsidR="00D60E69" w:rsidRDefault="00D60E69" w:rsidP="00A90132">
            <w:pPr>
              <w:rPr>
                <w:color w:val="000000"/>
              </w:rPr>
            </w:pPr>
            <w:r>
              <w:rPr>
                <w:color w:val="000000"/>
              </w:rPr>
              <w:t>- ГПЗУ</w:t>
            </w:r>
          </w:p>
          <w:p w:rsidR="00D60E69" w:rsidRPr="00640F84" w:rsidRDefault="00D60E69" w:rsidP="00A90132">
            <w:r w:rsidRPr="00640F84">
              <w:t>Полный сбор исходных данных выполняется Исполнителем в объеме необходимом для разработки проектной документации с согласованием проекта.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Срок выполнения проектных работ по контракту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 xml:space="preserve">C момента заключения </w:t>
            </w:r>
            <w:r>
              <w:t>договора не более 60 дней</w:t>
            </w:r>
            <w:r w:rsidRPr="00640F84">
              <w:t xml:space="preserve"> (с получением положительного заключения </w:t>
            </w:r>
            <w:r>
              <w:t>не</w:t>
            </w:r>
            <w:r w:rsidRPr="00640F84">
              <w:t>государственной экспертизы).</w:t>
            </w:r>
          </w:p>
        </w:tc>
      </w:tr>
      <w:tr w:rsidR="00D60E69" w:rsidRPr="00640F84" w:rsidTr="00A90132">
        <w:trPr>
          <w:trHeight w:val="227"/>
        </w:trPr>
        <w:tc>
          <w:tcPr>
            <w:tcW w:w="10380" w:type="dxa"/>
            <w:gridSpan w:val="6"/>
          </w:tcPr>
          <w:p w:rsidR="00D60E69" w:rsidRPr="00640F84" w:rsidRDefault="00D60E69" w:rsidP="00D60E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40F84">
              <w:t>Основные требования к проектным решениям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 xml:space="preserve">Архитектурно-планировочные решения </w:t>
            </w:r>
          </w:p>
        </w:tc>
        <w:tc>
          <w:tcPr>
            <w:tcW w:w="5731" w:type="dxa"/>
            <w:gridSpan w:val="3"/>
          </w:tcPr>
          <w:p w:rsidR="00D60E69" w:rsidRPr="00D276CF" w:rsidRDefault="00D60E69" w:rsidP="00A90132">
            <w:r w:rsidRPr="00D276CF">
              <w:t xml:space="preserve">1.Разработать не менее трех вариантов архитектурного облика здания (в том числе: навесной вентилируемый фасад). Цвет наружной отделки фасада, кровли согласовать с Заказчиком. *  </w:t>
            </w:r>
          </w:p>
          <w:p w:rsidR="00D60E69" w:rsidRDefault="00D60E69" w:rsidP="00A90132">
            <w:r w:rsidRPr="00D276CF">
              <w:t>2.Согласовать дизайн-проект (3</w:t>
            </w:r>
            <w:r w:rsidRPr="00D276CF">
              <w:rPr>
                <w:lang w:val="en-US"/>
              </w:rPr>
              <w:t>d</w:t>
            </w:r>
            <w:r w:rsidRPr="00D276CF">
              <w:t>-визуализацию) здания с прилегающей территорией, в том числе входные группы с Заказчиком. *</w:t>
            </w:r>
          </w:p>
          <w:p w:rsidR="00D60E69" w:rsidRPr="00D276CF" w:rsidRDefault="00D60E69" w:rsidP="00A90132">
            <w:r>
              <w:t>3</w:t>
            </w:r>
            <w:r w:rsidRPr="00865CFF">
              <w:t xml:space="preserve">. Разработать не менее трех вариантов </w:t>
            </w:r>
            <w:r>
              <w:t>объемно-планировочных решений</w:t>
            </w:r>
            <w:r w:rsidRPr="00865CFF">
              <w:t xml:space="preserve"> здания</w:t>
            </w:r>
            <w:r>
              <w:t xml:space="preserve">, </w:t>
            </w:r>
            <w:r w:rsidRPr="00D276CF">
              <w:t>3</w:t>
            </w:r>
            <w:r w:rsidRPr="00D276CF">
              <w:rPr>
                <w:lang w:val="en-US"/>
              </w:rPr>
              <w:t>d</w:t>
            </w:r>
            <w:r w:rsidRPr="00D276CF">
              <w:t>-визуализаци</w:t>
            </w:r>
            <w:r>
              <w:t>й интерьеров помещений</w:t>
            </w:r>
            <w:r w:rsidRPr="00865CFF">
              <w:t xml:space="preserve">. </w:t>
            </w:r>
            <w:r>
              <w:t>Планировки помещений и расстановку мебели</w:t>
            </w:r>
            <w:r w:rsidRPr="00865CFF">
              <w:t xml:space="preserve"> согласовать с Заказчиком. *  </w:t>
            </w:r>
          </w:p>
          <w:p w:rsidR="00D60E69" w:rsidRPr="00D276CF" w:rsidRDefault="00D60E69" w:rsidP="00A90132">
            <w:r>
              <w:t>4</w:t>
            </w:r>
            <w:r w:rsidRPr="00D276CF">
              <w:t>.Согласовать с Заказчиком* тип предлагаемого к установке оборудования и материалов. Ведомость отделки помещений предварительно согласовать с заказчиком в рабочем порядке при проектировании согласно выполненного дизайн проекта.</w:t>
            </w:r>
          </w:p>
          <w:p w:rsidR="00D60E69" w:rsidRPr="00D276CF" w:rsidRDefault="00D60E69" w:rsidP="00A90132">
            <w:r>
              <w:t>5</w:t>
            </w:r>
            <w:r w:rsidRPr="00D276CF">
              <w:t>.Предусмотреть демонтажные работы, решения по восстановлению прилегающей территории после производства работ, мероприятия по складированию материалов и по вывозу строительного мусора.</w:t>
            </w:r>
          </w:p>
          <w:p w:rsidR="00D60E69" w:rsidRDefault="00D60E69" w:rsidP="00A90132">
            <w:r w:rsidRPr="00D276CF">
              <w:t xml:space="preserve">6.Разработать «Схему организации движения транспорта и пешеходов на период </w:t>
            </w:r>
            <w:r>
              <w:t>строительства</w:t>
            </w:r>
            <w:r w:rsidRPr="00D276CF">
              <w:t xml:space="preserve"> здани</w:t>
            </w:r>
            <w:r>
              <w:t>я</w:t>
            </w:r>
          </w:p>
          <w:p w:rsidR="00D60E69" w:rsidRPr="00D276CF" w:rsidRDefault="00D60E69" w:rsidP="00A90132">
            <w:r w:rsidRPr="00D276CF">
              <w:t>7.Проработать последовательность демонтажных, монтажных работ.</w:t>
            </w:r>
          </w:p>
          <w:p w:rsidR="00D60E69" w:rsidRDefault="00D60E69" w:rsidP="00A90132">
            <w:r>
              <w:t>8</w:t>
            </w:r>
            <w:r w:rsidRPr="00D276CF">
              <w:t>. Все предлагаемые к применению материалы должны быть надлежащим образом сертифицированы и отвечать требованиям пожарной, санитарно-эпидемиологической и иной безопасности согласно действующих нормативных и правовых актов Российской Федерации.</w:t>
            </w:r>
          </w:p>
          <w:p w:rsidR="00D60E69" w:rsidRDefault="00D60E69" w:rsidP="00A90132">
            <w:r>
              <w:t xml:space="preserve">9. Этажность – </w:t>
            </w:r>
            <w:r w:rsidRPr="00773AD2">
              <w:t>5</w:t>
            </w:r>
            <w:r>
              <w:t xml:space="preserve"> (пять) этажа.</w:t>
            </w:r>
          </w:p>
          <w:p w:rsidR="00D60E69" w:rsidRPr="00D276CF" w:rsidRDefault="00D60E69" w:rsidP="00A90132">
            <w:r>
              <w:t xml:space="preserve">10 Спальные номера двухместные с лоджией (ориентировочная площадь 30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), санузел совмещенный.</w:t>
            </w:r>
          </w:p>
          <w:p w:rsidR="00D60E69" w:rsidRDefault="00D60E69" w:rsidP="00A90132">
            <w:pPr>
              <w:contextualSpacing/>
            </w:pPr>
            <w:r>
              <w:t xml:space="preserve">11. Проектируемый 5-ти этажный корпус выполнить </w:t>
            </w:r>
            <w:proofErr w:type="gramStart"/>
            <w:r>
              <w:t>пристроенным</w:t>
            </w:r>
            <w:proofErr w:type="gramEnd"/>
            <w:r>
              <w:t xml:space="preserve"> к существующему корпусу № 1</w:t>
            </w:r>
          </w:p>
          <w:p w:rsidR="00D60E69" w:rsidRDefault="00D60E69" w:rsidP="00A90132">
            <w:pPr>
              <w:contextualSpacing/>
            </w:pPr>
            <w:r>
              <w:t xml:space="preserve">12.Перед началом проектирования произвести необходимые обследования корпуса №1 с выдачей </w:t>
            </w:r>
            <w:r>
              <w:lastRenderedPageBreak/>
              <w:t>отчета (с выполнением  шурфов для существующего фундамента)</w:t>
            </w:r>
          </w:p>
          <w:p w:rsidR="00D60E69" w:rsidRPr="00D276CF" w:rsidRDefault="00D60E69" w:rsidP="00A90132">
            <w:pPr>
              <w:contextualSpacing/>
            </w:pPr>
            <w:r w:rsidRPr="00D276CF">
              <w:t>При подготовке объекта к проектированию Исполнитель выполняет комплекс мероприятий по получению необходимых исходных данных.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D60E69" w:rsidRPr="00640F84" w:rsidRDefault="00D60E69" w:rsidP="00A90132">
            <w:r w:rsidRPr="00640F84">
              <w:t>Конструктивные решения (изделия и материалы несущих и ограждающих конструкций)</w:t>
            </w:r>
          </w:p>
        </w:tc>
        <w:tc>
          <w:tcPr>
            <w:tcW w:w="5731" w:type="dxa"/>
            <w:gridSpan w:val="3"/>
            <w:tcBorders>
              <w:bottom w:val="single" w:sz="4" w:space="0" w:color="auto"/>
            </w:tcBorders>
          </w:tcPr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Фундаменты – ленточные железобетонные (сборные подушки и ФБС);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Конструкция стен: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Кирпич керамический – 380 мм,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 xml:space="preserve">Утеплитель </w:t>
            </w:r>
            <w:proofErr w:type="spellStart"/>
            <w:r w:rsidRPr="00865CFF">
              <w:rPr>
                <w:bCs/>
                <w:lang w:eastAsia="ar-SA"/>
              </w:rPr>
              <w:t>минераловатный</w:t>
            </w:r>
            <w:proofErr w:type="spellEnd"/>
            <w:r w:rsidRPr="00865CFF">
              <w:rPr>
                <w:bCs/>
                <w:lang w:eastAsia="ar-SA"/>
              </w:rPr>
              <w:t>, толщина по расчету.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 xml:space="preserve">Наружная отделка – </w:t>
            </w:r>
            <w:r>
              <w:rPr>
                <w:bCs/>
                <w:lang w:eastAsia="ar-SA"/>
              </w:rPr>
              <w:t>вентилируемый фасад (или варианты)</w:t>
            </w:r>
            <w:r w:rsidRPr="00865CFF">
              <w:rPr>
                <w:bCs/>
                <w:lang w:eastAsia="ar-SA"/>
              </w:rPr>
              <w:t xml:space="preserve">.  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Внутренняя отделка – затирка швов, штукатурка.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Полы – ц\</w:t>
            </w:r>
            <w:proofErr w:type="gramStart"/>
            <w:r w:rsidRPr="00865CFF">
              <w:rPr>
                <w:bCs/>
                <w:lang w:eastAsia="ar-SA"/>
              </w:rPr>
              <w:t>п</w:t>
            </w:r>
            <w:proofErr w:type="gramEnd"/>
            <w:r w:rsidRPr="00865CFF">
              <w:rPr>
                <w:bCs/>
                <w:lang w:eastAsia="ar-SA"/>
              </w:rPr>
              <w:t xml:space="preserve"> стяжка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 xml:space="preserve">Перекрытие </w:t>
            </w:r>
            <w:proofErr w:type="gramStart"/>
            <w:r w:rsidRPr="00865CFF">
              <w:rPr>
                <w:bCs/>
                <w:lang w:eastAsia="ar-SA"/>
              </w:rPr>
              <w:t>–ж</w:t>
            </w:r>
            <w:proofErr w:type="gramEnd"/>
            <w:r w:rsidRPr="00865CFF">
              <w:rPr>
                <w:bCs/>
                <w:lang w:eastAsia="ar-SA"/>
              </w:rPr>
              <w:t>/б сборные плиты;</w:t>
            </w:r>
          </w:p>
          <w:p w:rsidR="00D60E69" w:rsidRPr="00865CFF" w:rsidRDefault="00D60E69" w:rsidP="00A90132">
            <w:pPr>
              <w:tabs>
                <w:tab w:val="left" w:pos="1440"/>
              </w:tabs>
              <w:suppressAutoHyphens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Перегородки – кирпичные 120 мм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bCs/>
                <w:lang w:eastAsia="ar-SA"/>
              </w:rPr>
            </w:pPr>
            <w:r w:rsidRPr="00865CFF">
              <w:rPr>
                <w:bCs/>
                <w:lang w:eastAsia="ar-SA"/>
              </w:rPr>
              <w:t>Кровля стропильная деревянная двухскатная с углом не менее 25-30</w:t>
            </w:r>
            <w:r>
              <w:rPr>
                <w:bCs/>
                <w:lang w:eastAsia="ar-SA"/>
              </w:rPr>
              <w:t xml:space="preserve">°, покрытие кровли – </w:t>
            </w:r>
            <w:proofErr w:type="spellStart"/>
            <w:r w:rsidRPr="00865CFF">
              <w:rPr>
                <w:bCs/>
                <w:lang w:eastAsia="ar-SA"/>
              </w:rPr>
              <w:t>металл</w:t>
            </w:r>
            <w:r>
              <w:rPr>
                <w:bCs/>
                <w:lang w:eastAsia="ar-SA"/>
              </w:rPr>
              <w:t>очерепица</w:t>
            </w:r>
            <w:proofErr w:type="spellEnd"/>
            <w:r w:rsidRPr="00865CFF">
              <w:rPr>
                <w:bCs/>
                <w:lang w:eastAsia="ar-SA"/>
              </w:rPr>
              <w:t>.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lang w:eastAsia="ar-SA"/>
              </w:rPr>
            </w:pPr>
            <w:r w:rsidRPr="00865CFF">
              <w:rPr>
                <w:lang w:eastAsia="ar-SA"/>
              </w:rPr>
              <w:t>Окна</w:t>
            </w:r>
            <w:r w:rsidRPr="00865CFF">
              <w:rPr>
                <w:b/>
                <w:lang w:eastAsia="ar-SA"/>
              </w:rPr>
              <w:t xml:space="preserve"> -</w:t>
            </w:r>
            <w:r w:rsidRPr="00865CFF">
              <w:rPr>
                <w:lang w:eastAsia="ar-SA"/>
              </w:rPr>
              <w:t xml:space="preserve"> ПВХ с двухкамерным стеклопакетом, с поворотно-откидной створкой, с подоконной                                                           доской и отливом.</w:t>
            </w:r>
          </w:p>
          <w:p w:rsidR="00D60E69" w:rsidRDefault="00D60E69" w:rsidP="00A90132">
            <w:pPr>
              <w:suppressAutoHyphens/>
              <w:snapToGrid w:val="0"/>
              <w:rPr>
                <w:lang w:eastAsia="ar-SA"/>
              </w:rPr>
            </w:pPr>
            <w:r w:rsidRPr="00865CFF">
              <w:rPr>
                <w:lang w:eastAsia="ar-SA"/>
              </w:rPr>
              <w:t xml:space="preserve">Дверь входная – металлическая с порошковой окраской, утепленная, для наружной установки, двери внутренние </w:t>
            </w:r>
            <w:r>
              <w:rPr>
                <w:lang w:eastAsia="ar-SA"/>
              </w:rPr>
              <w:t>–</w:t>
            </w:r>
            <w:r w:rsidRPr="00865CFF">
              <w:rPr>
                <w:lang w:eastAsia="ar-SA"/>
              </w:rPr>
              <w:t xml:space="preserve"> деревянные</w:t>
            </w:r>
            <w:r>
              <w:rPr>
                <w:lang w:eastAsia="ar-SA"/>
              </w:rPr>
              <w:t>.</w:t>
            </w:r>
          </w:p>
          <w:p w:rsidR="00D60E69" w:rsidRPr="00865CFF" w:rsidRDefault="00D60E69" w:rsidP="00A90132">
            <w:pPr>
              <w:suppressAutoHyphens/>
              <w:snapToGrid w:val="0"/>
              <w:rPr>
                <w:lang w:eastAsia="ar-SA"/>
              </w:rPr>
            </w:pPr>
          </w:p>
          <w:p w:rsidR="00D60E69" w:rsidRPr="00D276CF" w:rsidRDefault="00D60E69" w:rsidP="00A90132">
            <w:pPr>
              <w:contextualSpacing/>
            </w:pPr>
            <w:r w:rsidRPr="00D276CF">
              <w:t>Все решения согласовать с Заказчиком.*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  <w:tcBorders>
              <w:right w:val="single" w:sz="4" w:space="0" w:color="auto"/>
            </w:tcBorders>
          </w:tcPr>
          <w:p w:rsidR="00D60E69" w:rsidRPr="00640F84" w:rsidRDefault="00D60E69" w:rsidP="00A90132">
            <w:pPr>
              <w:contextualSpacing/>
            </w:pPr>
            <w:r w:rsidRPr="00640F84">
              <w:t>2.3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9" w:rsidRPr="00640F84" w:rsidRDefault="00D60E69" w:rsidP="00A90132">
            <w:r w:rsidRPr="00640F84">
              <w:t xml:space="preserve"> Инженерные системы здания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9" w:rsidRDefault="00D60E69" w:rsidP="00A90132">
            <w:pPr>
              <w:contextualSpacing/>
            </w:pPr>
            <w:r w:rsidRPr="00D276CF">
              <w:t>Согласовать с Заказчиком* тип предлагаемого к установке оборудования и материалов</w:t>
            </w:r>
          </w:p>
          <w:p w:rsidR="00D60E69" w:rsidRPr="00640F84" w:rsidRDefault="00D60E69" w:rsidP="00A90132">
            <w:pPr>
              <w:contextualSpacing/>
            </w:pPr>
            <w:r>
              <w:t>И</w:t>
            </w:r>
            <w:r w:rsidRPr="00640F84">
              <w:t>нженерно-технологическо</w:t>
            </w:r>
            <w:r>
              <w:t>е</w:t>
            </w:r>
            <w:r w:rsidRPr="00640F84">
              <w:t xml:space="preserve"> обеспечени</w:t>
            </w:r>
            <w:r>
              <w:t>е</w:t>
            </w:r>
            <w:r w:rsidRPr="00640F84">
              <w:t xml:space="preserve"> и </w:t>
            </w:r>
            <w:proofErr w:type="spellStart"/>
            <w:r w:rsidRPr="00640F84">
              <w:t>оборудовани</w:t>
            </w:r>
            <w:r>
              <w:t>едолжно</w:t>
            </w:r>
            <w:proofErr w:type="spellEnd"/>
            <w:r>
              <w:t xml:space="preserve"> иметь сертификацию </w:t>
            </w:r>
            <w:proofErr w:type="gramStart"/>
            <w:r>
              <w:t>согласно</w:t>
            </w:r>
            <w:proofErr w:type="gramEnd"/>
            <w:r w:rsidRPr="00640F84">
              <w:t xml:space="preserve"> действую</w:t>
            </w:r>
            <w:r>
              <w:t>щих нормативных требований и СП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2.3.1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0E69" w:rsidRPr="00640F84" w:rsidRDefault="00D60E69" w:rsidP="00A90132">
            <w:r w:rsidRPr="00640F84">
              <w:t>Архитектурная подсветка,  охранное электроосвещение, система подогрева входных групп от наледи.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>Предусмотреть охранное освещение по периметру здания, выполнить визуализацию с картой освещенности по зонам. Управление освещением – автоматическое с применением астрономического таймера.  Предусмотреть системы подогрева входных групп от наледи. Предусмотреть работы по испытанию и измерению электрических величин систем освещения и подогрева после монтажа в объеме приемо-сдаточных испытаний.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2.3.2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D60E69" w:rsidRPr="00640F84" w:rsidRDefault="00D60E69" w:rsidP="00A90132">
            <w:proofErr w:type="spellStart"/>
            <w:r w:rsidRPr="00640F84">
              <w:t>Молниезащита</w:t>
            </w:r>
            <w:proofErr w:type="spellEnd"/>
            <w:r w:rsidRPr="00640F84">
              <w:t>.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 xml:space="preserve">По результатам принятых проектных решений предусмотреть затраты на  монтаж </w:t>
            </w:r>
            <w:r>
              <w:rPr>
                <w:color w:val="000000"/>
              </w:rPr>
              <w:t xml:space="preserve">системы </w:t>
            </w:r>
            <w:proofErr w:type="spellStart"/>
            <w:r>
              <w:rPr>
                <w:color w:val="000000"/>
              </w:rPr>
              <w:t>молниезащиты</w:t>
            </w:r>
            <w:proofErr w:type="spellEnd"/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2.3.3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rPr>
                <w:color w:val="000000"/>
              </w:rPr>
            </w:pPr>
            <w:r w:rsidRPr="00640F84">
              <w:rPr>
                <w:color w:val="000000"/>
              </w:rPr>
              <w:t>Ливневая и хозяйственно-бытовая канализация</w:t>
            </w:r>
          </w:p>
        </w:tc>
        <w:tc>
          <w:tcPr>
            <w:tcW w:w="5731" w:type="dxa"/>
            <w:gridSpan w:val="3"/>
          </w:tcPr>
          <w:p w:rsidR="00D60E69" w:rsidRPr="005E4FC9" w:rsidRDefault="00D60E69" w:rsidP="00A90132">
            <w:pPr>
              <w:contextualSpacing/>
            </w:pPr>
            <w:r w:rsidRPr="005E4FC9">
              <w:t xml:space="preserve">Предусмотреть </w:t>
            </w:r>
            <w:r>
              <w:t>систему</w:t>
            </w:r>
            <w:r w:rsidRPr="005E4FC9">
              <w:t>:</w:t>
            </w:r>
          </w:p>
          <w:p w:rsidR="00D60E69" w:rsidRPr="005E4FC9" w:rsidRDefault="00D60E69" w:rsidP="00A90132">
            <w:pPr>
              <w:contextualSpacing/>
            </w:pPr>
            <w:r w:rsidRPr="005E4FC9">
              <w:t>- водостоков;</w:t>
            </w:r>
          </w:p>
          <w:p w:rsidR="00D60E69" w:rsidRPr="005E4FC9" w:rsidRDefault="00D60E69" w:rsidP="00A90132">
            <w:pPr>
              <w:contextualSpacing/>
            </w:pPr>
            <w:r w:rsidRPr="005E4FC9">
              <w:t>- фановых труб;</w:t>
            </w:r>
          </w:p>
          <w:p w:rsidR="00D60E69" w:rsidRDefault="00D60E69" w:rsidP="00A90132">
            <w:pPr>
              <w:contextualSpacing/>
            </w:pPr>
            <w:r w:rsidRPr="005E4FC9">
              <w:t xml:space="preserve">- наружных уличных трубопроводов хозяйственно-бытовой канализации на двухслойные полипропиленовые </w:t>
            </w:r>
            <w:proofErr w:type="gramStart"/>
            <w:r w:rsidRPr="005E4FC9">
              <w:t>трубы</w:t>
            </w:r>
            <w:proofErr w:type="gramEnd"/>
            <w:r w:rsidRPr="005E4FC9">
              <w:t xml:space="preserve"> гофрированные с наружной стороны и гладкие с внутренней стороны;</w:t>
            </w:r>
          </w:p>
          <w:p w:rsidR="00D60E69" w:rsidRPr="00640F84" w:rsidRDefault="00D60E69" w:rsidP="00A90132">
            <w:pPr>
              <w:contextualSpacing/>
              <w:rPr>
                <w:color w:val="000000"/>
              </w:rPr>
            </w:pP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  <w:tcBorders>
              <w:bottom w:val="single" w:sz="4" w:space="0" w:color="auto"/>
            </w:tcBorders>
          </w:tcPr>
          <w:p w:rsidR="00D60E69" w:rsidRPr="00640F84" w:rsidRDefault="00D60E69" w:rsidP="00A90132">
            <w:pPr>
              <w:contextualSpacing/>
            </w:pPr>
            <w:r w:rsidRPr="00640F84">
              <w:lastRenderedPageBreak/>
              <w:t>2.3.4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D60E69" w:rsidRPr="00640F84" w:rsidRDefault="00D60E69" w:rsidP="00A90132">
            <w:pPr>
              <w:jc w:val="left"/>
            </w:pPr>
            <w:r w:rsidRPr="00640F84">
              <w:t>Вентиляция и  кондиционирование</w:t>
            </w:r>
          </w:p>
        </w:tc>
        <w:tc>
          <w:tcPr>
            <w:tcW w:w="5731" w:type="dxa"/>
            <w:gridSpan w:val="3"/>
            <w:tcBorders>
              <w:bottom w:val="single" w:sz="4" w:space="0" w:color="auto"/>
            </w:tcBorders>
          </w:tcPr>
          <w:p w:rsidR="00D60E69" w:rsidRDefault="00D60E69" w:rsidP="00A90132">
            <w:pPr>
              <w:contextualSpacing/>
            </w:pPr>
            <w:r w:rsidRPr="00640F84">
              <w:t xml:space="preserve">По результатам принятых проектных решений предусмотреть затраты на  монтаж </w:t>
            </w:r>
            <w:r>
              <w:t>оборудования или конструкций</w:t>
            </w:r>
            <w:r w:rsidRPr="00640F84">
              <w:t xml:space="preserve">. 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Требования к инженерным системам: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Предусмотреть установку декоративных панелей на наружные блоки систем кондиционирования, сочетающихся с отделкой фасада здания.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Предусмотреть при необходимости, устройство козырьков вентиляционных каналов на кровле.</w:t>
            </w:r>
          </w:p>
          <w:p w:rsidR="00D60E69" w:rsidRPr="00640F84" w:rsidRDefault="00D60E69" w:rsidP="00A90132">
            <w:pPr>
              <w:contextualSpacing/>
            </w:pPr>
            <w:r>
              <w:t>Предусмотреть кондиционирование помещений по согласованию с Заказчиком.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  <w:tcBorders>
              <w:right w:val="single" w:sz="4" w:space="0" w:color="auto"/>
            </w:tcBorders>
          </w:tcPr>
          <w:p w:rsidR="00D60E69" w:rsidRPr="00640F84" w:rsidRDefault="00D60E69" w:rsidP="00A90132">
            <w:pPr>
              <w:contextualSpacing/>
            </w:pPr>
            <w:r w:rsidRPr="00640F84">
              <w:t>2.3.5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E69" w:rsidRPr="00640F84" w:rsidRDefault="00D60E69" w:rsidP="00A90132">
            <w:r w:rsidRPr="00640F84">
              <w:t>Видеонаблюдение, охранная сигнализация, СКУД.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E69" w:rsidRPr="00640F84" w:rsidRDefault="00D60E69" w:rsidP="00A90132">
            <w:pPr>
              <w:contextualSpacing/>
            </w:pPr>
            <w:r w:rsidRPr="00640F84">
              <w:rPr>
                <w:color w:val="000000"/>
              </w:rPr>
              <w:t>В объеме требований действующих нормативных документов и законодательства РФ.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2.3.6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:rsidR="00D60E69" w:rsidRPr="00640F84" w:rsidRDefault="00D60E69" w:rsidP="00A90132">
            <w:pPr>
              <w:rPr>
                <w:color w:val="000000"/>
              </w:rPr>
            </w:pPr>
            <w:r w:rsidRPr="00640F84">
              <w:rPr>
                <w:color w:val="000000"/>
              </w:rPr>
              <w:t xml:space="preserve">Требования пожарной безопасности 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</w:tcBorders>
          </w:tcPr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>В объеме требований действующих нормативных документов и законодательства РФ.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2.3.7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Требования к разработке комплексных мероприятий по антитеррористической защищенности</w:t>
            </w:r>
          </w:p>
        </w:tc>
        <w:tc>
          <w:tcPr>
            <w:tcW w:w="5731" w:type="dxa"/>
            <w:gridSpan w:val="3"/>
          </w:tcPr>
          <w:p w:rsidR="00D60E69" w:rsidRPr="00B501EC" w:rsidRDefault="00D60E69" w:rsidP="00A90132">
            <w:pPr>
              <w:contextualSpacing/>
            </w:pPr>
            <w:r w:rsidRPr="00B501EC">
              <w:t>Согласно СП 132.13330.2011 «Обеспечение антитеррористической  защищенности зданий и сооружений. Общие требования проектирования»</w:t>
            </w:r>
          </w:p>
          <w:p w:rsidR="00D60E69" w:rsidRPr="00B501EC" w:rsidRDefault="00D60E69" w:rsidP="00A90132">
            <w:pPr>
              <w:contextualSpacing/>
            </w:pP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2.4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Требования к выполнению проектной документации</w:t>
            </w:r>
          </w:p>
        </w:tc>
        <w:tc>
          <w:tcPr>
            <w:tcW w:w="5731" w:type="dxa"/>
            <w:gridSpan w:val="3"/>
          </w:tcPr>
          <w:p w:rsidR="00D60E69" w:rsidRPr="00D276CF" w:rsidRDefault="00D60E69" w:rsidP="00D60E6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40F84">
              <w:t xml:space="preserve">Состав и содержание проектной (рабочей) документации выполнить в соответствие ГОСТ </w:t>
            </w:r>
            <w:proofErr w:type="gramStart"/>
            <w:r w:rsidRPr="00640F84">
              <w:t>Р</w:t>
            </w:r>
            <w:proofErr w:type="gramEnd"/>
            <w:r w:rsidRPr="00640F84">
              <w:t xml:space="preserve"> 21.1101-2013 «Система проектной документации для строительства. Основные требования к проектной и рабочей документации» утвержденные Приказом Федерального агентства по техническому регулированию и метрологии от 11.06.2013 г. № 156-ст и постановления Правительства Российской Федерации №87 от 16.02.2008 г. «О составе разделов </w:t>
            </w:r>
            <w:r w:rsidRPr="00D276CF">
              <w:t>проектной документации и требованиях к их содержанию».</w:t>
            </w:r>
          </w:p>
          <w:p w:rsidR="00D60E69" w:rsidRPr="00D276CF" w:rsidRDefault="00D60E69" w:rsidP="00D60E6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D276CF">
              <w:t xml:space="preserve">Разработать содержание рабочей документации в достаточном объеме для реализации в процессе </w:t>
            </w:r>
            <w:r>
              <w:t>строительства</w:t>
            </w:r>
            <w:r w:rsidRPr="00D276CF">
              <w:t xml:space="preserve"> архитектурных, технических и технологических решений (подготовка спецификаций, ведомость объемов работ).</w:t>
            </w:r>
          </w:p>
          <w:p w:rsidR="00D60E69" w:rsidRPr="00D276CF" w:rsidRDefault="00D60E69" w:rsidP="00D60E6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D276CF">
              <w:t>Пояснительная записка, содержащая характеристику объекта, описание объекта; спецификация оборудования, изделий и материалов; ведомости потребности в материалах, ведомости объемов строительных и монтажных работ.</w:t>
            </w:r>
          </w:p>
          <w:p w:rsidR="00D60E69" w:rsidRPr="00D276CF" w:rsidRDefault="00D60E69" w:rsidP="00D60E6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D276CF">
              <w:t>Работы выполнить в соответствии с  требованиями к качеству работ ст. 721 Гражданского кодекса Российской Федерации.</w:t>
            </w:r>
          </w:p>
          <w:p w:rsidR="00D60E69" w:rsidRPr="00D276CF" w:rsidRDefault="00D60E69" w:rsidP="00D60E6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D276CF">
              <w:t>Предусмотреть проектом применение материалов и оборудования, сертифицированных в соответствии с действующими нормативными актами Российской Федерации.</w:t>
            </w:r>
          </w:p>
          <w:p w:rsidR="00D60E69" w:rsidRPr="00D276CF" w:rsidRDefault="00D60E69" w:rsidP="00A90132">
            <w:pPr>
              <w:contextualSpacing/>
            </w:pPr>
            <w:r w:rsidRPr="00D276CF">
              <w:t>Предусмотреть проектом применение оборудование, имеющее действующий сертификат соответствия систем сертификации ГОСТ-Р.</w:t>
            </w:r>
          </w:p>
          <w:p w:rsidR="00D60E69" w:rsidRPr="00640F84" w:rsidRDefault="00D60E69" w:rsidP="00A90132">
            <w:pPr>
              <w:contextualSpacing/>
            </w:pPr>
            <w:r w:rsidRPr="00D276CF">
              <w:t xml:space="preserve">6.Требование к графической части (визуализации </w:t>
            </w:r>
            <w:r w:rsidRPr="00D276CF">
              <w:lastRenderedPageBreak/>
              <w:t xml:space="preserve">интерьеров и экстерьеров) – с разрешением не менее 300 </w:t>
            </w:r>
            <w:r w:rsidRPr="00D276CF">
              <w:rPr>
                <w:lang w:val="en-US"/>
              </w:rPr>
              <w:t>dpi</w:t>
            </w:r>
            <w:r w:rsidRPr="00D276CF">
              <w:t>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lastRenderedPageBreak/>
              <w:t>2.5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Требования к сметной документации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>Сметная документация разрабатывается в объеме, соответствующем проектным решениям.</w:t>
            </w:r>
          </w:p>
          <w:p w:rsidR="00D60E69" w:rsidRPr="00640F84" w:rsidRDefault="00D60E69" w:rsidP="00A90132">
            <w:r w:rsidRPr="00640F84">
              <w:t xml:space="preserve">В разделе сметная документация подготовить сводный сметный расчет в соответствии с МДС 81-35.2004 (утвержденным и введенным в действие Постановлением Госстроя РФ от 05.03.2004г.). </w:t>
            </w:r>
            <w:proofErr w:type="gramStart"/>
            <w:r w:rsidRPr="00640F84">
              <w:t xml:space="preserve">Сметную документацию разработать в сметной нормативной базе РБ (СНБ РБ) ТЕР-2001 в редакции 2014 года с использованием сборников территориальных единичных расценок в редакции 2014 года с изменениями ТЕР 81-02-2001-И2 (6), </w:t>
            </w:r>
            <w:proofErr w:type="spellStart"/>
            <w:r w:rsidRPr="00640F84">
              <w:t>ТЕРм</w:t>
            </w:r>
            <w:proofErr w:type="spellEnd"/>
            <w:r w:rsidRPr="00640F84">
              <w:t xml:space="preserve"> 81-03-2001-И2(6), ТССЦ 81-01-2001-И2 (6), </w:t>
            </w:r>
            <w:proofErr w:type="spellStart"/>
            <w:r w:rsidRPr="00640F84">
              <w:t>ТССЦпг</w:t>
            </w:r>
            <w:proofErr w:type="spellEnd"/>
            <w:r w:rsidRPr="00640F84">
              <w:t xml:space="preserve"> 81-01-2001-И2 (6), ТСЭМ 81-01-2001-И2 (6), внесенными согласно Письма Госстроя РБ № 12-14/57 от 27.03.2017 г. «О внесении изменений в территориальные сметные нормативы в</w:t>
            </w:r>
            <w:proofErr w:type="gramEnd"/>
            <w:r w:rsidRPr="00640F84">
              <w:t xml:space="preserve"> редакции 2014 года».</w:t>
            </w:r>
          </w:p>
          <w:p w:rsidR="00D60E69" w:rsidRPr="00640F84" w:rsidRDefault="00D60E69" w:rsidP="00A90132">
            <w:r w:rsidRPr="00640F84">
              <w:t>Сводный сметный расчет и объектные сметы выполнить       в двух уровнях цен:</w:t>
            </w:r>
          </w:p>
          <w:p w:rsidR="00D60E69" w:rsidRPr="00640F84" w:rsidRDefault="00D60E69" w:rsidP="00A90132">
            <w:r w:rsidRPr="00640F84">
              <w:t>-в текущем уровне цен;</w:t>
            </w:r>
          </w:p>
          <w:p w:rsidR="00D60E69" w:rsidRPr="00640F84" w:rsidRDefault="00D60E69" w:rsidP="00A90132">
            <w:r w:rsidRPr="00640F84">
              <w:t>-в базовом уровне цен путем деления текущего уровня цен на комплексный индекс по виду объекта.</w:t>
            </w:r>
          </w:p>
          <w:p w:rsidR="00D60E69" w:rsidRPr="00640F84" w:rsidRDefault="00D60E69" w:rsidP="00A90132">
            <w:r w:rsidRPr="00640F84">
              <w:t xml:space="preserve">В сметной документации предусмотреть затраты на работы по подготовке территории при </w:t>
            </w:r>
            <w:r>
              <w:t>строительстве</w:t>
            </w:r>
            <w:r w:rsidRPr="00640F84">
              <w:t xml:space="preserve">, благоустройству, затраты на проектные                        и изыскательские работы и </w:t>
            </w:r>
            <w:proofErr w:type="spellStart"/>
            <w:r w:rsidRPr="00640F84">
              <w:t>прочиеработы</w:t>
            </w:r>
            <w:proofErr w:type="spellEnd"/>
            <w:r>
              <w:t>,</w:t>
            </w:r>
            <w:r w:rsidRPr="00640F84">
              <w:t xml:space="preserve"> связанные               с реализацией проекта.</w:t>
            </w:r>
          </w:p>
          <w:p w:rsidR="00D60E69" w:rsidRPr="00640F84" w:rsidRDefault="00D60E69" w:rsidP="00A90132">
            <w:r w:rsidRPr="00640F84">
              <w:t>В сметной документации предусмотреть затраты по испытаниям и измерениям в электроустановках в объеме приемо-сдаточных испытаний и пусконаладочные работы по инженерным сетям и оборудованию, затраты на оплату технических условий инженерных сетей.</w:t>
            </w:r>
          </w:p>
          <w:p w:rsidR="00D60E69" w:rsidRPr="00640F84" w:rsidRDefault="00D60E69" w:rsidP="00A90132">
            <w:r w:rsidRPr="00640F84">
              <w:t>Включить в сводную смету затраты на технологическое присоединение к существующим инженерным сетям.</w:t>
            </w:r>
          </w:p>
          <w:p w:rsidR="00D60E69" w:rsidRPr="00640F84" w:rsidRDefault="00D60E69" w:rsidP="00A90132">
            <w:proofErr w:type="gramStart"/>
            <w:r w:rsidRPr="00640F84">
              <w:t>На основании МДС 81-35.2004 «Методика определения стоимости строитель</w:t>
            </w:r>
            <w:r>
              <w:t>ной продукции на территории РФ»</w:t>
            </w:r>
            <w:r w:rsidRPr="00640F84">
              <w:t xml:space="preserve"> п.</w:t>
            </w:r>
            <w:r>
              <w:t> </w:t>
            </w:r>
            <w:r w:rsidRPr="00640F84">
              <w:t>4.4., п.</w:t>
            </w:r>
            <w:r>
              <w:t> </w:t>
            </w:r>
            <w:r w:rsidRPr="00640F84">
              <w:t>4.14, п.</w:t>
            </w:r>
            <w:r>
              <w:t> 4.43, п. </w:t>
            </w:r>
            <w:r w:rsidRPr="00640F84">
              <w:t>4.47 в локальных сметных расчетах вынести стоимость оборудования в отдельные разделы, а также в сводном сметном расчете, объектных сметных расчетах вынести оборудование в отдельную графу №6 на основании приложения 2 МДС 81-35.2004.</w:t>
            </w:r>
            <w:proofErr w:type="gramEnd"/>
            <w:r w:rsidRPr="00640F84">
              <w:t xml:space="preserve"> При формировании локальных смет предусмотреть отдельной графой стоимость оборудования.</w:t>
            </w:r>
          </w:p>
          <w:p w:rsidR="00D60E69" w:rsidRPr="00640F84" w:rsidRDefault="00D60E69" w:rsidP="00A90132">
            <w:r w:rsidRPr="00640F84">
              <w:t>На основании п. 4.25 МДС 81-35.2004 представить прайс-листы на оборудование в составе сметной документации.</w:t>
            </w:r>
          </w:p>
          <w:p w:rsidR="00D60E69" w:rsidRPr="00640F84" w:rsidRDefault="00D60E69" w:rsidP="00A90132">
            <w:pPr>
              <w:rPr>
                <w:lang w:bidi="ru-RU"/>
              </w:rPr>
            </w:pPr>
            <w:r w:rsidRPr="00640F84">
              <w:rPr>
                <w:lang w:bidi="ru-RU"/>
              </w:rPr>
              <w:t xml:space="preserve">Сметную документацию предоставить на </w:t>
            </w:r>
            <w:r w:rsidRPr="00640F84">
              <w:rPr>
                <w:lang w:bidi="ru-RU"/>
              </w:rPr>
              <w:lastRenderedPageBreak/>
              <w:t>электронном носителе в формате сметного п</w:t>
            </w:r>
            <w:r>
              <w:rPr>
                <w:lang w:bidi="ru-RU"/>
              </w:rPr>
              <w:t xml:space="preserve">рограммного комплекса, </w:t>
            </w:r>
            <w:r w:rsidRPr="00640F84">
              <w:rPr>
                <w:lang w:bidi="ru-RU"/>
              </w:rPr>
              <w:t>а также в форматах *.</w:t>
            </w:r>
            <w:r w:rsidRPr="00640F84">
              <w:rPr>
                <w:lang w:val="en-US"/>
              </w:rPr>
              <w:t>xml</w:t>
            </w:r>
            <w:r w:rsidRPr="00640F84">
              <w:rPr>
                <w:lang w:bidi="ru-RU"/>
              </w:rPr>
              <w:t>, *.</w:t>
            </w:r>
            <w:proofErr w:type="spellStart"/>
            <w:r w:rsidRPr="00640F84">
              <w:rPr>
                <w:lang w:val="en-US"/>
              </w:rPr>
              <w:t>pdf</w:t>
            </w:r>
            <w:proofErr w:type="spellEnd"/>
            <w:r w:rsidRPr="00640F84">
              <w:rPr>
                <w:lang w:bidi="ru-RU"/>
              </w:rPr>
              <w:t xml:space="preserve"> и в формате «</w:t>
            </w:r>
            <w:r w:rsidRPr="00640F84">
              <w:rPr>
                <w:lang w:val="en-US"/>
              </w:rPr>
              <w:t>excel</w:t>
            </w:r>
            <w:r w:rsidRPr="00640F84">
              <w:rPr>
                <w:lang w:bidi="ru-RU"/>
              </w:rPr>
              <w:t>».</w:t>
            </w:r>
          </w:p>
          <w:p w:rsidR="00D60E69" w:rsidRPr="00640F84" w:rsidRDefault="00D60E69" w:rsidP="00A90132">
            <w:r w:rsidRPr="00640F84">
              <w:rPr>
                <w:lang w:bidi="ru-RU"/>
              </w:rPr>
              <w:t xml:space="preserve">После согласования с Заказчиком* сметная документация проектной организацией направляется на </w:t>
            </w:r>
            <w:r>
              <w:rPr>
                <w:lang w:bidi="ru-RU"/>
              </w:rPr>
              <w:t>не</w:t>
            </w:r>
            <w:r w:rsidRPr="00640F84">
              <w:rPr>
                <w:lang w:bidi="ru-RU"/>
              </w:rPr>
              <w:t>государственную экспертизу для получения положительного заключения</w:t>
            </w:r>
            <w:r>
              <w:rPr>
                <w:lang w:bidi="ru-RU"/>
              </w:rPr>
              <w:t>.</w:t>
            </w:r>
          </w:p>
        </w:tc>
      </w:tr>
      <w:tr w:rsidR="00D60E69" w:rsidRPr="00640F84" w:rsidTr="00A90132">
        <w:trPr>
          <w:trHeight w:val="60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lastRenderedPageBreak/>
              <w:t>2.6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Требования по согласованию проекта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</w:pPr>
            <w:r w:rsidRPr="00640F84">
              <w:t>В случае необходимости согласование проектно-сметной документации с согласующими и экспертными организациями производится исполнителем с привлечением Заказчика.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Положительное заключение, согласно статье 49 Градостроительного кодекса Российской Федерации представить заказчику в 4-х экземплярах.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2.7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Основные требования к мероприятиям по обеспечению энергетической эффективности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>Проектирование вести в пределах разрешенной мощности (кроме случаев необходимости увеличения мощности в соответствии с действующим законодательством)</w:t>
            </w:r>
          </w:p>
          <w:p w:rsidR="00D60E69" w:rsidRPr="00640F84" w:rsidRDefault="00D60E69" w:rsidP="00A90132">
            <w:r w:rsidRPr="00640F84">
              <w:t>Использовать оборудование в энергосберегающем исполнении.</w:t>
            </w:r>
          </w:p>
          <w:p w:rsidR="00D60E69" w:rsidRPr="00640F84" w:rsidRDefault="00D60E69" w:rsidP="00A90132">
            <w:r w:rsidRPr="00640F84">
              <w:t>Обосновать выбранные проектные решения необходи</w:t>
            </w:r>
            <w:r>
              <w:t xml:space="preserve">мыми расчетами и ссылками </w:t>
            </w:r>
            <w:r w:rsidRPr="00640F84">
              <w:t>на соответствующие нормативные и иные документы.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2.8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suppressAutoHyphens/>
              <w:rPr>
                <w:lang w:eastAsia="ar-SA"/>
              </w:rPr>
            </w:pPr>
            <w:r w:rsidRPr="00640F84">
              <w:rPr>
                <w:lang w:eastAsia="ar-SA"/>
              </w:rPr>
              <w:t>Требования и мероприятия по обеспечению условий жизнедеятельности маломобильных групп и беспрепятственного доступа инвалидов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suppressAutoHyphens/>
              <w:rPr>
                <w:lang w:eastAsia="ar-SA"/>
              </w:rPr>
            </w:pPr>
            <w:r w:rsidRPr="00640F84">
              <w:rPr>
                <w:lang w:eastAsia="ar-SA"/>
              </w:rPr>
              <w:t xml:space="preserve">Предусмотреть мероприятия по обеспечению беспрепятственного доступа инвалидов </w:t>
            </w:r>
            <w:r>
              <w:rPr>
                <w:lang w:eastAsia="ar-SA"/>
              </w:rPr>
              <w:t>и</w:t>
            </w:r>
            <w:r w:rsidRPr="00640F84">
              <w:rPr>
                <w:lang w:eastAsia="ar-SA"/>
              </w:rPr>
              <w:t xml:space="preserve"> маломобильных </w:t>
            </w:r>
            <w:r>
              <w:rPr>
                <w:lang w:eastAsia="ar-SA"/>
              </w:rPr>
              <w:t xml:space="preserve">групп населения в соответствии </w:t>
            </w:r>
            <w:r w:rsidRPr="00640F84">
              <w:rPr>
                <w:lang w:eastAsia="ar-SA"/>
              </w:rPr>
              <w:t>с требованиями нормативных докумен</w:t>
            </w:r>
            <w:r>
              <w:rPr>
                <w:lang w:eastAsia="ar-SA"/>
              </w:rPr>
              <w:t>тов</w:t>
            </w:r>
            <w:r w:rsidRPr="00640F84">
              <w:rPr>
                <w:lang w:eastAsia="ar-SA"/>
              </w:rPr>
              <w:t xml:space="preserve"> (СП 140.13330.2012 Городская </w:t>
            </w:r>
            <w:proofErr w:type="spellStart"/>
            <w:r w:rsidRPr="00640F84">
              <w:rPr>
                <w:lang w:eastAsia="ar-SA"/>
              </w:rPr>
              <w:t>среда</w:t>
            </w:r>
            <w:proofErr w:type="gramStart"/>
            <w:r w:rsidRPr="00640F84">
              <w:rPr>
                <w:lang w:eastAsia="ar-SA"/>
              </w:rPr>
              <w:t>.П</w:t>
            </w:r>
            <w:proofErr w:type="gramEnd"/>
            <w:r w:rsidRPr="00640F84">
              <w:rPr>
                <w:lang w:eastAsia="ar-SA"/>
              </w:rPr>
              <w:t>равила</w:t>
            </w:r>
            <w:proofErr w:type="spellEnd"/>
            <w:r w:rsidRPr="00640F84">
              <w:rPr>
                <w:lang w:eastAsia="ar-SA"/>
              </w:rPr>
              <w:t xml:space="preserve"> проектирования для </w:t>
            </w:r>
            <w:r>
              <w:rPr>
                <w:lang w:eastAsia="ar-SA"/>
              </w:rPr>
              <w:t>маломобильных групп населения).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2.9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suppressAutoHyphens/>
              <w:rPr>
                <w:lang w:eastAsia="ar-SA"/>
              </w:rPr>
            </w:pPr>
            <w:r w:rsidRPr="00640F84">
              <w:rPr>
                <w:lang w:eastAsia="ar-SA"/>
              </w:rPr>
              <w:t>Охрана окружающей среды</w:t>
            </w:r>
          </w:p>
        </w:tc>
        <w:tc>
          <w:tcPr>
            <w:tcW w:w="5731" w:type="dxa"/>
            <w:gridSpan w:val="3"/>
          </w:tcPr>
          <w:p w:rsidR="00D60E69" w:rsidRPr="005E4FC9" w:rsidRDefault="00D60E69" w:rsidP="00A90132">
            <w:pPr>
              <w:suppressAutoHyphens/>
              <w:rPr>
                <w:strike/>
                <w:lang w:eastAsia="ar-SA"/>
              </w:rPr>
            </w:pPr>
            <w:r w:rsidRPr="005E4FC9">
              <w:rPr>
                <w:lang w:eastAsia="ar-SA"/>
              </w:rPr>
              <w:t>Не требуется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A90132">
            <w:pPr>
              <w:contextualSpacing/>
            </w:pPr>
            <w:r w:rsidRPr="00640F84">
              <w:t>2.10</w:t>
            </w: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r w:rsidRPr="00640F84">
              <w:t>Особые условия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</w:pPr>
            <w:r w:rsidRPr="00640F84">
              <w:t>Состав разделов разрабатываемой документации согласовать с Заказчиком.*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Готовую документацию оформить подписями руководителя Исполнителя, главного инженера Исполнителя, печатью Исполнителя, а также справкой Исполнителя о соответствии разработанной документации требованиям задания на проектирование.</w:t>
            </w:r>
          </w:p>
          <w:p w:rsidR="00D60E69" w:rsidRPr="00640F84" w:rsidRDefault="00D60E69" w:rsidP="00A90132">
            <w:pPr>
              <w:contextualSpacing/>
            </w:pPr>
            <w:r w:rsidRPr="00640F84">
              <w:t>Все технические требования к разрабатываемому проекту могут в процессе реализации изменяться и уточняться по согласованию между Заказчиком и Исполнителем.</w:t>
            </w:r>
          </w:p>
        </w:tc>
      </w:tr>
      <w:tr w:rsidR="00D60E69" w:rsidRPr="00640F84" w:rsidTr="00A90132">
        <w:trPr>
          <w:trHeight w:val="227"/>
        </w:trPr>
        <w:tc>
          <w:tcPr>
            <w:tcW w:w="10380" w:type="dxa"/>
            <w:gridSpan w:val="6"/>
          </w:tcPr>
          <w:p w:rsidR="00D60E69" w:rsidRPr="00640F84" w:rsidRDefault="00D60E69" w:rsidP="00D60E6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40F84">
              <w:t>Дополнительные требования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contextualSpacing/>
            </w:pPr>
            <w:r w:rsidRPr="00640F84">
              <w:t>Стадии проектирования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</w:pPr>
            <w:r>
              <w:t>Р</w:t>
            </w:r>
            <w:r w:rsidRPr="00640F84">
              <w:t>абочая документация.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contextualSpacing/>
            </w:pPr>
            <w:r w:rsidRPr="00640F84">
              <w:t>Проектная документация, передаваемая Заказчику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proofErr w:type="gramStart"/>
            <w:r w:rsidRPr="00640F84">
              <w:rPr>
                <w:color w:val="000000"/>
              </w:rPr>
              <w:t>1.После завершении работ Исполнитель предъявляет выполненные работы для приемки Заказчику и передает по накладной Заказчику полный комплект разработанной за соответствующий период проектной документации в оригинале, в коли</w:t>
            </w:r>
            <w:r>
              <w:rPr>
                <w:color w:val="000000"/>
              </w:rPr>
              <w:t xml:space="preserve">честве 4 (четырех) экземпляров </w:t>
            </w:r>
            <w:r w:rsidRPr="00640F84">
              <w:rPr>
                <w:color w:val="000000"/>
              </w:rPr>
              <w:t>в сброшюрованном в</w:t>
            </w:r>
            <w:r>
              <w:rPr>
                <w:color w:val="000000"/>
              </w:rPr>
              <w:t xml:space="preserve">иде фотографического качества, </w:t>
            </w:r>
            <w:r w:rsidRPr="00640F84">
              <w:rPr>
                <w:color w:val="000000"/>
              </w:rPr>
              <w:t xml:space="preserve">1 (один) экземпляр в </w:t>
            </w:r>
            <w:r w:rsidRPr="00640F84">
              <w:rPr>
                <w:color w:val="000000"/>
              </w:rPr>
              <w:lastRenderedPageBreak/>
              <w:t>эле</w:t>
            </w:r>
            <w:r>
              <w:rPr>
                <w:color w:val="000000"/>
              </w:rPr>
              <w:t xml:space="preserve">ктронной форме – в формате PDF </w:t>
            </w:r>
            <w:r w:rsidRPr="00640F84">
              <w:rPr>
                <w:color w:val="000000"/>
              </w:rPr>
              <w:t xml:space="preserve">(кроме того дополнительно, текстовая часть – в формате </w:t>
            </w:r>
            <w:r w:rsidRPr="00640F84">
              <w:rPr>
                <w:color w:val="000000"/>
                <w:lang w:val="en-US"/>
              </w:rPr>
              <w:t>Word</w:t>
            </w:r>
            <w:r w:rsidRPr="00640F84">
              <w:rPr>
                <w:color w:val="000000"/>
              </w:rPr>
              <w:t>, графическая часть – в формате DWG, сметная документация</w:t>
            </w:r>
            <w:proofErr w:type="gramEnd"/>
            <w:r w:rsidRPr="00640F84">
              <w:rPr>
                <w:color w:val="000000"/>
              </w:rPr>
              <w:t xml:space="preserve"> – в электронном виде в универсальном формате программы расчета сметной стоимости строительства, с возможностью рассмотрения и работы в любом сметном программном комплексе и в текстовом редакторе формата </w:t>
            </w:r>
            <w:proofErr w:type="spellStart"/>
            <w:r w:rsidRPr="00640F84">
              <w:rPr>
                <w:color w:val="000000"/>
              </w:rPr>
              <w:t>x</w:t>
            </w:r>
            <w:r>
              <w:rPr>
                <w:color w:val="000000"/>
              </w:rPr>
              <w:t>ls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xlsx</w:t>
            </w:r>
            <w:proofErr w:type="spellEnd"/>
            <w:r>
              <w:rPr>
                <w:color w:val="000000"/>
              </w:rPr>
              <w:t>, графическая часть –</w:t>
            </w:r>
            <w:r w:rsidRPr="00640F84">
              <w:rPr>
                <w:color w:val="000000"/>
              </w:rPr>
              <w:t xml:space="preserve"> в форматах графической инженерной программы).</w:t>
            </w:r>
          </w:p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 xml:space="preserve">2.Приемка результата работ осуществляется  Заказчиком при положительных результатах </w:t>
            </w:r>
            <w:r>
              <w:rPr>
                <w:color w:val="000000"/>
              </w:rPr>
              <w:t>не</w:t>
            </w:r>
            <w:r w:rsidRPr="00640F84">
              <w:rPr>
                <w:color w:val="000000"/>
              </w:rPr>
              <w:t>государственной экспертизы  и оформляется Актом приема-передачи всей технической документации.</w:t>
            </w:r>
          </w:p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>3.В случае выявления некомплектности документации, несоответствия её исходным данным, либо замечаний по сметной документации Подрядчик обязан устранить все обнаруженные недостатки работ своими силами и за свой счёт в сроки, указанные Заказчиком. *</w:t>
            </w:r>
          </w:p>
          <w:p w:rsidR="00D60E69" w:rsidRPr="00640F84" w:rsidRDefault="00D60E69" w:rsidP="00A90132">
            <w:pPr>
              <w:contextualSpacing/>
              <w:rPr>
                <w:color w:val="000000"/>
              </w:rPr>
            </w:pPr>
            <w:r w:rsidRPr="00640F84">
              <w:rPr>
                <w:color w:val="000000"/>
              </w:rPr>
              <w:t>4.Окончательная приемка результата работ осуществля</w:t>
            </w:r>
            <w:r>
              <w:rPr>
                <w:color w:val="000000"/>
              </w:rPr>
              <w:t xml:space="preserve">ется при наличии положительной </w:t>
            </w:r>
            <w:r w:rsidRPr="00640F84">
              <w:rPr>
                <w:color w:val="000000"/>
              </w:rPr>
              <w:t xml:space="preserve"> экспертизы.</w:t>
            </w:r>
          </w:p>
        </w:tc>
      </w:tr>
      <w:tr w:rsidR="00D60E69" w:rsidRPr="00640F84" w:rsidTr="00A90132">
        <w:trPr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contextualSpacing/>
            </w:pPr>
            <w:r w:rsidRPr="00640F84">
              <w:t xml:space="preserve">Подготовка </w:t>
            </w:r>
            <w:proofErr w:type="spellStart"/>
            <w:proofErr w:type="gramStart"/>
            <w:r w:rsidRPr="00640F84">
              <w:t>демонстраци</w:t>
            </w:r>
            <w:r>
              <w:t>-</w:t>
            </w:r>
            <w:r w:rsidRPr="00640F84">
              <w:t>онных</w:t>
            </w:r>
            <w:proofErr w:type="spellEnd"/>
            <w:proofErr w:type="gramEnd"/>
            <w:r w:rsidRPr="00640F84">
              <w:t xml:space="preserve"> материалов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</w:pPr>
            <w:r w:rsidRPr="00640F84">
              <w:t>Требуется</w:t>
            </w:r>
          </w:p>
        </w:tc>
      </w:tr>
      <w:tr w:rsidR="00D60E69" w:rsidRPr="00640F84" w:rsidTr="00A90132">
        <w:trPr>
          <w:trHeight w:val="828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403" w:type="dxa"/>
            <w:gridSpan w:val="2"/>
          </w:tcPr>
          <w:p w:rsidR="00D60E69" w:rsidRPr="00640F84" w:rsidRDefault="00D60E69" w:rsidP="00A90132">
            <w:pPr>
              <w:contextualSpacing/>
            </w:pPr>
            <w:r w:rsidRPr="00640F84">
              <w:t>Разработка отдельных проектных решений в нескольких вариантах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contextualSpacing/>
            </w:pPr>
            <w:r w:rsidRPr="00640F84">
              <w:t>Требуется</w:t>
            </w:r>
          </w:p>
          <w:p w:rsidR="00D60E69" w:rsidRPr="00640F84" w:rsidRDefault="00D60E69" w:rsidP="00A9013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Необходимость согласования проектной документации с отделом по сохранению недвижимого культурного наследия МК и НП Республики Башкортостан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rPr>
                <w:color w:val="000000"/>
              </w:rPr>
            </w:pPr>
            <w:r w:rsidRPr="00640F84">
              <w:rPr>
                <w:color w:val="000000"/>
              </w:rPr>
              <w:t>Не требуется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 xml:space="preserve">Необходимость разработки </w:t>
            </w:r>
            <w:proofErr w:type="spellStart"/>
            <w:r w:rsidRPr="00640F84">
              <w:t>спецраздела</w:t>
            </w:r>
            <w:proofErr w:type="spellEnd"/>
            <w:r w:rsidRPr="00640F84">
              <w:t xml:space="preserve"> «Инженерно-технические мероприятия гражданской обороны, мероприятия по предупреждению чрезвычайных ситуаций»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rPr>
                <w:color w:val="000000"/>
                <w:lang w:val="en-US"/>
              </w:rPr>
            </w:pPr>
            <w:r w:rsidRPr="00640F84">
              <w:rPr>
                <w:color w:val="000000"/>
              </w:rPr>
              <w:t>По согласованию с Заказчиком</w:t>
            </w:r>
            <w:r w:rsidRPr="00640F84">
              <w:rPr>
                <w:color w:val="000000"/>
                <w:lang w:val="en-US"/>
              </w:rPr>
              <w:t>*</w:t>
            </w:r>
          </w:p>
          <w:p w:rsidR="00D60E69" w:rsidRPr="00640F84" w:rsidRDefault="00D60E69" w:rsidP="00A90132">
            <w:pPr>
              <w:rPr>
                <w:color w:val="000000"/>
              </w:rPr>
            </w:pP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Необходимость разработки технического задания на выполнение  строительно-монтажных работ.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Разработать </w:t>
            </w:r>
            <w:proofErr w:type="spellStart"/>
            <w:r>
              <w:rPr>
                <w:color w:val="000000"/>
              </w:rPr>
              <w:t>согласно</w:t>
            </w:r>
            <w:r w:rsidRPr="00640F84">
              <w:rPr>
                <w:color w:val="000000"/>
              </w:rPr>
              <w:t>феде</w:t>
            </w:r>
            <w:r>
              <w:rPr>
                <w:color w:val="000000"/>
              </w:rPr>
              <w:t>рального</w:t>
            </w:r>
            <w:proofErr w:type="spellEnd"/>
            <w:r>
              <w:rPr>
                <w:color w:val="000000"/>
              </w:rPr>
              <w:t xml:space="preserve"> закона от 05.04.2013 № </w:t>
            </w:r>
            <w:r w:rsidRPr="00640F84">
              <w:rPr>
                <w:color w:val="000000"/>
              </w:rPr>
              <w:t>44-ФЗ (ред. от 27.06.2019) "О контрактной системе в сфере закупок товаров, работ, услуг для обеспечения государственных и муниципальных нужд" (с изм. и доп., вступ. в силу на момент сдачи документации).</w:t>
            </w:r>
          </w:p>
          <w:p w:rsidR="00D60E69" w:rsidRPr="00640F84" w:rsidRDefault="00D60E69" w:rsidP="00A90132">
            <w:pPr>
              <w:rPr>
                <w:color w:val="000000"/>
              </w:rPr>
            </w:pPr>
            <w:r w:rsidRPr="00640F84">
              <w:rPr>
                <w:color w:val="000000"/>
              </w:rPr>
              <w:t>Разработка технического задания на строительно-монтажные работы, пос</w:t>
            </w:r>
            <w:r>
              <w:rPr>
                <w:color w:val="000000"/>
              </w:rPr>
              <w:t xml:space="preserve">тавку оборудования, материалов </w:t>
            </w:r>
            <w:r w:rsidRPr="00640F84">
              <w:rPr>
                <w:color w:val="000000"/>
              </w:rPr>
              <w:t>в электронном виде в формате разработки.</w:t>
            </w:r>
          </w:p>
        </w:tc>
      </w:tr>
      <w:tr w:rsidR="00D60E69" w:rsidRPr="00640F84" w:rsidTr="00A90132">
        <w:trPr>
          <w:trHeight w:val="227"/>
        </w:trPr>
        <w:tc>
          <w:tcPr>
            <w:tcW w:w="10380" w:type="dxa"/>
            <w:gridSpan w:val="6"/>
          </w:tcPr>
          <w:p w:rsidR="00D60E69" w:rsidRPr="00640F84" w:rsidRDefault="00D60E69" w:rsidP="00D60E6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en-US"/>
              </w:rPr>
            </w:pPr>
            <w:r w:rsidRPr="00640F84">
              <w:rPr>
                <w:color w:val="000000"/>
              </w:rPr>
              <w:lastRenderedPageBreak/>
              <w:t>Особые требования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Сведения об экспертизе  проектно-сметной документации</w:t>
            </w:r>
          </w:p>
        </w:tc>
        <w:tc>
          <w:tcPr>
            <w:tcW w:w="5731" w:type="dxa"/>
            <w:gridSpan w:val="3"/>
          </w:tcPr>
          <w:p w:rsidR="00D60E69" w:rsidRPr="00640F84" w:rsidRDefault="00D60E69" w:rsidP="00A90132">
            <w:pPr>
              <w:rPr>
                <w:color w:val="000000"/>
              </w:rPr>
            </w:pPr>
            <w:r>
              <w:rPr>
                <w:color w:val="000000"/>
              </w:rPr>
              <w:t>Нег</w:t>
            </w:r>
            <w:r w:rsidRPr="00640F84">
              <w:rPr>
                <w:color w:val="000000"/>
              </w:rPr>
              <w:t>осударственная экспертиза проектн</w:t>
            </w:r>
            <w:r>
              <w:rPr>
                <w:color w:val="000000"/>
              </w:rPr>
              <w:t xml:space="preserve">ой документации </w:t>
            </w:r>
            <w:r w:rsidRPr="00640F84">
              <w:rPr>
                <w:color w:val="000000"/>
              </w:rPr>
              <w:t>до момента получения положительного заклю</w:t>
            </w:r>
            <w:r>
              <w:rPr>
                <w:color w:val="000000"/>
              </w:rPr>
              <w:t xml:space="preserve">чения </w:t>
            </w:r>
          </w:p>
        </w:tc>
      </w:tr>
      <w:tr w:rsidR="00D60E69" w:rsidRPr="00640F84" w:rsidTr="00A90132">
        <w:trPr>
          <w:gridAfter w:val="1"/>
          <w:wAfter w:w="15" w:type="dxa"/>
          <w:trHeight w:val="227"/>
        </w:trPr>
        <w:tc>
          <w:tcPr>
            <w:tcW w:w="1242" w:type="dxa"/>
          </w:tcPr>
          <w:p w:rsidR="00D60E69" w:rsidRPr="00640F84" w:rsidRDefault="00D60E69" w:rsidP="00D60E69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392" w:type="dxa"/>
          </w:tcPr>
          <w:p w:rsidR="00D60E69" w:rsidRPr="00640F84" w:rsidRDefault="00D60E69" w:rsidP="00A90132">
            <w:r w:rsidRPr="00640F84">
              <w:t>Требования к проектной организ</w:t>
            </w:r>
            <w:r>
              <w:t>ации</w:t>
            </w:r>
          </w:p>
          <w:p w:rsidR="00D60E69" w:rsidRPr="00640F84" w:rsidRDefault="00D60E69" w:rsidP="00A90132"/>
        </w:tc>
        <w:tc>
          <w:tcPr>
            <w:tcW w:w="5731" w:type="dxa"/>
            <w:gridSpan w:val="3"/>
          </w:tcPr>
          <w:p w:rsidR="00D60E69" w:rsidRPr="00640F84" w:rsidRDefault="00D60E69" w:rsidP="00A90132">
            <w:r w:rsidRPr="00640F84">
              <w:t xml:space="preserve">Ответственность за получение положительного заключения </w:t>
            </w:r>
            <w:r>
              <w:t>нег</w:t>
            </w:r>
            <w:r w:rsidRPr="00640F84">
              <w:t>осударственной экспертизы несет Исполнитель.</w:t>
            </w:r>
          </w:p>
          <w:p w:rsidR="00D60E69" w:rsidRPr="00640F84" w:rsidRDefault="00D60E69" w:rsidP="00A90132">
            <w:r w:rsidRPr="00640F84">
              <w:t>Представляет пояснения, документы и обоснования в экспертизу.</w:t>
            </w:r>
          </w:p>
          <w:p w:rsidR="00D60E69" w:rsidRDefault="00D60E69" w:rsidP="00A90132">
            <w:r w:rsidRPr="00640F84">
              <w:t>Вносит в проектно-сметную документацию изменения по результатам экспертизы</w:t>
            </w:r>
          </w:p>
          <w:p w:rsidR="00D60E69" w:rsidRPr="00640F84" w:rsidRDefault="00D60E69" w:rsidP="00A90132">
            <w:r w:rsidRPr="00640F84">
              <w:t>Ответы на замечания оформляет в виде таблицы</w:t>
            </w:r>
          </w:p>
          <w:p w:rsidR="00D60E69" w:rsidRPr="00640F84" w:rsidRDefault="00D60E69" w:rsidP="00A90132">
            <w:r w:rsidRPr="00640F84">
              <w:t xml:space="preserve"> (замечание, ответ на замечание).</w:t>
            </w:r>
          </w:p>
        </w:tc>
      </w:tr>
    </w:tbl>
    <w:p w:rsidR="00D60E69" w:rsidRPr="00640F84" w:rsidRDefault="00D60E69" w:rsidP="00D60E69">
      <w:pPr>
        <w:widowControl w:val="0"/>
        <w:autoSpaceDE w:val="0"/>
        <w:autoSpaceDN w:val="0"/>
        <w:rPr>
          <w:b/>
          <w:lang w:val="en-US"/>
        </w:rPr>
      </w:pPr>
    </w:p>
    <w:p w:rsidR="00D60E69" w:rsidRDefault="00D60E69" w:rsidP="00D60E69">
      <w:pPr>
        <w:pStyle w:val="1"/>
        <w:spacing w:before="0" w:after="0"/>
        <w:rPr>
          <w:b w:val="0"/>
          <w:sz w:val="22"/>
          <w:szCs w:val="22"/>
        </w:rPr>
      </w:pPr>
      <w:r w:rsidRPr="00F31BE5">
        <w:rPr>
          <w:b w:val="0"/>
          <w:sz w:val="22"/>
          <w:szCs w:val="22"/>
        </w:rPr>
        <w:t>*Согласование с Заказчиком осуществляется в течени</w:t>
      </w:r>
      <w:proofErr w:type="gramStart"/>
      <w:r w:rsidRPr="00F31BE5">
        <w:rPr>
          <w:b w:val="0"/>
          <w:sz w:val="22"/>
          <w:szCs w:val="22"/>
        </w:rPr>
        <w:t>и</w:t>
      </w:r>
      <w:proofErr w:type="gramEnd"/>
      <w:r w:rsidRPr="00F31BE5">
        <w:rPr>
          <w:b w:val="0"/>
          <w:sz w:val="22"/>
          <w:szCs w:val="22"/>
        </w:rPr>
        <w:t xml:space="preserve"> 5 рабочих дней и не влияет на общий срок исполнения </w:t>
      </w:r>
      <w:r>
        <w:rPr>
          <w:b w:val="0"/>
          <w:sz w:val="22"/>
          <w:szCs w:val="22"/>
        </w:rPr>
        <w:t>договора</w:t>
      </w:r>
      <w:r w:rsidRPr="00F31BE5">
        <w:rPr>
          <w:b w:val="0"/>
          <w:sz w:val="22"/>
          <w:szCs w:val="22"/>
        </w:rPr>
        <w:t>.</w:t>
      </w:r>
    </w:p>
    <w:p w:rsidR="00D60E69" w:rsidRPr="00F31BE5" w:rsidRDefault="00D60E69" w:rsidP="00D60E69">
      <w:pPr>
        <w:pStyle w:val="1"/>
        <w:spacing w:before="0" w:after="0"/>
        <w:rPr>
          <w:b w:val="0"/>
          <w:sz w:val="22"/>
          <w:szCs w:val="22"/>
        </w:rPr>
      </w:pPr>
    </w:p>
    <w:p w:rsidR="00D60E69" w:rsidRDefault="00D60E69" w:rsidP="00D60E69"/>
    <w:p w:rsidR="00D60E69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47F65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C232E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Pr="004C232E" w:rsidRDefault="00D60E69" w:rsidP="00D60E69">
      <w:pPr>
        <w:spacing w:after="160" w:line="256" w:lineRule="auto"/>
        <w:rPr>
          <w:rFonts w:eastAsia="Calibri"/>
          <w:b/>
          <w:lang w:eastAsia="en-US"/>
        </w:rPr>
      </w:pPr>
    </w:p>
    <w:p w:rsidR="00D60E69" w:rsidRDefault="00D60E69" w:rsidP="00D60E69"/>
    <w:p w:rsidR="00D60E69" w:rsidRDefault="00D60E69" w:rsidP="00D60E69"/>
    <w:p w:rsidR="00D60E69" w:rsidRDefault="00D60E69" w:rsidP="00D60E69"/>
    <w:p w:rsidR="00D60E69" w:rsidRDefault="00D60E69" w:rsidP="00D60E69"/>
    <w:p w:rsidR="00D60E69" w:rsidRDefault="00D60E69" w:rsidP="00D60E69"/>
    <w:p w:rsidR="00D60E69" w:rsidRDefault="00D60E69" w:rsidP="00D60E69"/>
    <w:p w:rsidR="00D60E69" w:rsidRDefault="00D60E69" w:rsidP="00D60E69"/>
    <w:p w:rsidR="009F6149" w:rsidRDefault="009F6149">
      <w:bookmarkStart w:id="0" w:name="_GoBack"/>
      <w:bookmarkEnd w:id="0"/>
    </w:p>
    <w:sectPr w:rsidR="009F6149" w:rsidSect="006F74F8">
      <w:footerReference w:type="default" r:id="rId6"/>
      <w:pgSz w:w="11906" w:h="16838"/>
      <w:pgMar w:top="993" w:right="566" w:bottom="1276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80256"/>
      <w:docPartObj>
        <w:docPartGallery w:val="Page Numbers (Bottom of Page)"/>
        <w:docPartUnique/>
      </w:docPartObj>
    </w:sdtPr>
    <w:sdtEndPr/>
    <w:sdtContent>
      <w:p w:rsidR="00A25A83" w:rsidRDefault="00D60E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5A83" w:rsidRDefault="00D60E6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BE1"/>
    <w:multiLevelType w:val="hybridMultilevel"/>
    <w:tmpl w:val="5F06D20E"/>
    <w:lvl w:ilvl="0" w:tplc="B57AB86E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71498A"/>
    <w:multiLevelType w:val="hybridMultilevel"/>
    <w:tmpl w:val="958A5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06407A"/>
    <w:multiLevelType w:val="hybridMultilevel"/>
    <w:tmpl w:val="C074B7C0"/>
    <w:lvl w:ilvl="0" w:tplc="70B6950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7D1A"/>
    <w:multiLevelType w:val="hybridMultilevel"/>
    <w:tmpl w:val="EFD8F0DE"/>
    <w:lvl w:ilvl="0" w:tplc="60BEF4D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714BC"/>
    <w:multiLevelType w:val="hybridMultilevel"/>
    <w:tmpl w:val="305A4E74"/>
    <w:lvl w:ilvl="0" w:tplc="6B96E2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72BC"/>
    <w:multiLevelType w:val="hybridMultilevel"/>
    <w:tmpl w:val="1C646EC2"/>
    <w:lvl w:ilvl="0" w:tplc="57E4624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518175A"/>
    <w:multiLevelType w:val="hybridMultilevel"/>
    <w:tmpl w:val="F3907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A3910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69"/>
    <w:rsid w:val="009D294D"/>
    <w:rsid w:val="009F6149"/>
    <w:rsid w:val="00D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Название раздела без номера,Заг.ненум.разд,разд без номера,разд без номера1,разд без номера2,Заг. ненумер. раздела,H1,разд,разд без номера:&lt;Название&gt;,Çàã. íåíóìåð. ðàçäåëà,Çàã.íåíóì.ðàçä,ðàçä áåç íîìåðà,ðàçä áåç íîìåðà1,ðàçä,с номером,1,h1"/>
    <w:basedOn w:val="a"/>
    <w:next w:val="a"/>
    <w:link w:val="10"/>
    <w:uiPriority w:val="9"/>
    <w:qFormat/>
    <w:rsid w:val="00D60E69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раздела без номера Знак,Заг.ненум.разд Знак,разд без номера Знак,разд без номера1 Знак,разд без номера2 Знак,Заг. ненумер. раздела Знак,H1 Знак,разд Знак,разд без номера:&lt;Название&gt; Знак,Çàã. íåíóìåð. ðàçäåëà Знак,ðàçä Знак"/>
    <w:basedOn w:val="a0"/>
    <w:link w:val="1"/>
    <w:uiPriority w:val="9"/>
    <w:rsid w:val="00D60E69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aliases w:val="Не удалять!"/>
    <w:basedOn w:val="a"/>
    <w:link w:val="a4"/>
    <w:uiPriority w:val="99"/>
    <w:rsid w:val="00D60E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е удалять! Знак"/>
    <w:basedOn w:val="a0"/>
    <w:link w:val="a3"/>
    <w:uiPriority w:val="99"/>
    <w:rsid w:val="00D60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Название раздела без номера,Заг.ненум.разд,разд без номера,разд без номера1,разд без номера2,Заг. ненумер. раздела,H1,разд,разд без номера:&lt;Название&gt;,Çàã. íåíóìåð. ðàçäåëà,Çàã.íåíóì.ðàçä,ðàçä áåç íîìåðà,ðàçä áåç íîìåðà1,ðàçä,с номером,1,h1"/>
    <w:basedOn w:val="a"/>
    <w:next w:val="a"/>
    <w:link w:val="10"/>
    <w:uiPriority w:val="9"/>
    <w:qFormat/>
    <w:rsid w:val="00D60E69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раздела без номера Знак,Заг.ненум.разд Знак,разд без номера Знак,разд без номера1 Знак,разд без номера2 Знак,Заг. ненумер. раздела Знак,H1 Знак,разд Знак,разд без номера:&lt;Название&gt; Знак,Çàã. íåíóìåð. ðàçäåëà Знак,ðàçä Знак"/>
    <w:basedOn w:val="a0"/>
    <w:link w:val="1"/>
    <w:uiPriority w:val="9"/>
    <w:rsid w:val="00D60E69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aliases w:val="Не удалять!"/>
    <w:basedOn w:val="a"/>
    <w:link w:val="a4"/>
    <w:uiPriority w:val="99"/>
    <w:rsid w:val="00D60E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е удалять! Знак"/>
    <w:basedOn w:val="a0"/>
    <w:link w:val="a3"/>
    <w:uiPriority w:val="99"/>
    <w:rsid w:val="00D60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Кадырбердин Дамир</dc:creator>
  <cp:lastModifiedBy>Кадырбердин Дамир</cp:lastModifiedBy>
  <cp:revision>1</cp:revision>
  <dcterms:created xsi:type="dcterms:W3CDTF">2021-04-07T05:06:00Z</dcterms:created>
  <dcterms:modified xsi:type="dcterms:W3CDTF">2021-04-07T05:06:00Z</dcterms:modified>
</cp:coreProperties>
</file>