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AC" w:rsidRPr="00A95BDF" w:rsidRDefault="00212525" w:rsidP="002125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BDF">
        <w:rPr>
          <w:rFonts w:ascii="Times New Roman" w:hAnsi="Times New Roman" w:cs="Times New Roman"/>
          <w:b/>
          <w:sz w:val="26"/>
          <w:szCs w:val="26"/>
        </w:rPr>
        <w:t>Техническое задание на поставку компьютерного оборудования</w:t>
      </w:r>
    </w:p>
    <w:p w:rsidR="00212525" w:rsidRPr="00212525" w:rsidRDefault="00212525" w:rsidP="00B64E85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95BDF">
        <w:rPr>
          <w:rFonts w:ascii="Times New Roman" w:hAnsi="Times New Roman" w:cs="Times New Roman"/>
          <w:b/>
          <w:sz w:val="26"/>
          <w:szCs w:val="26"/>
        </w:rPr>
        <w:t>1. Объект закупки</w:t>
      </w:r>
      <w:r w:rsidRPr="002125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429"/>
        <w:gridCol w:w="703"/>
        <w:gridCol w:w="781"/>
        <w:gridCol w:w="3880"/>
      </w:tblGrid>
      <w:tr w:rsidR="00212525" w:rsidTr="00A95BDF">
        <w:trPr>
          <w:trHeight w:val="19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25" w:rsidRPr="00A95BDF" w:rsidRDefault="00212525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25" w:rsidRPr="00A95BDF" w:rsidRDefault="00212525" w:rsidP="00212525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25" w:rsidRPr="00A95BDF" w:rsidRDefault="002125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25" w:rsidRPr="00A95BDF" w:rsidRDefault="00212525">
            <w:pPr>
              <w:ind w:left="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25" w:rsidRPr="00A95BDF" w:rsidRDefault="00212525" w:rsidP="00212525">
            <w:pPr>
              <w:ind w:left="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и </w:t>
            </w:r>
            <w:r w:rsidRPr="00A9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Материнская плата согласно характеристикам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форм-фактор: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-ATX, ATX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сокет: LGA1150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память: 2-4 x DDR3 DIMM (1066-2200 МГц)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PCI-E x16: 1-3 слота</w:t>
            </w:r>
          </w:p>
          <w:p w:rsidR="00212525" w:rsidRPr="00A95BDF" w:rsidRDefault="00212525" w:rsidP="00212525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PCI-E x1: 1-2 слота (может отсутствовать)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Батарейки ААА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4"/>
              <w:spacing w:beforeLines="20" w:before="48" w:beforeAutospacing="0" w:afterLines="20" w:after="48" w:afterAutospacing="0"/>
              <w:rPr>
                <w:rStyle w:val="b112tad-7ap"/>
                <w:lang w:val="ru-RU"/>
              </w:rPr>
            </w:pP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Батарейки АА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4"/>
              <w:spacing w:beforeLines="20" w:before="48" w:beforeAutospacing="0" w:afterLines="20" w:after="48" w:afterAutospacing="0"/>
              <w:rPr>
                <w:rStyle w:val="b112tad-7ap"/>
                <w:lang w:val="ru-RU"/>
              </w:rPr>
            </w:pP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Core i7-9700K, BOX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280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2525" w:rsidRP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SSD M.2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a4"/>
              <w:spacing w:beforeLines="20" w:before="48" w:beforeAutospacing="0" w:afterLines="20" w:after="48" w:afterAutospacing="0"/>
              <w:rPr>
                <w:rStyle w:val="b112tad-7ap"/>
              </w:rPr>
            </w:pPr>
            <w:r w:rsidRPr="00A95BDF">
              <w:t>Samsung 970 EVO Plus 500 GB MZ-V7S500BW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 M.2 PCI-E Gen 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интерфейс подключения: M.2, PCI-E 4.0 x4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br/>
              <w:t>скорость чтения/записи минимальные значения: 3000 МБ/с / 3000 МБ/с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br/>
              <w:t>интерфейс: PCI-E</w:t>
            </w:r>
          </w:p>
          <w:p w:rsidR="00212525" w:rsidRPr="00A95BDF" w:rsidRDefault="00212525" w:rsidP="00212525">
            <w:pPr>
              <w:pStyle w:val="a4"/>
              <w:spacing w:beforeLines="20" w:before="48" w:beforeAutospacing="0" w:afterLines="20" w:after="48" w:afterAutospacing="0"/>
              <w:rPr>
                <w:rStyle w:val="b112tad-7ap"/>
                <w:lang w:val="ru-RU"/>
              </w:rPr>
            </w:pPr>
            <w:proofErr w:type="spellStart"/>
            <w:r w:rsidRPr="00A95BDF">
              <w:t>емкость</w:t>
            </w:r>
            <w:proofErr w:type="spellEnd"/>
            <w:r w:rsidRPr="00A95BDF">
              <w:t>: 1000 ГБ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HDMI - кабель 3м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r w:rsidRPr="00A95BDF">
              <w:rPr>
                <w:rFonts w:ascii="Times New Roman" w:hAnsi="Times New Roman"/>
                <w:sz w:val="24"/>
                <w:szCs w:val="24"/>
              </w:rPr>
              <w:t>HDMI to HDMI 3m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HDMI - кабель 1.5м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BDF">
              <w:rPr>
                <w:rFonts w:ascii="Times New Roman" w:hAnsi="Times New Roman"/>
                <w:sz w:val="24"/>
                <w:szCs w:val="24"/>
              </w:rPr>
              <w:t>HDMI to HDMI 1.5m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TP-LINK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TG-3468 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Express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280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Кабель питания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Разьемы</w:t>
            </w:r>
            <w:proofErr w:type="spellEnd"/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IEC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C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13 - 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IEC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C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14 - Длина кабеля: от 1,5 м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M190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5BDF">
              <w:rPr>
                <w:rFonts w:ascii="Times New Roman" w:hAnsi="Times New Roman"/>
                <w:sz w:val="24"/>
                <w:szCs w:val="24"/>
              </w:rPr>
              <w:t>Беспроводная</w:t>
            </w:r>
            <w:proofErr w:type="spellEnd"/>
            <w:r w:rsidRPr="00A95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BDF">
              <w:rPr>
                <w:rFonts w:ascii="Times New Roman" w:hAnsi="Times New Roman"/>
                <w:sz w:val="24"/>
                <w:szCs w:val="24"/>
              </w:rPr>
              <w:t>мышь</w:t>
            </w:r>
            <w:proofErr w:type="spellEnd"/>
            <w:r w:rsidRPr="00A95BDF">
              <w:rPr>
                <w:rFonts w:ascii="Times New Roman" w:hAnsi="Times New Roman"/>
                <w:sz w:val="24"/>
                <w:szCs w:val="24"/>
              </w:rPr>
              <w:t xml:space="preserve"> Logitech M190</w:t>
            </w:r>
          </w:p>
        </w:tc>
      </w:tr>
      <w:tr w:rsidR="00212525" w:rsidRP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Xiaomi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Mijia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Wireless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BDF">
              <w:rPr>
                <w:rFonts w:ascii="Times New Roman" w:hAnsi="Times New Roman"/>
                <w:sz w:val="24"/>
                <w:szCs w:val="24"/>
              </w:rPr>
              <w:t>Беспроводная</w:t>
            </w:r>
            <w:proofErr w:type="spellEnd"/>
            <w:r w:rsidRPr="00A95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BDF">
              <w:rPr>
                <w:rFonts w:ascii="Times New Roman" w:hAnsi="Times New Roman"/>
                <w:sz w:val="24"/>
                <w:szCs w:val="24"/>
              </w:rPr>
              <w:t>мышь</w:t>
            </w:r>
            <w:proofErr w:type="spellEnd"/>
            <w:r w:rsidRPr="00A95BDF">
              <w:rPr>
                <w:rFonts w:ascii="Times New Roman" w:hAnsi="Times New Roman"/>
                <w:sz w:val="24"/>
                <w:szCs w:val="24"/>
              </w:rPr>
              <w:t xml:space="preserve"> Xiaomi </w:t>
            </w:r>
            <w:proofErr w:type="spellStart"/>
            <w:r w:rsidRPr="00A95BDF">
              <w:rPr>
                <w:rFonts w:ascii="Times New Roman" w:hAnsi="Times New Roman"/>
                <w:sz w:val="24"/>
                <w:szCs w:val="24"/>
              </w:rPr>
              <w:t>Mijia</w:t>
            </w:r>
            <w:proofErr w:type="spellEnd"/>
            <w:r w:rsidRPr="00A95BDF">
              <w:rPr>
                <w:rFonts w:ascii="Times New Roman" w:hAnsi="Times New Roman"/>
                <w:sz w:val="24"/>
                <w:szCs w:val="24"/>
              </w:rPr>
              <w:t xml:space="preserve"> Wireless Mouse 2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HyperX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HX432C16FB3K2/32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память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HyperX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Fury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32GB (16GBx2) DDR4 DIMM 288pin CL16</w:t>
            </w:r>
          </w:p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5BDF">
              <w:rPr>
                <w:rFonts w:ascii="Times New Roman" w:hAnsi="Times New Roman"/>
                <w:sz w:val="24"/>
                <w:szCs w:val="24"/>
              </w:rPr>
              <w:t>Обязательный</w:t>
            </w:r>
            <w:proofErr w:type="spellEnd"/>
            <w:r w:rsidRPr="00A95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BDF">
              <w:rPr>
                <w:rFonts w:ascii="Times New Roman" w:hAnsi="Times New Roman"/>
                <w:sz w:val="24"/>
                <w:szCs w:val="24"/>
              </w:rPr>
              <w:t>параметр</w:t>
            </w:r>
            <w:proofErr w:type="spellEnd"/>
            <w:r w:rsidRPr="00A95B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95BDF">
              <w:rPr>
                <w:rFonts w:ascii="Times New Roman" w:hAnsi="Times New Roman"/>
                <w:b/>
                <w:sz w:val="24"/>
                <w:szCs w:val="24"/>
              </w:rPr>
              <w:t>3200MHz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NetPing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удлинитель-разветвитель 1-wire на 5 портов, модель R912R1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Активный удлинитель-разветвитель для подключения датчиков 1-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wire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устройствам </w:t>
            </w:r>
            <w:proofErr w:type="spellStart"/>
            <w:r w:rsidRPr="00A95BDF">
              <w:rPr>
                <w:rFonts w:ascii="Times New Roman" w:hAnsi="Times New Roman"/>
                <w:sz w:val="24"/>
                <w:szCs w:val="24"/>
              </w:rPr>
              <w:t>NetPing</w:t>
            </w:r>
            <w:proofErr w:type="spellEnd"/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NetPing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длинитель кабеля 1-wire, 10м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Кабель-удлинитель для 1-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wire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датчиков. Позволяет удлинить шлейф 1-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wire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датчика и подключить 2 1-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wire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датчика к одному удлинителю.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NetPing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атчик температуры 1-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THS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), 2м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Датчик температуры -55°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C 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... +125°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C 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с интерфейсом 1-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wire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NetPing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атчик влажности 1-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), 2м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Датчик относительной влажности воздуха с интерфейсом 1-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wire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встроенным датчиком температуры.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 Digital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Жесткий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WD10EZEX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Тип - HDD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Форм-фактор - 3.5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Объем - 1000мб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вращения - 7200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rpm</w:t>
            </w:r>
            <w:proofErr w:type="spellEnd"/>
          </w:p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Подключение - 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SATA</w:t>
            </w: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  <w:proofErr w:type="spellStart"/>
            <w:r w:rsidRPr="00A95BDF">
              <w:rPr>
                <w:rFonts w:ascii="Times New Roman" w:hAnsi="Times New Roman"/>
                <w:sz w:val="24"/>
                <w:szCs w:val="24"/>
              </w:rPr>
              <w:t>Gbit</w:t>
            </w:r>
            <w:proofErr w:type="spellEnd"/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A95BDF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 Digital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Жесткий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WD20EZRZ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Тип - HDD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Форм-фактор - 3.5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Объем - 2000мб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вращения - 7200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rpm</w:t>
            </w:r>
            <w:proofErr w:type="spellEnd"/>
          </w:p>
          <w:p w:rsidR="00212525" w:rsidRPr="00A95BDF" w:rsidRDefault="00212525" w:rsidP="00212525">
            <w:pPr>
              <w:pStyle w:val="a4"/>
              <w:spacing w:beforeLines="20" w:before="48" w:beforeAutospacing="0" w:afterLines="20" w:after="48" w:afterAutospacing="0"/>
              <w:rPr>
                <w:rStyle w:val="b112tad-7ap"/>
                <w:lang w:val="ru-RU"/>
              </w:rPr>
            </w:pPr>
            <w:r w:rsidRPr="00A95BDF">
              <w:rPr>
                <w:lang w:val="ru-RU"/>
              </w:rPr>
              <w:t xml:space="preserve">Подключение - </w:t>
            </w:r>
            <w:r w:rsidRPr="00A95BDF">
              <w:t>SATA</w:t>
            </w:r>
            <w:r w:rsidRPr="00A95BDF">
              <w:rPr>
                <w:lang w:val="ru-RU"/>
              </w:rPr>
              <w:t xml:space="preserve"> 6</w:t>
            </w:r>
            <w:proofErr w:type="spellStart"/>
            <w:r w:rsidRPr="00A95BDF">
              <w:t>Gbit</w:t>
            </w:r>
            <w:proofErr w:type="spellEnd"/>
            <w:r w:rsidRPr="00A95BDF">
              <w:rPr>
                <w:lang w:val="ru-RU"/>
              </w:rPr>
              <w:t>/</w:t>
            </w:r>
            <w:r w:rsidRPr="00A95BDF">
              <w:t>s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Кабельный органайзер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Тип - организатор кабельный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Ширина - 19 дюймов</w:t>
            </w:r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Высота - 1U</w:t>
            </w:r>
          </w:p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  <w:lang w:val="ru-RU"/>
              </w:rPr>
            </w:pPr>
            <w:r w:rsidRPr="00A95BDF">
              <w:rPr>
                <w:rFonts w:ascii="Times New Roman" w:hAnsi="Times New Roman"/>
                <w:sz w:val="24"/>
                <w:szCs w:val="24"/>
                <w:lang w:val="ru-RU"/>
              </w:rPr>
              <w:t>Кольца - 60мм</w:t>
            </w:r>
          </w:p>
        </w:tc>
      </w:tr>
      <w:tr w:rsidR="00212525" w:rsidRP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Патч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-корд 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-45 (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-45 (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5BDF">
              <w:rPr>
                <w:rFonts w:ascii="Times New Roman" w:hAnsi="Times New Roman"/>
                <w:sz w:val="24"/>
                <w:szCs w:val="24"/>
              </w:rPr>
              <w:t>RJ-45 (m) - RJ-45 (m) CAT5e UTP, 3 м</w:t>
            </w:r>
          </w:p>
        </w:tc>
      </w:tr>
      <w:tr w:rsidR="00212525" w:rsidRP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Патч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корд</w:t>
            </w:r>
            <w:r w:rsidRPr="00A9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RJ-45 (m) - RJ-45 (m) CAT5e UTP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pStyle w:val="9"/>
              <w:pBdr>
                <w:between w:val="double" w:sz="6" w:space="0" w:color="auto"/>
              </w:pBdr>
              <w:spacing w:beforeLines="20" w:before="48" w:afterLines="20" w:after="48"/>
              <w:ind w:left="0"/>
              <w:rPr>
                <w:rStyle w:val="b112tad-7ap"/>
                <w:rFonts w:ascii="Times New Roman" w:hAnsi="Times New Roman"/>
                <w:sz w:val="24"/>
                <w:szCs w:val="24"/>
              </w:rPr>
            </w:pPr>
            <w:r w:rsidRPr="00A95BDF">
              <w:rPr>
                <w:rFonts w:ascii="Times New Roman" w:hAnsi="Times New Roman"/>
                <w:sz w:val="24"/>
                <w:szCs w:val="24"/>
              </w:rPr>
              <w:t>RJ-45 (m) - RJ-45 (m) CAT5e UTP, 5 м</w:t>
            </w:r>
          </w:p>
        </w:tc>
      </w:tr>
      <w:tr w:rsidR="00212525" w:rsidTr="00A95BDF">
        <w:trPr>
          <w:trHeight w:val="40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25" w:rsidRPr="00A95BDF" w:rsidRDefault="00212525" w:rsidP="002125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Supermicro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 PWS-721P-1R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B6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25" w:rsidRPr="00A95BDF" w:rsidRDefault="00212525" w:rsidP="002125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форм-фактор: 1U</w:t>
            </w:r>
          </w:p>
          <w:p w:rsidR="00212525" w:rsidRPr="00A95BDF" w:rsidRDefault="00212525" w:rsidP="002125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мощность: 720 Вт</w:t>
            </w:r>
          </w:p>
          <w:p w:rsidR="00212525" w:rsidRPr="00A95BDF" w:rsidRDefault="00212525" w:rsidP="002125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эффективности: 80 PLUS 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</w:p>
          <w:p w:rsidR="00212525" w:rsidRPr="00A95BDF" w:rsidRDefault="00212525" w:rsidP="002125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PFC: активный</w:t>
            </w:r>
          </w:p>
          <w:p w:rsidR="00212525" w:rsidRPr="00A95BDF" w:rsidRDefault="00212525" w:rsidP="002125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охлаждение: 1 вентилятор (40 мм, до 240 дБ)</w:t>
            </w:r>
          </w:p>
          <w:p w:rsidR="00212525" w:rsidRPr="00A95BDF" w:rsidRDefault="00212525" w:rsidP="002125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тип разъема для материнской платы: 20+4 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proofErr w:type="spellEnd"/>
          </w:p>
          <w:p w:rsidR="00212525" w:rsidRPr="00A95BDF" w:rsidRDefault="00212525" w:rsidP="002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размеры (</w:t>
            </w:r>
            <w:proofErr w:type="spellStart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ВxШxГ</w:t>
            </w:r>
            <w:proofErr w:type="spellEnd"/>
            <w:r w:rsidRPr="00A95BDF">
              <w:rPr>
                <w:rFonts w:ascii="Times New Roman" w:hAnsi="Times New Roman" w:cs="Times New Roman"/>
                <w:sz w:val="24"/>
                <w:szCs w:val="24"/>
              </w:rPr>
              <w:t>): 40x76x346 мм</w:t>
            </w:r>
          </w:p>
          <w:p w:rsidR="00212525" w:rsidRPr="00A95BDF" w:rsidRDefault="00212525" w:rsidP="00212525">
            <w:pPr>
              <w:pStyle w:val="a4"/>
              <w:spacing w:beforeLines="20" w:before="48" w:beforeAutospacing="0" w:afterLines="20" w:after="48" w:afterAutospacing="0"/>
              <w:rPr>
                <w:rStyle w:val="b112tad-7ap"/>
                <w:lang w:val="ru-RU"/>
              </w:rPr>
            </w:pPr>
            <w:r w:rsidRPr="00A95BDF">
              <w:t>PWS</w:t>
            </w:r>
            <w:r w:rsidRPr="00A95BDF">
              <w:rPr>
                <w:lang w:val="ru-RU"/>
              </w:rPr>
              <w:t>-721</w:t>
            </w:r>
            <w:r w:rsidRPr="00A95BDF">
              <w:t>P</w:t>
            </w:r>
            <w:r w:rsidRPr="00A95BDF">
              <w:rPr>
                <w:lang w:val="ru-RU"/>
              </w:rPr>
              <w:t>-1</w:t>
            </w:r>
            <w:r w:rsidRPr="00A95BDF">
              <w:t>R</w:t>
            </w:r>
          </w:p>
        </w:tc>
      </w:tr>
    </w:tbl>
    <w:p w:rsidR="00212525" w:rsidRDefault="00212525" w:rsidP="00212525">
      <w:pPr>
        <w:pStyle w:val="a5"/>
        <w:rPr>
          <w:szCs w:val="28"/>
        </w:rPr>
      </w:pPr>
    </w:p>
    <w:p w:rsidR="000D266D" w:rsidRPr="00C1071C" w:rsidRDefault="000D266D" w:rsidP="000D266D">
      <w:pPr>
        <w:ind w:left="142"/>
        <w:rPr>
          <w:rFonts w:ascii="Times New Roman" w:hAnsi="Times New Roman" w:cs="Times New Roman"/>
          <w:color w:val="535C69"/>
          <w:sz w:val="26"/>
          <w:szCs w:val="26"/>
          <w:shd w:val="clear" w:color="auto" w:fill="FFFFFF"/>
        </w:rPr>
      </w:pPr>
      <w:r w:rsidRPr="000D266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2. Место поставки:</w:t>
      </w:r>
      <w:r w:rsidRPr="000D266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C1071C" w:rsidRPr="00C1071C">
        <w:rPr>
          <w:rFonts w:ascii="Times New Roman" w:hAnsi="Times New Roman" w:cs="Times New Roman"/>
          <w:sz w:val="26"/>
          <w:szCs w:val="26"/>
        </w:rPr>
        <w:t xml:space="preserve">г. Москва, Зеленоград, проезд </w:t>
      </w:r>
      <w:proofErr w:type="spellStart"/>
      <w:r w:rsidR="00C1071C" w:rsidRPr="00C1071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="00C1071C" w:rsidRPr="00C1071C">
        <w:rPr>
          <w:rFonts w:ascii="Times New Roman" w:hAnsi="Times New Roman" w:cs="Times New Roman"/>
          <w:sz w:val="26"/>
          <w:szCs w:val="26"/>
        </w:rPr>
        <w:t xml:space="preserve"> 4922</w:t>
      </w:r>
    </w:p>
    <w:p w:rsidR="000D266D" w:rsidRPr="000D266D" w:rsidRDefault="000D266D" w:rsidP="000D266D">
      <w:pPr>
        <w:ind w:left="14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266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3. Срок поставки:</w:t>
      </w:r>
      <w:r w:rsidRPr="000D26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071C">
        <w:rPr>
          <w:rFonts w:ascii="Times New Roman" w:hAnsi="Times New Roman" w:cs="Times New Roman"/>
          <w:sz w:val="26"/>
          <w:szCs w:val="26"/>
        </w:rPr>
        <w:t>в течение 10-ти (десяти) календарных дней с момента подписания договора.</w:t>
      </w:r>
    </w:p>
    <w:p w:rsidR="000D266D" w:rsidRPr="00C1071C" w:rsidRDefault="000D266D" w:rsidP="00C1071C">
      <w:pPr>
        <w:ind w:left="142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D266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4. Условия оплаты: </w:t>
      </w:r>
      <w:r w:rsidR="00C1071C" w:rsidRPr="00C1071C">
        <w:rPr>
          <w:rFonts w:ascii="Times New Roman" w:hAnsi="Times New Roman" w:cs="Times New Roman"/>
          <w:sz w:val="26"/>
          <w:szCs w:val="26"/>
        </w:rPr>
        <w:t>перечисление</w:t>
      </w:r>
      <w:r w:rsidR="00C1071C" w:rsidRPr="00C1071C">
        <w:rPr>
          <w:rFonts w:ascii="Times New Roman" w:hAnsi="Times New Roman" w:cs="Times New Roman"/>
          <w:sz w:val="26"/>
          <w:szCs w:val="26"/>
        </w:rPr>
        <w:t xml:space="preserve"> Покупателем 100% от суммы</w:t>
      </w:r>
      <w:r w:rsidR="00C1071C">
        <w:rPr>
          <w:rFonts w:ascii="Times New Roman" w:hAnsi="Times New Roman" w:cs="Times New Roman"/>
          <w:sz w:val="26"/>
          <w:szCs w:val="26"/>
        </w:rPr>
        <w:t xml:space="preserve"> поставляемого Товара.</w:t>
      </w:r>
    </w:p>
    <w:p w:rsidR="000D266D" w:rsidRPr="000D266D" w:rsidRDefault="000D266D" w:rsidP="000D266D">
      <w:pPr>
        <w:ind w:left="142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D266D">
        <w:rPr>
          <w:rFonts w:ascii="Times New Roman" w:hAnsi="Times New Roman" w:cs="Times New Roman"/>
          <w:b/>
          <w:sz w:val="26"/>
          <w:szCs w:val="26"/>
        </w:rPr>
        <w:t xml:space="preserve">5. Требования к товару: </w:t>
      </w:r>
    </w:p>
    <w:p w:rsidR="000D266D" w:rsidRPr="000D266D" w:rsidRDefault="000D266D" w:rsidP="000D266D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6"/>
          <w:szCs w:val="26"/>
        </w:rPr>
      </w:pPr>
      <w:r w:rsidRPr="000D266D">
        <w:rPr>
          <w:rFonts w:ascii="Times New Roman" w:hAnsi="Times New Roman" w:cs="Times New Roman"/>
          <w:color w:val="00000A"/>
          <w:kern w:val="2"/>
          <w:sz w:val="26"/>
          <w:szCs w:val="26"/>
          <w:lang w:bidi="hi-IN"/>
        </w:rPr>
        <w:t xml:space="preserve">5.1.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0D266D">
        <w:rPr>
          <w:rFonts w:ascii="Times New Roman" w:hAnsi="Times New Roman" w:cs="Times New Roman"/>
          <w:bCs/>
          <w:sz w:val="26"/>
          <w:szCs w:val="26"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:rsidR="000D266D" w:rsidRPr="000D266D" w:rsidRDefault="000D266D" w:rsidP="000D266D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6"/>
          <w:szCs w:val="26"/>
        </w:rPr>
      </w:pPr>
      <w:r w:rsidRPr="000D266D">
        <w:rPr>
          <w:rFonts w:ascii="Times New Roman" w:hAnsi="Times New Roman" w:cs="Times New Roman"/>
          <w:color w:val="0D0D0D"/>
          <w:sz w:val="26"/>
          <w:szCs w:val="26"/>
        </w:rPr>
        <w:t xml:space="preserve">5.2. Качество поставляемого товара и его соответствие требованиям ГОСТов и иных нормативных документов должно подтверждаться </w:t>
      </w:r>
      <w:r w:rsidRPr="000D266D">
        <w:rPr>
          <w:rFonts w:ascii="Times New Roman" w:hAnsi="Times New Roman" w:cs="Times New Roman"/>
          <w:sz w:val="26"/>
          <w:szCs w:val="26"/>
        </w:rPr>
        <w:t>документацией: сертификаты (или декларации), сертификаты качества на используемые материалы в процессе изготовления.</w:t>
      </w:r>
    </w:p>
    <w:p w:rsidR="000D266D" w:rsidRPr="000D266D" w:rsidRDefault="000D266D" w:rsidP="000D266D">
      <w:pPr>
        <w:ind w:left="142"/>
        <w:rPr>
          <w:rFonts w:ascii="Times New Roman" w:eastAsia="Calibri" w:hAnsi="Times New Roman" w:cs="Times New Roman"/>
          <w:sz w:val="26"/>
          <w:szCs w:val="26"/>
        </w:rPr>
      </w:pPr>
      <w:r w:rsidRPr="000D266D">
        <w:rPr>
          <w:rFonts w:ascii="Times New Roman" w:hAnsi="Times New Roman" w:cs="Times New Roman"/>
          <w:bCs/>
          <w:sz w:val="26"/>
          <w:szCs w:val="26"/>
        </w:rPr>
        <w:t xml:space="preserve">5.3. </w:t>
      </w:r>
      <w:r w:rsidRPr="000D266D">
        <w:rPr>
          <w:rFonts w:ascii="Times New Roman" w:eastAsia="Calibri" w:hAnsi="Times New Roman" w:cs="Times New Roman"/>
          <w:sz w:val="26"/>
          <w:szCs w:val="26"/>
        </w:rPr>
        <w:t xml:space="preserve">Товар должен соответствовать СП, ТУ, СНиП и ГОСТ, со всеми сборочными единицами, комплектующим и вспомогательным оборудованием, производственными приспособлениями, контрольно-измерительными приборами, другими изделиями и материалами, необходимыми для ее бесперебойной и нормальной работы, </w:t>
      </w:r>
      <w:r w:rsidRPr="000D266D">
        <w:rPr>
          <w:rFonts w:ascii="Times New Roman" w:hAnsi="Times New Roman" w:cs="Times New Roman"/>
          <w:color w:val="0D0D0D"/>
          <w:sz w:val="26"/>
          <w:szCs w:val="26"/>
        </w:rPr>
        <w:t>согласно документации производителя.</w:t>
      </w:r>
    </w:p>
    <w:p w:rsidR="000D266D" w:rsidRPr="000D266D" w:rsidRDefault="000D266D" w:rsidP="000D266D">
      <w:pPr>
        <w:ind w:left="142"/>
        <w:rPr>
          <w:rFonts w:ascii="Times New Roman" w:hAnsi="Times New Roman" w:cs="Times New Roman"/>
          <w:sz w:val="26"/>
          <w:szCs w:val="26"/>
        </w:rPr>
      </w:pPr>
      <w:r w:rsidRPr="000D266D">
        <w:rPr>
          <w:rFonts w:ascii="Times New Roman" w:hAnsi="Times New Roman" w:cs="Times New Roman"/>
          <w:sz w:val="26"/>
          <w:szCs w:val="26"/>
        </w:rPr>
        <w:t>5.4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:rsidR="000D266D" w:rsidRPr="000D266D" w:rsidRDefault="000D266D" w:rsidP="000D266D">
      <w:pPr>
        <w:ind w:left="142" w:right="170"/>
        <w:rPr>
          <w:rFonts w:ascii="Times New Roman" w:hAnsi="Times New Roman" w:cs="Times New Roman"/>
          <w:color w:val="0D0D0D"/>
          <w:sz w:val="26"/>
          <w:szCs w:val="26"/>
        </w:rPr>
      </w:pPr>
      <w:r w:rsidRPr="000D266D">
        <w:rPr>
          <w:rFonts w:ascii="Times New Roman" w:hAnsi="Times New Roman" w:cs="Times New Roman"/>
          <w:bCs/>
          <w:sz w:val="26"/>
          <w:szCs w:val="26"/>
        </w:rPr>
        <w:t>5.5. Поставляемый товар должен быть упакован в соответствии с требованиями ГОСТов</w:t>
      </w:r>
      <w:r w:rsidRPr="000D266D">
        <w:rPr>
          <w:rFonts w:ascii="Times New Roman" w:hAnsi="Times New Roman" w:cs="Times New Roman"/>
          <w:sz w:val="26"/>
          <w:szCs w:val="26"/>
        </w:rPr>
        <w:t xml:space="preserve"> и иных нормативных документов</w:t>
      </w:r>
      <w:r w:rsidRPr="000D266D">
        <w:rPr>
          <w:rFonts w:ascii="Times New Roman" w:hAnsi="Times New Roman" w:cs="Times New Roman"/>
          <w:bCs/>
          <w:sz w:val="26"/>
          <w:szCs w:val="26"/>
        </w:rPr>
        <w:t>, с учётом его специфических свойств и особенностей для обеспечения их сохранности в пути следования и в процессе гарантийного срока хранения</w:t>
      </w:r>
    </w:p>
    <w:p w:rsidR="000D266D" w:rsidRPr="000D266D" w:rsidRDefault="000D266D" w:rsidP="000D266D">
      <w:pPr>
        <w:ind w:left="142" w:right="170"/>
        <w:rPr>
          <w:rFonts w:ascii="Times New Roman" w:hAnsi="Times New Roman" w:cs="Times New Roman"/>
          <w:color w:val="0D0D0D"/>
          <w:sz w:val="26"/>
          <w:szCs w:val="26"/>
        </w:rPr>
      </w:pPr>
      <w:r w:rsidRPr="000D266D">
        <w:rPr>
          <w:rFonts w:ascii="Times New Roman" w:hAnsi="Times New Roman" w:cs="Times New Roman"/>
          <w:color w:val="0D0D0D"/>
          <w:sz w:val="26"/>
          <w:szCs w:val="26"/>
        </w:rPr>
        <w:t>5.6.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:rsidR="000D266D" w:rsidRPr="000D266D" w:rsidRDefault="000D266D" w:rsidP="000D266D">
      <w:pPr>
        <w:ind w:left="142" w:right="170"/>
        <w:rPr>
          <w:rFonts w:ascii="Times New Roman" w:hAnsi="Times New Roman" w:cs="Times New Roman"/>
          <w:color w:val="0D0D0D"/>
          <w:sz w:val="26"/>
          <w:szCs w:val="26"/>
        </w:rPr>
      </w:pPr>
      <w:r w:rsidRPr="000D266D">
        <w:rPr>
          <w:rFonts w:ascii="Times New Roman" w:hAnsi="Times New Roman" w:cs="Times New Roman"/>
          <w:sz w:val="26"/>
          <w:szCs w:val="26"/>
        </w:rPr>
        <w:t>5.7. Стоимость тары, упаковки включена в цену Товара. Тара, упаковка возврату не подлежит.</w:t>
      </w:r>
    </w:p>
    <w:p w:rsidR="000D266D" w:rsidRPr="000D266D" w:rsidRDefault="000D266D" w:rsidP="000D266D">
      <w:pPr>
        <w:ind w:left="142" w:right="170"/>
        <w:rPr>
          <w:rFonts w:ascii="Times New Roman" w:hAnsi="Times New Roman" w:cs="Times New Roman"/>
          <w:bCs/>
          <w:sz w:val="26"/>
          <w:szCs w:val="26"/>
        </w:rPr>
      </w:pPr>
      <w:r w:rsidRPr="000D266D">
        <w:rPr>
          <w:rFonts w:ascii="Times New Roman" w:hAnsi="Times New Roman" w:cs="Times New Roman"/>
          <w:bCs/>
          <w:sz w:val="26"/>
          <w:szCs w:val="26"/>
        </w:rPr>
        <w:lastRenderedPageBreak/>
        <w:t>5.8. Невыполнение требований по качеству предусматривает возврат некачественного материала за счёт Поставщика.</w:t>
      </w:r>
    </w:p>
    <w:p w:rsidR="000D266D" w:rsidRPr="000D266D" w:rsidRDefault="000D266D" w:rsidP="000D266D">
      <w:pPr>
        <w:ind w:left="142" w:right="170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0D266D">
        <w:rPr>
          <w:rFonts w:ascii="Times New Roman" w:hAnsi="Times New Roman" w:cs="Times New Roman"/>
          <w:b/>
          <w:bCs/>
          <w:sz w:val="26"/>
          <w:szCs w:val="26"/>
        </w:rPr>
        <w:t>6. Требования к гарантийным обязательствам:</w:t>
      </w:r>
    </w:p>
    <w:p w:rsidR="000D266D" w:rsidRPr="000D266D" w:rsidRDefault="000D266D" w:rsidP="000D266D">
      <w:pPr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6"/>
          <w:szCs w:val="26"/>
        </w:rPr>
      </w:pPr>
      <w:r w:rsidRPr="000D266D">
        <w:rPr>
          <w:rFonts w:ascii="Times New Roman" w:hAnsi="Times New Roman" w:cs="Times New Roman"/>
          <w:sz w:val="26"/>
          <w:szCs w:val="26"/>
        </w:rPr>
        <w:t xml:space="preserve">6.1. Гарантия на поставляемый товар должна соответствовать гарантии, установленной заводом изготовителем </w:t>
      </w:r>
      <w:r w:rsidRPr="000D266D">
        <w:rPr>
          <w:rFonts w:ascii="Times New Roman" w:eastAsia="Times New Roman,Bold" w:hAnsi="Times New Roman" w:cs="Times New Roman"/>
          <w:sz w:val="26"/>
          <w:szCs w:val="26"/>
        </w:rPr>
        <w:t xml:space="preserve">с </w:t>
      </w:r>
      <w:r w:rsidRPr="000D266D">
        <w:rPr>
          <w:rFonts w:ascii="Times New Roman" w:eastAsia="Calibri" w:hAnsi="Times New Roman" w:cs="Times New Roman"/>
          <w:sz w:val="26"/>
          <w:szCs w:val="26"/>
        </w:rPr>
        <w:t>даты подписания Заказчиком акта приема-передачи товара.</w:t>
      </w:r>
    </w:p>
    <w:p w:rsidR="000D266D" w:rsidRPr="000D266D" w:rsidRDefault="000D266D" w:rsidP="000D266D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0D266D">
        <w:rPr>
          <w:rFonts w:ascii="Times New Roman" w:hAnsi="Times New Roman" w:cs="Times New Roman"/>
          <w:sz w:val="26"/>
          <w:szCs w:val="26"/>
        </w:rPr>
        <w:t>6.2.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:rsidR="000D266D" w:rsidRPr="000D266D" w:rsidRDefault="000D266D" w:rsidP="000D266D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D0D0D"/>
          <w:sz w:val="26"/>
          <w:szCs w:val="26"/>
        </w:rPr>
      </w:pPr>
      <w:r w:rsidRPr="000D266D">
        <w:rPr>
          <w:rFonts w:ascii="Times New Roman" w:hAnsi="Times New Roman" w:cs="Times New Roman"/>
          <w:sz w:val="26"/>
          <w:szCs w:val="26"/>
        </w:rPr>
        <w:t xml:space="preserve">6.3. В течение гарантийного срока Поставщик должен гарантировать исправную и полнофункциональную работу в соответствии с техническим </w:t>
      </w:r>
      <w:r w:rsidRPr="000D266D">
        <w:rPr>
          <w:rFonts w:ascii="Times New Roman" w:hAnsi="Times New Roman" w:cs="Times New Roman"/>
          <w:color w:val="0D0D0D"/>
          <w:sz w:val="26"/>
          <w:szCs w:val="26"/>
        </w:rPr>
        <w:t>описанием производителя.</w:t>
      </w:r>
    </w:p>
    <w:p w:rsidR="000D266D" w:rsidRPr="000D266D" w:rsidRDefault="000D266D" w:rsidP="000D266D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color w:val="0D0D0D"/>
          <w:sz w:val="26"/>
          <w:szCs w:val="26"/>
        </w:rPr>
      </w:pPr>
      <w:r w:rsidRPr="000D266D">
        <w:rPr>
          <w:rFonts w:ascii="Times New Roman" w:hAnsi="Times New Roman" w:cs="Times New Roman"/>
          <w:sz w:val="26"/>
          <w:szCs w:val="26"/>
        </w:rPr>
        <w:t>6.4.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:rsidR="000D266D" w:rsidRPr="000D266D" w:rsidRDefault="000D266D" w:rsidP="000D266D">
      <w:pPr>
        <w:tabs>
          <w:tab w:val="left" w:pos="993"/>
          <w:tab w:val="center" w:pos="4677"/>
          <w:tab w:val="left" w:pos="6161"/>
        </w:tabs>
        <w:ind w:left="142"/>
        <w:textAlignment w:val="baseline"/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bidi="hi-IN"/>
        </w:rPr>
      </w:pPr>
      <w:r w:rsidRPr="000D266D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bidi="hi-IN"/>
        </w:rPr>
        <w:t>6.5. Гарантия должна быть подтверждена заводом изготовителем и указана в паспорте изделия на каждую единицу товара. Подтверждением заводской гарантии поставляемого товара является паспорт, в котором прописан гарантийный срок изделия и сертификат с оригинальными печатями завода-изготовителя.</w:t>
      </w:r>
    </w:p>
    <w:p w:rsidR="000D266D" w:rsidRPr="000D266D" w:rsidRDefault="000D266D" w:rsidP="000D266D">
      <w:pPr>
        <w:autoSpaceDE w:val="0"/>
        <w:ind w:left="142"/>
        <w:rPr>
          <w:rFonts w:ascii="Times New Roman" w:eastAsia="Calibri" w:hAnsi="Times New Roman" w:cs="Times New Roman"/>
          <w:sz w:val="26"/>
          <w:szCs w:val="26"/>
        </w:rPr>
      </w:pPr>
      <w:r w:rsidRPr="000D266D">
        <w:rPr>
          <w:rFonts w:ascii="Times New Roman" w:eastAsia="Calibri" w:hAnsi="Times New Roman" w:cs="Times New Roman"/>
          <w:sz w:val="26"/>
          <w:szCs w:val="26"/>
        </w:rPr>
        <w:t>6.6. В случае обнаружения недостатков (дефектов) Подрядчик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Подрядчика безвозмездного устранения указанных в акте недостатков (дефектов) в разумный срок или возмещения расходов на их устранение.</w:t>
      </w:r>
    </w:p>
    <w:p w:rsidR="000D266D" w:rsidRPr="000D266D" w:rsidRDefault="000D266D" w:rsidP="000D266D">
      <w:pPr>
        <w:autoSpaceDE w:val="0"/>
        <w:ind w:left="142"/>
        <w:rPr>
          <w:rFonts w:ascii="Times New Roman" w:eastAsia="Calibri" w:hAnsi="Times New Roman" w:cs="Times New Roman"/>
          <w:sz w:val="26"/>
          <w:szCs w:val="26"/>
        </w:rPr>
      </w:pPr>
      <w:r w:rsidRPr="000D266D">
        <w:rPr>
          <w:rFonts w:ascii="Times New Roman" w:eastAsia="Calibri" w:hAnsi="Times New Roman" w:cs="Times New Roman"/>
          <w:sz w:val="26"/>
          <w:szCs w:val="26"/>
        </w:rPr>
        <w:t>6.7. Если иной срок не будет согласован сторонами дополнительно в акте, Подрядчик обязуется устранить выявленные недостатки (дефекты) работ не позднее 1 (одного) месяца со дня получения требования от Заказчика.</w:t>
      </w:r>
    </w:p>
    <w:p w:rsidR="000D266D" w:rsidRPr="000D266D" w:rsidRDefault="000D266D" w:rsidP="000D266D">
      <w:pPr>
        <w:autoSpaceDE w:val="0"/>
        <w:ind w:left="142"/>
        <w:rPr>
          <w:rFonts w:eastAsia="Calibri"/>
          <w:sz w:val="26"/>
          <w:szCs w:val="26"/>
        </w:rPr>
      </w:pPr>
      <w:r w:rsidRPr="000D266D">
        <w:rPr>
          <w:rFonts w:ascii="Times New Roman" w:eastAsia="Calibri" w:hAnsi="Times New Roman" w:cs="Times New Roman"/>
          <w:sz w:val="26"/>
          <w:szCs w:val="26"/>
        </w:rPr>
        <w:t>6.8.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 Заказчик вправе привлечь третьих лиц с возмещением расходов на устранение недостатков (дефектов) работ за счет Подрядчика.</w:t>
      </w:r>
    </w:p>
    <w:p w:rsidR="00831F61" w:rsidRDefault="00831F61" w:rsidP="00831F61">
      <w:pPr>
        <w:pStyle w:val="a5"/>
        <w:ind w:left="142"/>
        <w:rPr>
          <w:szCs w:val="28"/>
        </w:rPr>
      </w:pPr>
    </w:p>
    <w:p w:rsidR="00212525" w:rsidRDefault="00212525" w:rsidP="00212525">
      <w:pPr>
        <w:ind w:left="142"/>
        <w:jc w:val="both"/>
        <w:rPr>
          <w:b/>
          <w:szCs w:val="24"/>
        </w:rPr>
      </w:pPr>
    </w:p>
    <w:p w:rsidR="00212525" w:rsidRDefault="00212525"/>
    <w:sectPr w:rsidR="00212525" w:rsidSect="002125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93B78"/>
    <w:multiLevelType w:val="hybridMultilevel"/>
    <w:tmpl w:val="9BC418E2"/>
    <w:lvl w:ilvl="0" w:tplc="2C32FE2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A6"/>
    <w:rsid w:val="000D266D"/>
    <w:rsid w:val="00212525"/>
    <w:rsid w:val="0046083C"/>
    <w:rsid w:val="005A0E1B"/>
    <w:rsid w:val="006E4DA6"/>
    <w:rsid w:val="00831F61"/>
    <w:rsid w:val="00A95BDF"/>
    <w:rsid w:val="00B64E85"/>
    <w:rsid w:val="00C1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1B93-9A64-4493-B66D-399CC2C1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toc 9"/>
    <w:basedOn w:val="a"/>
    <w:next w:val="a"/>
    <w:autoRedefine/>
    <w:uiPriority w:val="99"/>
    <w:semiHidden/>
    <w:unhideWhenUsed/>
    <w:rsid w:val="00212525"/>
    <w:pPr>
      <w:spacing w:after="0" w:line="240" w:lineRule="auto"/>
      <w:ind w:left="1400"/>
    </w:pPr>
    <w:rPr>
      <w:rFonts w:ascii="Arial" w:eastAsia="Times New Roman" w:hAnsi="Arial" w:cs="Times New Roman"/>
      <w:sz w:val="18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2125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25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112tad-7ap">
    <w:name w:val="b_112tad-7ap"/>
    <w:basedOn w:val="a0"/>
    <w:rsid w:val="0021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6</cp:revision>
  <dcterms:created xsi:type="dcterms:W3CDTF">2021-06-30T10:27:00Z</dcterms:created>
  <dcterms:modified xsi:type="dcterms:W3CDTF">2021-06-30T10:41:00Z</dcterms:modified>
</cp:coreProperties>
</file>