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 xml:space="preserve">продукты </w:t>
      </w:r>
      <w:proofErr w:type="gramStart"/>
      <w:r w:rsidRPr="00E24061">
        <w:rPr>
          <w:rFonts w:ascii="Times New Roman" w:eastAsia="SimSun" w:hAnsi="Times New Roman"/>
          <w:b/>
          <w:sz w:val="24"/>
          <w:szCs w:val="24"/>
          <w:lang w:eastAsia="ru-RU"/>
        </w:rPr>
        <w:t>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97702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252D97">
      <w:pPr>
        <w:spacing w:line="240" w:lineRule="auto"/>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440A9" w:rsidRPr="00911162" w:rsidRDefault="005440A9"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октября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A444AA">
        <w:rPr>
          <w:rFonts w:ascii="Times New Roman" w:eastAsia="SimSun" w:hAnsi="Times New Roman"/>
          <w:b/>
          <w:sz w:val="24"/>
          <w:szCs w:val="24"/>
          <w:lang w:eastAsia="ru-RU"/>
        </w:rPr>
        <w:t xml:space="preserve"> декабря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Pr>
          <w:rFonts w:ascii="Times New Roman" w:hAnsi="Times New Roman"/>
        </w:rPr>
        <w:t>453126, Республика Башкортостан, г. Стерлитамак, ул. Сазонова, дом 4.</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252D97">
      <w:pPr>
        <w:spacing w:after="0" w:line="240" w:lineRule="auto"/>
        <w:jc w:val="both"/>
        <w:rPr>
          <w:rFonts w:ascii="Times New Roman" w:eastAsia="SimSun" w:hAnsi="Times New Roman"/>
          <w:b/>
          <w:bCs/>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0F3B69">
      <w:pPr>
        <w:shd w:val="clear" w:color="auto" w:fill="FFFFFF"/>
        <w:spacing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1E50EA">
      <w:pPr>
        <w:tabs>
          <w:tab w:val="left" w:pos="1418"/>
        </w:tabs>
        <w:spacing w:after="0" w:line="240" w:lineRule="auto"/>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00DC538A">
        <w:rPr>
          <w:rFonts w:ascii="Times New Roman" w:hAnsi="Times New Roman"/>
          <w:b/>
          <w:bCs/>
          <w:color w:val="000000"/>
          <w:sz w:val="24"/>
          <w:szCs w:val="24"/>
        </w:rPr>
        <w:t>1</w:t>
      </w:r>
      <w:r w:rsidRPr="000F3B69">
        <w:rPr>
          <w:rFonts w:ascii="Times New Roman" w:hAnsi="Times New Roman"/>
          <w:b/>
          <w:bCs/>
          <w:color w:val="000000"/>
          <w:sz w:val="24"/>
          <w:szCs w:val="24"/>
        </w:rPr>
        <w:t>0% (</w:t>
      </w:r>
      <w:r w:rsidR="00DC538A">
        <w:rPr>
          <w:rFonts w:ascii="Times New Roman" w:hAnsi="Times New Roman"/>
          <w:b/>
          <w:bCs/>
          <w:color w:val="000000"/>
          <w:sz w:val="24"/>
          <w:szCs w:val="24"/>
        </w:rPr>
        <w:t>десять</w:t>
      </w:r>
      <w:r w:rsidRPr="000F3B69">
        <w:rPr>
          <w:rFonts w:ascii="Times New Roman" w:hAnsi="Times New Roman"/>
          <w:b/>
          <w:bCs/>
          <w:color w:val="000000"/>
          <w:sz w:val="24"/>
          <w:szCs w:val="24"/>
        </w:rPr>
        <w:t>)</w:t>
      </w:r>
      <w:r w:rsidRPr="000F3B69">
        <w:rPr>
          <w:rFonts w:ascii="Times New Roman" w:hAnsi="Times New Roman"/>
          <w:bCs/>
          <w:color w:val="000000"/>
          <w:sz w:val="24"/>
          <w:szCs w:val="24"/>
        </w:rPr>
        <w:t xml:space="preserve"> от цены Договора.</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8.3. Обеспечение исполнения договора предоставляется Подрядчиком 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1E50EA">
      <w:pPr>
        <w:shd w:val="clear" w:color="auto" w:fill="FFFFFF"/>
        <w:spacing w:after="0"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bookmarkStart w:id="3" w:name="_GoBack"/>
      <w:bookmarkEnd w:id="3"/>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252D97">
      <w:pPr>
        <w:shd w:val="clear" w:color="auto" w:fill="FFFFFF"/>
        <w:spacing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w:t>
      </w:r>
      <w:proofErr w:type="gramStart"/>
      <w:r w:rsidRPr="000F3B69">
        <w:rPr>
          <w:rFonts w:ascii="Times New Roman" w:hAnsi="Times New Roman"/>
          <w:bCs/>
          <w:color w:val="000000"/>
          <w:sz w:val="24"/>
          <w:szCs w:val="24"/>
        </w:rPr>
        <w:t>дств в к</w:t>
      </w:r>
      <w:proofErr w:type="gramEnd"/>
      <w:r w:rsidRPr="000F3B69">
        <w:rPr>
          <w:rFonts w:ascii="Times New Roman" w:hAnsi="Times New Roman"/>
          <w:bCs/>
          <w:color w:val="000000"/>
          <w:sz w:val="24"/>
          <w:szCs w:val="24"/>
        </w:rPr>
        <w:t>ачестве обеспечения исполнения Договора, подтверждается Подрядчиком, путем предоставления платежного поручения с отметкой банка об оплате. Денежные средства возвращаются Подрядчику,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056B1A" w:rsidRDefault="00056B1A" w:rsidP="00977022">
      <w:pPr>
        <w:spacing w:after="0" w:line="240" w:lineRule="auto"/>
        <w:jc w:val="both"/>
        <w:rPr>
          <w:rFonts w:ascii="Times New Roman" w:eastAsia="SimSun" w:hAnsi="Times New Roman"/>
          <w:sz w:val="24"/>
          <w:szCs w:val="24"/>
          <w:lang w:eastAsia="ru-RU"/>
        </w:rPr>
      </w:pPr>
    </w:p>
    <w:p w:rsidR="00977022" w:rsidRPr="00402077" w:rsidRDefault="00977022" w:rsidP="00252D97">
      <w:pPr>
        <w:spacing w:after="0" w:line="240" w:lineRule="auto"/>
        <w:jc w:val="both"/>
        <w:rPr>
          <w:rFonts w:ascii="Times New Roman" w:eastAsia="SimSun" w:hAnsi="Times New Roman"/>
          <w:b/>
          <w:bCs/>
          <w:kern w:val="32"/>
          <w:sz w:val="24"/>
          <w:szCs w:val="24"/>
          <w:lang w:eastAsia="ru-RU"/>
        </w:rPr>
      </w:pPr>
      <w:r>
        <w:rPr>
          <w:rFonts w:ascii="Times New Roman" w:eastAsia="SimSun" w:hAnsi="Times New Roman"/>
          <w:sz w:val="24"/>
          <w:szCs w:val="24"/>
          <w:lang w:eastAsia="ru-RU"/>
        </w:rPr>
        <w:t xml:space="preserve">                                                   </w:t>
      </w:r>
      <w:r w:rsidR="00E07011">
        <w:rPr>
          <w:rFonts w:ascii="Times New Roman" w:eastAsia="SimSun" w:hAnsi="Times New Roman"/>
          <w:b/>
          <w:bCs/>
          <w:kern w:val="32"/>
          <w:sz w:val="24"/>
          <w:szCs w:val="24"/>
          <w:lang w:eastAsia="ru-RU"/>
        </w:rPr>
        <w:t>9</w:t>
      </w:r>
      <w:r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4"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4"/>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2D02C7" w:rsidRDefault="002D02C7" w:rsidP="00977022">
      <w:pPr>
        <w:spacing w:after="0" w:line="240" w:lineRule="auto"/>
        <w:jc w:val="center"/>
        <w:rPr>
          <w:rFonts w:ascii="Times New Roman" w:eastAsia="SimSun" w:hAnsi="Times New Roman"/>
          <w:b/>
          <w:bCs/>
          <w:sz w:val="24"/>
          <w:szCs w:val="24"/>
          <w:lang w:eastAsia="ru-RU"/>
        </w:rPr>
      </w:pP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7B6D4E" w:rsidRDefault="007B6D4E"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7B6D4E" w:rsidRDefault="007B6D4E"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2D02C7">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2D5A71">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28482E"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Default="0028482E" w:rsidP="0028482E">
      <w:pPr>
        <w:spacing w:after="0" w:line="240" w:lineRule="auto"/>
        <w:jc w:val="both"/>
        <w:rPr>
          <w:rFonts w:ascii="Times New Roman" w:eastAsia="SimSun" w:hAnsi="Times New Roman"/>
          <w:lang w:eastAsia="ru-RU"/>
        </w:rPr>
      </w:pPr>
    </w:p>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4216B"/>
    <w:rsid w:val="000445F4"/>
    <w:rsid w:val="00056B1A"/>
    <w:rsid w:val="00093E20"/>
    <w:rsid w:val="00093EF6"/>
    <w:rsid w:val="000B4B74"/>
    <w:rsid w:val="000D170D"/>
    <w:rsid w:val="000F3B69"/>
    <w:rsid w:val="0011463B"/>
    <w:rsid w:val="00126346"/>
    <w:rsid w:val="0015082A"/>
    <w:rsid w:val="00154E5A"/>
    <w:rsid w:val="0016139D"/>
    <w:rsid w:val="00176C95"/>
    <w:rsid w:val="001808A7"/>
    <w:rsid w:val="001B0EFD"/>
    <w:rsid w:val="001C6A84"/>
    <w:rsid w:val="001E50EA"/>
    <w:rsid w:val="00211B06"/>
    <w:rsid w:val="00216610"/>
    <w:rsid w:val="00220A50"/>
    <w:rsid w:val="00225542"/>
    <w:rsid w:val="00252D97"/>
    <w:rsid w:val="0025422C"/>
    <w:rsid w:val="0028482E"/>
    <w:rsid w:val="00286BFC"/>
    <w:rsid w:val="00287A75"/>
    <w:rsid w:val="002968D2"/>
    <w:rsid w:val="002A13EA"/>
    <w:rsid w:val="002D02C7"/>
    <w:rsid w:val="002D3788"/>
    <w:rsid w:val="002F0A77"/>
    <w:rsid w:val="00300577"/>
    <w:rsid w:val="003060C2"/>
    <w:rsid w:val="00352A61"/>
    <w:rsid w:val="00354A42"/>
    <w:rsid w:val="00382928"/>
    <w:rsid w:val="003836E0"/>
    <w:rsid w:val="003B046E"/>
    <w:rsid w:val="003C0629"/>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40A9"/>
    <w:rsid w:val="00545F12"/>
    <w:rsid w:val="00552C43"/>
    <w:rsid w:val="00590369"/>
    <w:rsid w:val="005B6D0B"/>
    <w:rsid w:val="005E6CEE"/>
    <w:rsid w:val="005F314F"/>
    <w:rsid w:val="00615BF5"/>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6D4E"/>
    <w:rsid w:val="007B79E0"/>
    <w:rsid w:val="007C0171"/>
    <w:rsid w:val="007C3E9C"/>
    <w:rsid w:val="00817322"/>
    <w:rsid w:val="00831D1C"/>
    <w:rsid w:val="008371FE"/>
    <w:rsid w:val="008458D5"/>
    <w:rsid w:val="008678D4"/>
    <w:rsid w:val="00871A97"/>
    <w:rsid w:val="00880D65"/>
    <w:rsid w:val="008A3682"/>
    <w:rsid w:val="008A78BD"/>
    <w:rsid w:val="008A7AE7"/>
    <w:rsid w:val="008D1E5C"/>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444AA"/>
    <w:rsid w:val="00A51780"/>
    <w:rsid w:val="00A676C2"/>
    <w:rsid w:val="00A81651"/>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A0956"/>
    <w:rsid w:val="00DB31E8"/>
    <w:rsid w:val="00DC538A"/>
    <w:rsid w:val="00DD0346"/>
    <w:rsid w:val="00DD1D3C"/>
    <w:rsid w:val="00DF0161"/>
    <w:rsid w:val="00DF6D32"/>
    <w:rsid w:val="00E04CC0"/>
    <w:rsid w:val="00E05B10"/>
    <w:rsid w:val="00E07011"/>
    <w:rsid w:val="00E26844"/>
    <w:rsid w:val="00E3696A"/>
    <w:rsid w:val="00E43595"/>
    <w:rsid w:val="00E72C7E"/>
    <w:rsid w:val="00EB1E3C"/>
    <w:rsid w:val="00EC0F95"/>
    <w:rsid w:val="00EE62BC"/>
    <w:rsid w:val="00EF2F8C"/>
    <w:rsid w:val="00F434C0"/>
    <w:rsid w:val="00F60DF5"/>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C7168-EAD5-46AF-92F6-574DD8F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10</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101</cp:revision>
  <cp:lastPrinted>2021-08-18T04:42:00Z</cp:lastPrinted>
  <dcterms:created xsi:type="dcterms:W3CDTF">2018-12-04T03:48:00Z</dcterms:created>
  <dcterms:modified xsi:type="dcterms:W3CDTF">2021-08-24T09:39:00Z</dcterms:modified>
</cp:coreProperties>
</file>