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shd w:val="clear" w:color="auto" w:fill="auto"/>
        <w:spacing w:lineRule="auto" w:line="240"/>
        <w:ind w:firstLine="640"/>
        <w:jc w:val="center"/>
        <w:rPr/>
      </w:pPr>
      <w:r>
        <w:rPr>
          <w:rStyle w:val="2Exact"/>
          <w:b/>
          <w:sz w:val="24"/>
        </w:rPr>
        <w:t>ДОГОВОР СЕРВИСНОГО ОБСЛУЖИВАНИЯ</w:t>
      </w:r>
    </w:p>
    <w:p>
      <w:pPr>
        <w:pStyle w:val="21"/>
        <w:shd w:val="clear" w:color="auto" w:fill="auto"/>
        <w:spacing w:lineRule="auto" w:line="240"/>
        <w:ind w:firstLine="640"/>
        <w:jc w:val="both"/>
        <w:rPr>
          <w:rStyle w:val="2Exact"/>
          <w:sz w:val="24"/>
        </w:rPr>
      </w:pPr>
      <w:r>
        <w:rPr>
          <w:sz w:val="24"/>
        </w:rPr>
      </w:r>
    </w:p>
    <w:p>
      <w:pPr>
        <w:pStyle w:val="21"/>
        <w:shd w:val="clear" w:color="auto" w:fill="auto"/>
        <w:spacing w:lineRule="auto" w:line="240"/>
        <w:ind w:firstLine="640"/>
        <w:jc w:val="both"/>
        <w:rPr>
          <w:rStyle w:val="2Exact"/>
          <w:sz w:val="24"/>
        </w:rPr>
      </w:pPr>
      <w:r>
        <w:rPr>
          <w:rStyle w:val="2Exact"/>
          <w:sz w:val="24"/>
        </w:rPr>
        <w:t>______________</w:t>
        <w:tab/>
        <w:tab/>
        <w:tab/>
        <w:tab/>
        <w:tab/>
        <w:tab/>
        <w:tab/>
        <w:t>_____________</w:t>
      </w:r>
    </w:p>
    <w:p>
      <w:pPr>
        <w:pStyle w:val="21"/>
        <w:shd w:val="clear" w:color="auto" w:fill="auto"/>
        <w:spacing w:lineRule="auto" w:line="240"/>
        <w:ind w:firstLine="640"/>
        <w:jc w:val="both"/>
        <w:rPr>
          <w:rStyle w:val="2Exact"/>
          <w:sz w:val="24"/>
        </w:rPr>
      </w:pPr>
      <w:r>
        <w:rPr>
          <w:sz w:val="24"/>
        </w:rPr>
      </w:r>
    </w:p>
    <w:p>
      <w:pPr>
        <w:pStyle w:val="21"/>
        <w:shd w:val="clear" w:color="auto" w:fill="auto"/>
        <w:spacing w:lineRule="auto" w:line="240"/>
        <w:ind w:firstLine="640"/>
        <w:jc w:val="both"/>
        <w:rPr>
          <w:rStyle w:val="2Exact"/>
          <w:sz w:val="24"/>
        </w:rPr>
      </w:pPr>
      <w:r>
        <w:rPr>
          <w:rStyle w:val="2Exact"/>
          <w:sz w:val="24"/>
        </w:rPr>
        <w:t>___________, именуемое в дальнейшем «Исполнитель», в лице __________, действующего на основании ___________, с одной стороны, и</w:t>
      </w:r>
    </w:p>
    <w:p>
      <w:pPr>
        <w:pStyle w:val="21"/>
        <w:shd w:val="clear" w:color="auto" w:fill="auto"/>
        <w:spacing w:lineRule="auto" w:line="240"/>
        <w:ind w:firstLine="640"/>
        <w:jc w:val="both"/>
        <w:rPr>
          <w:sz w:val="24"/>
        </w:rPr>
      </w:pPr>
      <w:r>
        <w:rPr>
          <w:sz w:val="24"/>
        </w:rPr>
      </w:r>
    </w:p>
    <w:p>
      <w:pPr>
        <w:pStyle w:val="21"/>
        <w:shd w:val="clear" w:color="auto" w:fill="auto"/>
        <w:spacing w:lineRule="auto" w:line="240"/>
        <w:ind w:firstLine="640"/>
        <w:jc w:val="both"/>
        <w:rPr>
          <w:rStyle w:val="2Exact"/>
          <w:sz w:val="24"/>
        </w:rPr>
      </w:pPr>
      <w:r>
        <w:rPr>
          <w:rStyle w:val="2Exact"/>
          <w:sz w:val="24"/>
        </w:rPr>
        <w:t>ООО «Экопол», именуемое в дальнейшем «Заказчик», в лице директора Алехина Юрия Валерьевича, действующего на основании Устава, с другой стороны, совместно именуемые Стороны, заключили настоящий Договор о нижеследующем:</w:t>
      </w:r>
    </w:p>
    <w:p>
      <w:pPr>
        <w:pStyle w:val="21"/>
        <w:shd w:val="clear" w:color="auto" w:fill="auto"/>
        <w:spacing w:lineRule="auto" w:line="240"/>
        <w:ind w:firstLine="640"/>
        <w:jc w:val="both"/>
        <w:rPr>
          <w:sz w:val="24"/>
        </w:rPr>
      </w:pPr>
      <w:r>
        <w:rPr>
          <w:sz w:val="24"/>
        </w:rPr>
      </w:r>
    </w:p>
    <w:p>
      <w:pPr>
        <w:pStyle w:val="21"/>
        <w:shd w:val="clear" w:color="auto" w:fill="auto"/>
        <w:spacing w:lineRule="auto" w:line="240"/>
        <w:ind w:hanging="0"/>
        <w:jc w:val="center"/>
        <w:rPr>
          <w:b/>
          <w:b/>
          <w:sz w:val="24"/>
        </w:rPr>
      </w:pPr>
      <w:r>
        <w:rPr>
          <w:rStyle w:val="2Exact"/>
          <w:b/>
          <w:sz w:val="24"/>
        </w:rPr>
        <w:t>1. Основные термины</w:t>
      </w:r>
    </w:p>
    <w:p>
      <w:pPr>
        <w:pStyle w:val="21"/>
        <w:numPr>
          <w:ilvl w:val="1"/>
          <w:numId w:val="7"/>
        </w:numPr>
        <w:shd w:val="clear" w:color="auto" w:fill="auto"/>
        <w:tabs>
          <w:tab w:val="left" w:pos="709" w:leader="none"/>
        </w:tabs>
        <w:spacing w:lineRule="auto" w:line="240"/>
        <w:ind w:left="0" w:firstLine="640"/>
        <w:jc w:val="both"/>
        <w:rPr>
          <w:sz w:val="24"/>
        </w:rPr>
      </w:pPr>
      <w:r>
        <w:rPr>
          <w:rStyle w:val="2Exact"/>
          <w:b/>
          <w:sz w:val="24"/>
        </w:rPr>
        <w:t xml:space="preserve">Автоматизированная Системы Мониторинга Транспорта ОМНИКОММ (АСМТ) - </w:t>
      </w:r>
      <w:r>
        <w:rPr>
          <w:rStyle w:val="2Exact"/>
          <w:sz w:val="24"/>
        </w:rPr>
        <w:t xml:space="preserve">совокупность комплексов аппаратных и программных средств, состоящая из бортовых блоков спутникового мониторинга, смонтированных на подвижных и стационарных объектах мониторинга Заказчика (далее Объект) и </w:t>
      </w:r>
      <w:r>
        <w:rPr>
          <w:rStyle w:val="2Exact"/>
          <w:sz w:val="24"/>
          <w:lang w:val="en-US" w:bidi="en-US"/>
        </w:rPr>
        <w:t>web</w:t>
      </w:r>
      <w:r>
        <w:rPr>
          <w:rStyle w:val="2Exact"/>
          <w:sz w:val="24"/>
          <w:lang w:bidi="en-US"/>
        </w:rPr>
        <w:t xml:space="preserve"> </w:t>
      </w:r>
      <w:r>
        <w:rPr>
          <w:rStyle w:val="2Exact"/>
          <w:sz w:val="24"/>
        </w:rPr>
        <w:t xml:space="preserve">- интерфейса для дистанционного доступа к Центру мониторинга </w:t>
      </w:r>
      <w:r>
        <w:rPr>
          <w:rStyle w:val="2Exact"/>
          <w:sz w:val="24"/>
          <w:lang w:bidi="en-US"/>
        </w:rPr>
        <w:t>«_______».</w:t>
      </w:r>
    </w:p>
    <w:p>
      <w:pPr>
        <w:pStyle w:val="21"/>
        <w:numPr>
          <w:ilvl w:val="1"/>
          <w:numId w:val="7"/>
        </w:numPr>
        <w:shd w:val="clear" w:color="auto" w:fill="auto"/>
        <w:tabs>
          <w:tab w:val="left" w:pos="709" w:leader="none"/>
          <w:tab w:val="left" w:pos="893" w:leader="none"/>
        </w:tabs>
        <w:spacing w:lineRule="auto" w:line="240"/>
        <w:ind w:left="0" w:firstLine="640"/>
        <w:jc w:val="both"/>
        <w:rPr>
          <w:sz w:val="24"/>
        </w:rPr>
      </w:pPr>
      <w:r>
        <w:rPr>
          <w:rStyle w:val="2Exact"/>
          <w:b/>
          <w:sz w:val="24"/>
        </w:rPr>
        <w:t>Фиксированная часть оплаты</w:t>
      </w:r>
      <w:r>
        <w:rPr>
          <w:rStyle w:val="2Exact"/>
          <w:sz w:val="24"/>
        </w:rPr>
        <w:t xml:space="preserve"> - стоимость информационного обслуживания (Приложение 1 к Договору), которая вносится в виде 100% предоплатой на расчетный счет Исполнителя (исходя из выбранного Заказчиком тарифного плана).</w:t>
      </w:r>
    </w:p>
    <w:p>
      <w:pPr>
        <w:pStyle w:val="21"/>
        <w:numPr>
          <w:ilvl w:val="1"/>
          <w:numId w:val="7"/>
        </w:numPr>
        <w:shd w:val="clear" w:color="auto" w:fill="auto"/>
        <w:tabs>
          <w:tab w:val="left" w:pos="709" w:leader="none"/>
        </w:tabs>
        <w:spacing w:lineRule="auto" w:line="240"/>
        <w:ind w:left="0" w:firstLine="640"/>
        <w:jc w:val="both"/>
        <w:rPr>
          <w:sz w:val="24"/>
        </w:rPr>
      </w:pPr>
      <w:r>
        <w:rPr>
          <w:rStyle w:val="2Exact"/>
          <w:sz w:val="24"/>
        </w:rPr>
        <w:t xml:space="preserve"> </w:t>
      </w:r>
      <w:r>
        <w:rPr>
          <w:rStyle w:val="2Exact"/>
          <w:b/>
          <w:sz w:val="24"/>
        </w:rPr>
        <w:t>Переменная часть оплаты</w:t>
      </w:r>
      <w:r>
        <w:rPr>
          <w:rStyle w:val="2Exact"/>
          <w:sz w:val="24"/>
        </w:rPr>
        <w:t xml:space="preserve"> - стоимость дополнительно оказанных услуг (Приложение 3 к Договору), возникшая в результате обращения Заказчика по заявке (Приложение 2 к Договору) к Исполнителю на предмет выхода оборудования АСМТ из строя и признании случая не гарантийным.</w:t>
      </w:r>
    </w:p>
    <w:p>
      <w:pPr>
        <w:pStyle w:val="21"/>
        <w:numPr>
          <w:ilvl w:val="1"/>
          <w:numId w:val="7"/>
        </w:numPr>
        <w:shd w:val="clear" w:color="auto" w:fill="auto"/>
        <w:tabs>
          <w:tab w:val="left" w:pos="709" w:leader="none"/>
        </w:tabs>
        <w:spacing w:lineRule="auto" w:line="240"/>
        <w:ind w:left="0" w:firstLine="640"/>
        <w:jc w:val="both"/>
        <w:rPr>
          <w:sz w:val="24"/>
        </w:rPr>
      </w:pPr>
      <w:r>
        <w:rPr>
          <w:rStyle w:val="2Exact"/>
          <w:sz w:val="24"/>
          <w:lang w:bidi="en-US"/>
        </w:rPr>
        <w:t xml:space="preserve"> </w:t>
      </w:r>
      <w:r>
        <w:rPr>
          <w:rStyle w:val="2Exact"/>
          <w:b/>
          <w:sz w:val="24"/>
          <w:lang w:bidi="en-US"/>
        </w:rPr>
        <w:t>Н</w:t>
      </w:r>
      <w:r>
        <w:rPr>
          <w:rStyle w:val="2Exact"/>
          <w:b/>
          <w:sz w:val="24"/>
          <w:lang w:val="en-US" w:bidi="en-US"/>
        </w:rPr>
        <w:t>e</w:t>
      </w:r>
      <w:r>
        <w:rPr>
          <w:rStyle w:val="2Exact"/>
          <w:b/>
          <w:sz w:val="24"/>
        </w:rPr>
        <w:t>гарантийный случай</w:t>
      </w:r>
      <w:r>
        <w:rPr>
          <w:rStyle w:val="2Exact"/>
          <w:sz w:val="24"/>
        </w:rPr>
        <w:t xml:space="preserve"> - поломки, произошедшие из-за нарушений правил эксплуатации, несанкционированное вмешательство со стороны 3-их лиц, либо ремонт, замена электропроводки системы, трассы, кабеля, другого оборудования и материалов, используемых при монтаже АСМТ, у которого на момент выполнения работ закончился гарантийный срок.</w:t>
      </w:r>
    </w:p>
    <w:p>
      <w:pPr>
        <w:pStyle w:val="21"/>
        <w:numPr>
          <w:ilvl w:val="1"/>
          <w:numId w:val="7"/>
        </w:numPr>
        <w:shd w:val="clear" w:color="auto" w:fill="auto"/>
        <w:tabs>
          <w:tab w:val="left" w:pos="709" w:leader="none"/>
        </w:tabs>
        <w:spacing w:lineRule="auto" w:line="240"/>
        <w:ind w:left="0" w:firstLine="640"/>
        <w:rPr>
          <w:sz w:val="24"/>
        </w:rPr>
      </w:pPr>
      <w:r>
        <w:rPr>
          <w:rStyle w:val="2Exact"/>
          <w:sz w:val="24"/>
        </w:rPr>
        <w:t xml:space="preserve"> </w:t>
      </w:r>
      <w:r>
        <w:rPr>
          <w:rStyle w:val="2Exact"/>
          <w:b/>
          <w:sz w:val="24"/>
        </w:rPr>
        <w:t>Гарантийный случай</w:t>
      </w:r>
      <w:r>
        <w:rPr>
          <w:rStyle w:val="2Exact"/>
          <w:sz w:val="24"/>
        </w:rPr>
        <w:t xml:space="preserve"> - это выявленные в процессе эксплуатации скрытые производственные дефекты: заводской брак или ошибка при установке.</w:t>
      </w:r>
    </w:p>
    <w:p>
      <w:pPr>
        <w:pStyle w:val="21"/>
        <w:numPr>
          <w:ilvl w:val="1"/>
          <w:numId w:val="7"/>
        </w:numPr>
        <w:shd w:val="clear" w:color="auto" w:fill="auto"/>
        <w:tabs>
          <w:tab w:val="left" w:pos="709" w:leader="none"/>
          <w:tab w:val="left" w:pos="902" w:leader="none"/>
        </w:tabs>
        <w:spacing w:lineRule="auto" w:line="240"/>
        <w:ind w:left="0" w:firstLine="640"/>
        <w:jc w:val="both"/>
        <w:rPr>
          <w:sz w:val="24"/>
        </w:rPr>
      </w:pPr>
      <w:r>
        <w:rPr>
          <w:rStyle w:val="2Exact"/>
          <w:sz w:val="24"/>
        </w:rPr>
        <w:t xml:space="preserve"> </w:t>
      </w:r>
      <w:r>
        <w:rPr>
          <w:rStyle w:val="2Exact"/>
          <w:b/>
          <w:sz w:val="24"/>
        </w:rPr>
        <w:t>Гарантийное обслуживание</w:t>
      </w:r>
      <w:r>
        <w:rPr>
          <w:rStyle w:val="2Exact"/>
          <w:sz w:val="24"/>
        </w:rPr>
        <w:t xml:space="preserve"> - замена или ремонт оборудования, производимые исполнителем гарантийного обслуживания в связи с наступлением гарантийного случая.</w:t>
      </w:r>
    </w:p>
    <w:p>
      <w:pPr>
        <w:pStyle w:val="21"/>
        <w:numPr>
          <w:ilvl w:val="1"/>
          <w:numId w:val="7"/>
        </w:numPr>
        <w:shd w:val="clear" w:color="auto" w:fill="auto"/>
        <w:tabs>
          <w:tab w:val="left" w:pos="709" w:leader="none"/>
          <w:tab w:val="left" w:pos="869" w:leader="none"/>
        </w:tabs>
        <w:spacing w:lineRule="auto" w:line="240"/>
        <w:ind w:left="0" w:firstLine="640"/>
        <w:rPr>
          <w:sz w:val="24"/>
        </w:rPr>
      </w:pPr>
      <w:r>
        <w:rPr>
          <w:rStyle w:val="2Exact"/>
          <w:sz w:val="24"/>
        </w:rPr>
        <w:t xml:space="preserve"> </w:t>
      </w:r>
      <w:r>
        <w:rPr>
          <w:rStyle w:val="2Exact"/>
          <w:b/>
          <w:sz w:val="24"/>
        </w:rPr>
        <w:t>Диагностика системы</w:t>
      </w:r>
      <w:r>
        <w:rPr>
          <w:rStyle w:val="2Exact"/>
          <w:sz w:val="24"/>
        </w:rPr>
        <w:t xml:space="preserve"> - процесс определения работоспособности оборудования или выявление неисправностей с заполнением Акта диагностики.</w:t>
      </w:r>
    </w:p>
    <w:p>
      <w:pPr>
        <w:pStyle w:val="21"/>
        <w:numPr>
          <w:ilvl w:val="1"/>
          <w:numId w:val="7"/>
        </w:numPr>
        <w:shd w:val="clear" w:color="auto" w:fill="auto"/>
        <w:tabs>
          <w:tab w:val="left" w:pos="709" w:leader="none"/>
          <w:tab w:val="left" w:pos="898" w:leader="none"/>
        </w:tabs>
        <w:spacing w:lineRule="auto" w:line="240"/>
        <w:ind w:left="0" w:firstLine="640"/>
        <w:rPr>
          <w:sz w:val="24"/>
        </w:rPr>
      </w:pPr>
      <w:r>
        <w:rPr>
          <w:rStyle w:val="2Exact"/>
          <w:sz w:val="24"/>
        </w:rPr>
        <w:t xml:space="preserve"> </w:t>
      </w:r>
      <w:r>
        <w:rPr>
          <w:rStyle w:val="2Exact"/>
          <w:b/>
          <w:sz w:val="24"/>
        </w:rPr>
        <w:t>Тарифный план</w:t>
      </w:r>
      <w:r>
        <w:rPr>
          <w:rStyle w:val="2Exact"/>
          <w:sz w:val="24"/>
        </w:rPr>
        <w:t xml:space="preserve"> - форма коммерческого предложения (приложение к Договору), отражающее стоимость информационного обслуживания, которое включает наименование тарифа, расценки и описание спектра оказываемых услуг.</w:t>
      </w:r>
    </w:p>
    <w:p>
      <w:pPr>
        <w:pStyle w:val="21"/>
        <w:numPr>
          <w:ilvl w:val="1"/>
          <w:numId w:val="7"/>
        </w:numPr>
        <w:shd w:val="clear" w:color="auto" w:fill="auto"/>
        <w:tabs>
          <w:tab w:val="left" w:pos="709" w:leader="none"/>
          <w:tab w:val="left" w:pos="902" w:leader="none"/>
        </w:tabs>
        <w:spacing w:lineRule="auto" w:line="240"/>
        <w:ind w:left="0" w:firstLine="640"/>
        <w:jc w:val="both"/>
        <w:rPr>
          <w:sz w:val="24"/>
        </w:rPr>
      </w:pPr>
      <w:r>
        <w:rPr>
          <w:rStyle w:val="2Exact"/>
          <w:sz w:val="24"/>
        </w:rPr>
        <w:t xml:space="preserve"> </w:t>
      </w:r>
      <w:r>
        <w:rPr>
          <w:rStyle w:val="2Exact"/>
          <w:b/>
          <w:sz w:val="24"/>
        </w:rPr>
        <w:t>Пакет сервисных услуг</w:t>
      </w:r>
      <w:r>
        <w:rPr>
          <w:rStyle w:val="2Exact"/>
          <w:sz w:val="24"/>
        </w:rPr>
        <w:t xml:space="preserve"> - спектр опций, которые определяет Заказчик, выбирая тот или иной тарифный план.</w:t>
      </w:r>
    </w:p>
    <w:p>
      <w:pPr>
        <w:pStyle w:val="21"/>
        <w:numPr>
          <w:ilvl w:val="1"/>
          <w:numId w:val="7"/>
        </w:numPr>
        <w:shd w:val="clear" w:color="auto" w:fill="auto"/>
        <w:tabs>
          <w:tab w:val="left" w:pos="709" w:leader="none"/>
          <w:tab w:val="left" w:pos="1034" w:leader="none"/>
        </w:tabs>
        <w:spacing w:lineRule="auto" w:line="240"/>
        <w:ind w:left="0" w:firstLine="640"/>
        <w:jc w:val="both"/>
        <w:rPr>
          <w:rStyle w:val="2Exact"/>
          <w:sz w:val="24"/>
        </w:rPr>
      </w:pPr>
      <w:r>
        <w:rPr>
          <w:rStyle w:val="2Exact"/>
          <w:b/>
          <w:sz w:val="24"/>
        </w:rPr>
        <w:t xml:space="preserve">Центр мониторинга </w:t>
      </w:r>
      <w:r>
        <w:rPr>
          <w:rStyle w:val="2Exact"/>
          <w:b/>
          <w:sz w:val="24"/>
          <w:lang w:bidi="en-US"/>
        </w:rPr>
        <w:t>«</w:t>
      </w:r>
      <w:r>
        <w:rPr>
          <w:rStyle w:val="2Exact"/>
          <w:b/>
          <w:sz w:val="24"/>
          <w:lang w:val="en-US" w:bidi="en-US"/>
        </w:rPr>
        <w:t>Omnicomm</w:t>
      </w:r>
      <w:r>
        <w:rPr>
          <w:rStyle w:val="2Exact"/>
          <w:b/>
          <w:sz w:val="24"/>
          <w:lang w:bidi="en-US"/>
        </w:rPr>
        <w:t xml:space="preserve"> </w:t>
      </w:r>
      <w:r>
        <w:rPr>
          <w:rStyle w:val="2Exact"/>
          <w:b/>
          <w:sz w:val="24"/>
          <w:lang w:val="en-US" w:bidi="en-US"/>
        </w:rPr>
        <w:t>Online</w:t>
      </w:r>
      <w:r>
        <w:rPr>
          <w:rStyle w:val="2Exact"/>
          <w:sz w:val="24"/>
          <w:lang w:bidi="en-US"/>
        </w:rPr>
        <w:t>» (</w:t>
      </w:r>
      <w:r>
        <w:rPr>
          <w:rStyle w:val="2Exact"/>
          <w:sz w:val="24"/>
        </w:rPr>
        <w:t xml:space="preserve">далее - ЦМ) - комплекс аппаратных и программных средств, предназначенный для оказания услуг мониторинга посредством доступа к </w:t>
      </w:r>
      <w:r>
        <w:rPr>
          <w:rStyle w:val="2Exact"/>
          <w:sz w:val="24"/>
          <w:lang w:bidi="en-US"/>
        </w:rPr>
        <w:t>«</w:t>
      </w:r>
      <w:r>
        <w:rPr>
          <w:rStyle w:val="2Exact"/>
          <w:sz w:val="24"/>
          <w:lang w:val="en-US" w:bidi="en-US"/>
        </w:rPr>
        <w:t>Omnicomm</w:t>
      </w:r>
      <w:r>
        <w:rPr>
          <w:rStyle w:val="2Exact"/>
          <w:sz w:val="24"/>
          <w:lang w:bidi="en-US"/>
        </w:rPr>
        <w:t xml:space="preserve"> </w:t>
      </w:r>
      <w:r>
        <w:rPr>
          <w:rStyle w:val="2Exact"/>
          <w:sz w:val="24"/>
          <w:lang w:val="en-US" w:bidi="en-US"/>
        </w:rPr>
        <w:t>Online</w:t>
      </w:r>
      <w:r>
        <w:rPr>
          <w:rStyle w:val="2Exact"/>
          <w:sz w:val="24"/>
          <w:lang w:bidi="en-US"/>
        </w:rPr>
        <w:t xml:space="preserve">» </w:t>
      </w:r>
      <w:r>
        <w:rPr>
          <w:rStyle w:val="2Exact"/>
          <w:sz w:val="24"/>
        </w:rPr>
        <w:t xml:space="preserve">через </w:t>
      </w:r>
      <w:r>
        <w:rPr>
          <w:rStyle w:val="2Exact"/>
          <w:sz w:val="24"/>
          <w:lang w:val="en-US" w:bidi="en-US"/>
        </w:rPr>
        <w:t>web</w:t>
      </w:r>
      <w:r>
        <w:rPr>
          <w:rStyle w:val="2Exact"/>
          <w:sz w:val="24"/>
          <w:lang w:bidi="en-US"/>
        </w:rPr>
        <w:t xml:space="preserve"> </w:t>
      </w:r>
      <w:r>
        <w:rPr>
          <w:rStyle w:val="2Exact"/>
          <w:sz w:val="24"/>
        </w:rPr>
        <w:t>- интерфейс (Личный кабинет).</w:t>
      </w:r>
    </w:p>
    <w:p>
      <w:pPr>
        <w:pStyle w:val="21"/>
        <w:numPr>
          <w:ilvl w:val="1"/>
          <w:numId w:val="7"/>
        </w:numPr>
        <w:shd w:val="clear" w:color="auto" w:fill="auto"/>
        <w:tabs>
          <w:tab w:val="left" w:pos="709" w:leader="none"/>
          <w:tab w:val="left" w:pos="1034" w:leader="none"/>
        </w:tabs>
        <w:spacing w:lineRule="auto" w:line="240"/>
        <w:ind w:left="0" w:firstLine="640"/>
        <w:jc w:val="both"/>
        <w:rPr>
          <w:sz w:val="24"/>
        </w:rPr>
      </w:pPr>
      <w:r>
        <w:rPr>
          <w:rStyle w:val="2Exact"/>
          <w:b/>
          <w:sz w:val="24"/>
        </w:rPr>
        <w:t xml:space="preserve">ПО – </w:t>
      </w:r>
      <w:r>
        <w:rPr>
          <w:rStyle w:val="2Exact"/>
          <w:sz w:val="24"/>
        </w:rPr>
        <w:t>программное обеспечение.</w:t>
      </w:r>
      <w:bookmarkStart w:id="0" w:name="_GoBack"/>
      <w:bookmarkEnd w:id="0"/>
    </w:p>
    <w:p>
      <w:pPr>
        <w:pStyle w:val="21"/>
        <w:numPr>
          <w:ilvl w:val="1"/>
          <w:numId w:val="7"/>
        </w:numPr>
        <w:shd w:val="clear" w:color="auto" w:fill="auto"/>
        <w:tabs>
          <w:tab w:val="left" w:pos="709" w:leader="none"/>
        </w:tabs>
        <w:spacing w:lineRule="auto" w:line="240"/>
        <w:ind w:left="0" w:firstLine="640"/>
        <w:jc w:val="both"/>
        <w:rPr>
          <w:rStyle w:val="2Exact"/>
          <w:sz w:val="24"/>
        </w:rPr>
      </w:pPr>
      <w:r>
        <w:rPr>
          <w:rStyle w:val="2Exact"/>
          <w:b/>
          <w:sz w:val="24"/>
        </w:rPr>
        <w:t>Личный кабинет</w:t>
      </w:r>
      <w:r>
        <w:rPr>
          <w:rStyle w:val="2Exact"/>
          <w:sz w:val="24"/>
        </w:rPr>
        <w:t xml:space="preserve"> - это раздел сайта, доступный для зарегистрированных пользователей, содержащий все основные информационные данные, необходимые для полноценной работы с ПО </w:t>
      </w:r>
      <w:r>
        <w:rPr>
          <w:rStyle w:val="2Exact"/>
          <w:sz w:val="24"/>
          <w:lang w:bidi="en-US"/>
        </w:rPr>
        <w:t>«</w:t>
      </w:r>
      <w:r>
        <w:rPr>
          <w:rStyle w:val="2Exact"/>
          <w:sz w:val="24"/>
          <w:lang w:val="en-US" w:bidi="en-US"/>
        </w:rPr>
        <w:t>Omnicomm</w:t>
      </w:r>
      <w:r>
        <w:rPr>
          <w:rStyle w:val="2Exact"/>
          <w:sz w:val="24"/>
          <w:lang w:bidi="en-US"/>
        </w:rPr>
        <w:t xml:space="preserve"> </w:t>
      </w:r>
      <w:r>
        <w:rPr>
          <w:rStyle w:val="2Exact"/>
          <w:sz w:val="24"/>
          <w:lang w:val="en-US" w:bidi="en-US"/>
        </w:rPr>
        <w:t>Online</w:t>
      </w:r>
      <w:r>
        <w:rPr>
          <w:rStyle w:val="2Exact"/>
          <w:sz w:val="24"/>
          <w:lang w:bidi="en-US"/>
        </w:rPr>
        <w:t xml:space="preserve">», </w:t>
      </w:r>
      <w:r>
        <w:rPr>
          <w:rStyle w:val="2Exact"/>
          <w:sz w:val="24"/>
        </w:rPr>
        <w:t>обеспечивающий своевременное информирование об изменениях, новинках, проведении технических работ, а также обмен документацией посредством файлообменника.</w:t>
      </w:r>
    </w:p>
    <w:p>
      <w:pPr>
        <w:pStyle w:val="21"/>
        <w:shd w:val="clear" w:color="auto" w:fill="auto"/>
        <w:tabs>
          <w:tab w:val="left" w:pos="709" w:leader="none"/>
        </w:tabs>
        <w:spacing w:lineRule="auto" w:line="240"/>
        <w:ind w:left="640" w:hanging="0"/>
        <w:jc w:val="both"/>
        <w:rPr>
          <w:sz w:val="24"/>
        </w:rPr>
      </w:pPr>
      <w:r>
        <w:rPr>
          <w:sz w:val="24"/>
        </w:rPr>
      </w:r>
    </w:p>
    <w:p>
      <w:pPr>
        <w:pStyle w:val="81"/>
        <w:keepNext w:val="true"/>
        <w:keepLines/>
        <w:shd w:val="clear" w:color="auto" w:fill="auto"/>
        <w:spacing w:lineRule="auto" w:line="240" w:before="0" w:after="0"/>
        <w:jc w:val="center"/>
        <w:rPr>
          <w:b/>
          <w:b/>
          <w:sz w:val="24"/>
        </w:rPr>
      </w:pPr>
      <w:bookmarkStart w:id="1" w:name="bookmark0"/>
      <w:r>
        <w:rPr>
          <w:rStyle w:val="8Exact"/>
          <w:b/>
          <w:sz w:val="24"/>
        </w:rPr>
        <w:t>2. ПРЕДМЕТ ДОГОВОРА</w:t>
      </w:r>
      <w:bookmarkEnd w:id="1"/>
    </w:p>
    <w:p>
      <w:pPr>
        <w:pStyle w:val="21"/>
        <w:numPr>
          <w:ilvl w:val="0"/>
          <w:numId w:val="1"/>
        </w:numPr>
        <w:shd w:val="clear" w:color="auto" w:fill="auto"/>
        <w:tabs>
          <w:tab w:val="left" w:pos="859" w:leader="none"/>
        </w:tabs>
        <w:spacing w:lineRule="auto" w:line="240"/>
        <w:ind w:firstLine="640"/>
        <w:jc w:val="both"/>
        <w:rPr>
          <w:sz w:val="24"/>
        </w:rPr>
      </w:pPr>
      <w:r>
        <w:rPr>
          <w:rStyle w:val="2Exact"/>
          <w:sz w:val="24"/>
        </w:rPr>
        <w:t>Исполнитель обязуется выполнять, а Заказчик обязуется принимать и оплачивать работы в порядке и сроки, предусмотренные Приложениями к настоящему Договору, являющимися неотъемлемой часть Договора, по сервисному обслуживанию оборудования Автоматизированной Системы Мониторинга Транспорта ОМНИКОММ (далее АСМТ), смонтированного на подвижных и стационарных объектах Заказчика.</w:t>
      </w:r>
    </w:p>
    <w:p>
      <w:pPr>
        <w:pStyle w:val="Normal"/>
        <w:jc w:val="both"/>
        <w:rPr>
          <w:rStyle w:val="2Exact"/>
          <w:rFonts w:eastAsia="Microsoft Sans Serif"/>
          <w:sz w:val="24"/>
        </w:rPr>
      </w:pPr>
      <w:r>
        <w:rPr>
          <w:rStyle w:val="2Exact"/>
          <w:rFonts w:eastAsia="Microsoft Sans Serif"/>
          <w:sz w:val="24"/>
        </w:rPr>
        <w:t>2.2. Заказчик предоставляет на обслуживание оборудование АСМТ, которое является его</w:t>
      </w:r>
      <w:r>
        <w:rPr>
          <w:rStyle w:val="2Exact"/>
          <w:rFonts w:eastAsia="Microsoft Sans Serif"/>
          <w:sz w:val="24"/>
          <w:lang w:eastAsia="en-US" w:bidi="en-US"/>
        </w:rPr>
        <w:t xml:space="preserve"> </w:t>
      </w:r>
      <w:r>
        <w:rPr>
          <w:rStyle w:val="2Exact"/>
          <w:rFonts w:eastAsia="Microsoft Sans Serif"/>
          <w:sz w:val="24"/>
        </w:rPr>
        <w:t>собственностью, свободной от претензий третьих лиц. Сим-карта предоставляется стороной согласно условий сервисного обслуживания, указанных в Приложении 1 к настоящему Договору.</w:t>
      </w:r>
    </w:p>
    <w:p>
      <w:pPr>
        <w:pStyle w:val="Normal"/>
        <w:rPr>
          <w:rStyle w:val="2Exact"/>
          <w:rFonts w:eastAsia="Microsoft Sans Serif"/>
          <w:sz w:val="24"/>
        </w:rPr>
      </w:pPr>
      <w:r>
        <w:rPr>
          <w:rFonts w:eastAsia="Microsoft Sans Serif"/>
          <w:sz w:val="24"/>
        </w:rPr>
      </w:r>
    </w:p>
    <w:p>
      <w:pPr>
        <w:pStyle w:val="21"/>
        <w:numPr>
          <w:ilvl w:val="0"/>
          <w:numId w:val="8"/>
        </w:numPr>
        <w:shd w:val="clear" w:color="auto" w:fill="auto"/>
        <w:tabs>
          <w:tab w:val="left" w:pos="3183" w:leader="none"/>
        </w:tabs>
        <w:spacing w:lineRule="auto" w:line="240"/>
        <w:jc w:val="center"/>
        <w:rPr>
          <w:b/>
          <w:b/>
          <w:sz w:val="24"/>
          <w:szCs w:val="24"/>
        </w:rPr>
      </w:pPr>
      <w:r>
        <w:rPr>
          <w:b/>
          <w:sz w:val="24"/>
          <w:szCs w:val="24"/>
        </w:rPr>
        <w:t>ПРАВА И ОБЯЗАННОСТИ СТОРОН</w:t>
      </w:r>
    </w:p>
    <w:p>
      <w:pPr>
        <w:pStyle w:val="21"/>
        <w:shd w:val="clear" w:color="auto" w:fill="auto"/>
        <w:spacing w:lineRule="auto" w:line="240"/>
        <w:ind w:firstLine="600"/>
        <w:jc w:val="both"/>
        <w:rPr>
          <w:b/>
          <w:b/>
          <w:sz w:val="24"/>
          <w:szCs w:val="24"/>
        </w:rPr>
      </w:pPr>
      <w:r>
        <w:rPr>
          <w:rFonts w:eastAsia="Arial"/>
          <w:b/>
          <w:sz w:val="24"/>
          <w:szCs w:val="24"/>
        </w:rPr>
        <w:t>3.1</w:t>
      </w:r>
      <w:r>
        <w:rPr>
          <w:rFonts w:eastAsia="Arial"/>
          <w:sz w:val="24"/>
          <w:szCs w:val="24"/>
        </w:rPr>
        <w:t xml:space="preserve">. </w:t>
      </w:r>
      <w:r>
        <w:rPr>
          <w:rFonts w:eastAsia="Arial"/>
          <w:b/>
          <w:sz w:val="24"/>
          <w:szCs w:val="24"/>
        </w:rPr>
        <w:t>Исполнитель обязуется:</w:t>
      </w:r>
    </w:p>
    <w:p>
      <w:pPr>
        <w:pStyle w:val="21"/>
        <w:shd w:val="clear" w:color="auto" w:fill="auto"/>
        <w:spacing w:lineRule="auto" w:line="240"/>
        <w:ind w:firstLine="567"/>
        <w:jc w:val="both"/>
        <w:rPr>
          <w:b/>
          <w:b/>
          <w:sz w:val="24"/>
          <w:szCs w:val="24"/>
        </w:rPr>
      </w:pPr>
      <w:r>
        <w:rPr>
          <w:sz w:val="24"/>
          <w:szCs w:val="24"/>
        </w:rPr>
        <w:t>3.1.1.</w:t>
      </w:r>
      <w:r>
        <w:rPr>
          <w:b/>
          <w:sz w:val="24"/>
          <w:szCs w:val="24"/>
        </w:rPr>
        <w:t xml:space="preserve"> </w:t>
      </w:r>
      <w:r>
        <w:rPr>
          <w:sz w:val="24"/>
          <w:szCs w:val="24"/>
        </w:rPr>
        <w:t>Предоставить на согласование тарифы на услуги согласно приложений к договору, являющихся неотъемлемой его частью.</w:t>
      </w:r>
    </w:p>
    <w:p>
      <w:pPr>
        <w:pStyle w:val="21"/>
        <w:numPr>
          <w:ilvl w:val="2"/>
          <w:numId w:val="9"/>
        </w:numPr>
        <w:shd w:val="clear" w:color="auto" w:fill="auto"/>
        <w:tabs>
          <w:tab w:val="left" w:pos="945" w:leader="none"/>
        </w:tabs>
        <w:spacing w:lineRule="auto" w:line="240"/>
        <w:ind w:left="0" w:firstLine="709"/>
        <w:jc w:val="both"/>
        <w:rPr>
          <w:sz w:val="24"/>
          <w:szCs w:val="24"/>
        </w:rPr>
      </w:pPr>
      <w:r>
        <w:rPr>
          <w:sz w:val="24"/>
          <w:szCs w:val="24"/>
        </w:rPr>
        <w:t>Предоставить Заказчику круглосуточный доступ к АСМТ, при условии обеспечения Заказчиком функционирования АСМТ (с учетом разграничения сфер ответственности) в порядке, изложенном в настоящем договоре, а также произведённой оплате.</w:t>
      </w:r>
    </w:p>
    <w:p>
      <w:pPr>
        <w:pStyle w:val="21"/>
        <w:numPr>
          <w:ilvl w:val="2"/>
          <w:numId w:val="9"/>
        </w:numPr>
        <w:shd w:val="clear" w:color="auto" w:fill="auto"/>
        <w:tabs>
          <w:tab w:val="left" w:pos="940" w:leader="none"/>
        </w:tabs>
        <w:spacing w:lineRule="auto" w:line="240"/>
        <w:ind w:left="0" w:firstLine="709"/>
        <w:jc w:val="both"/>
        <w:rPr>
          <w:sz w:val="24"/>
          <w:szCs w:val="24"/>
        </w:rPr>
      </w:pPr>
      <w:r>
        <w:rPr>
          <w:sz w:val="24"/>
          <w:szCs w:val="24"/>
        </w:rPr>
        <w:t>Предоставлять Заказчику бесплатное консультирование по вопросам оказания услуг, а также по вопросам расчетов за предоставленные услуги непосредственно в сервисном центре или по телефону.</w:t>
      </w:r>
    </w:p>
    <w:p>
      <w:pPr>
        <w:pStyle w:val="21"/>
        <w:numPr>
          <w:ilvl w:val="2"/>
          <w:numId w:val="9"/>
        </w:numPr>
        <w:shd w:val="clear" w:color="auto" w:fill="auto"/>
        <w:tabs>
          <w:tab w:val="left" w:pos="1012" w:leader="none"/>
        </w:tabs>
        <w:spacing w:lineRule="auto" w:line="240"/>
        <w:ind w:left="0" w:firstLine="709"/>
        <w:jc w:val="both"/>
        <w:rPr>
          <w:sz w:val="24"/>
          <w:szCs w:val="24"/>
        </w:rPr>
      </w:pPr>
      <w:r>
        <w:rPr>
          <w:sz w:val="24"/>
          <w:szCs w:val="24"/>
        </w:rPr>
        <w:t>Производить обновления программного обеспечения ЦМ.</w:t>
      </w:r>
    </w:p>
    <w:p>
      <w:pPr>
        <w:pStyle w:val="21"/>
        <w:shd w:val="clear" w:color="auto" w:fill="auto"/>
        <w:tabs>
          <w:tab w:val="left" w:pos="1012" w:leader="none"/>
        </w:tabs>
        <w:spacing w:lineRule="auto" w:line="240"/>
        <w:ind w:left="720" w:hanging="0"/>
        <w:jc w:val="both"/>
        <w:rPr>
          <w:sz w:val="24"/>
          <w:szCs w:val="24"/>
        </w:rPr>
      </w:pPr>
      <w:r>
        <w:rPr>
          <w:sz w:val="24"/>
          <w:szCs w:val="24"/>
        </w:rPr>
      </w:r>
    </w:p>
    <w:p>
      <w:pPr>
        <w:pStyle w:val="21"/>
        <w:numPr>
          <w:ilvl w:val="1"/>
          <w:numId w:val="9"/>
        </w:numPr>
        <w:shd w:val="clear" w:color="auto" w:fill="auto"/>
        <w:spacing w:lineRule="auto" w:line="240"/>
        <w:ind w:left="0" w:firstLine="709"/>
        <w:jc w:val="both"/>
        <w:rPr>
          <w:b/>
          <w:b/>
          <w:sz w:val="24"/>
          <w:szCs w:val="24"/>
        </w:rPr>
      </w:pPr>
      <w:r>
        <w:rPr>
          <w:rFonts w:eastAsia="Arial"/>
          <w:b/>
          <w:sz w:val="24"/>
          <w:szCs w:val="24"/>
        </w:rPr>
        <w:t>Исполнитель вправе:</w:t>
      </w:r>
    </w:p>
    <w:p>
      <w:pPr>
        <w:pStyle w:val="21"/>
        <w:numPr>
          <w:ilvl w:val="2"/>
          <w:numId w:val="10"/>
        </w:numPr>
        <w:shd w:val="clear" w:color="auto" w:fill="auto"/>
        <w:tabs>
          <w:tab w:val="left" w:pos="950" w:leader="none"/>
        </w:tabs>
        <w:spacing w:lineRule="auto" w:line="240"/>
        <w:ind w:left="0" w:firstLine="709"/>
        <w:jc w:val="both"/>
        <w:rPr>
          <w:sz w:val="24"/>
          <w:szCs w:val="24"/>
        </w:rPr>
      </w:pPr>
      <w:r>
        <w:rPr>
          <w:sz w:val="24"/>
          <w:szCs w:val="24"/>
        </w:rPr>
        <w:t>Привлекать третьих лиц для оказания услуг, связанных с исполнением настоящего договора. Ответственность за неисполнение либо ненадлежащее исполнение обязательств по настоящему договору третьими лицами, привлеченными Исполнителем, несет Исполнитель.</w:t>
      </w:r>
    </w:p>
    <w:p>
      <w:pPr>
        <w:pStyle w:val="21"/>
        <w:numPr>
          <w:ilvl w:val="2"/>
          <w:numId w:val="10"/>
        </w:numPr>
        <w:shd w:val="clear" w:color="auto" w:fill="auto"/>
        <w:tabs>
          <w:tab w:val="left" w:pos="954" w:leader="none"/>
        </w:tabs>
        <w:spacing w:lineRule="auto" w:line="240"/>
        <w:ind w:left="0" w:firstLine="709"/>
        <w:jc w:val="both"/>
        <w:rPr>
          <w:sz w:val="24"/>
          <w:szCs w:val="24"/>
        </w:rPr>
      </w:pPr>
      <w:r>
        <w:rPr>
          <w:sz w:val="24"/>
          <w:szCs w:val="24"/>
        </w:rPr>
        <w:t>Приостановить оказание услуг в случае несоблюдения Заказчиком сроков оплаты фиксированной части (Приложение 1).</w:t>
      </w:r>
    </w:p>
    <w:p>
      <w:pPr>
        <w:pStyle w:val="21"/>
        <w:shd w:val="clear" w:color="auto" w:fill="auto"/>
        <w:spacing w:lineRule="auto" w:line="240"/>
        <w:ind w:firstLine="600"/>
        <w:jc w:val="both"/>
        <w:rPr>
          <w:rFonts w:eastAsia="Arial"/>
          <w:sz w:val="24"/>
          <w:szCs w:val="24"/>
        </w:rPr>
      </w:pPr>
      <w:r>
        <w:rPr>
          <w:rFonts w:eastAsia="Arial"/>
          <w:sz w:val="24"/>
          <w:szCs w:val="24"/>
        </w:rPr>
      </w:r>
    </w:p>
    <w:p>
      <w:pPr>
        <w:pStyle w:val="21"/>
        <w:numPr>
          <w:ilvl w:val="1"/>
          <w:numId w:val="10"/>
        </w:numPr>
        <w:shd w:val="clear" w:color="auto" w:fill="auto"/>
        <w:spacing w:lineRule="auto" w:line="240"/>
        <w:jc w:val="both"/>
        <w:rPr>
          <w:b/>
          <w:b/>
          <w:sz w:val="24"/>
          <w:szCs w:val="24"/>
        </w:rPr>
      </w:pPr>
      <w:r>
        <w:rPr>
          <w:rFonts w:eastAsia="Arial"/>
          <w:b/>
          <w:sz w:val="24"/>
          <w:szCs w:val="24"/>
        </w:rPr>
        <w:t>Заказчик обязуется:</w:t>
      </w:r>
    </w:p>
    <w:p>
      <w:pPr>
        <w:pStyle w:val="21"/>
        <w:numPr>
          <w:ilvl w:val="2"/>
          <w:numId w:val="10"/>
        </w:numPr>
        <w:shd w:val="clear" w:color="auto" w:fill="auto"/>
        <w:spacing w:lineRule="auto" w:line="240"/>
        <w:ind w:left="0" w:firstLine="709"/>
        <w:jc w:val="both"/>
        <w:rPr>
          <w:b/>
          <w:b/>
          <w:sz w:val="24"/>
          <w:szCs w:val="24"/>
        </w:rPr>
      </w:pPr>
      <w:r>
        <w:rPr>
          <w:sz w:val="24"/>
          <w:szCs w:val="24"/>
        </w:rPr>
        <w:t>Ознакомиться с тарифами и услугами до подписания настоящего договора.</w:t>
      </w:r>
    </w:p>
    <w:p>
      <w:pPr>
        <w:pStyle w:val="21"/>
        <w:numPr>
          <w:ilvl w:val="2"/>
          <w:numId w:val="10"/>
        </w:numPr>
        <w:shd w:val="clear" w:color="auto" w:fill="auto"/>
        <w:tabs>
          <w:tab w:val="left" w:pos="1022" w:leader="none"/>
        </w:tabs>
        <w:spacing w:lineRule="auto" w:line="240"/>
        <w:ind w:left="0" w:firstLine="709"/>
        <w:jc w:val="both"/>
        <w:rPr>
          <w:sz w:val="24"/>
          <w:szCs w:val="24"/>
        </w:rPr>
      </w:pPr>
      <w:r>
        <w:rPr>
          <w:sz w:val="24"/>
          <w:szCs w:val="24"/>
        </w:rPr>
        <w:t>Оплачивать услуги в порядке и сроки в соответствии с разделом 4 настоящего договора.</w:t>
      </w:r>
    </w:p>
    <w:p>
      <w:pPr>
        <w:pStyle w:val="21"/>
        <w:numPr>
          <w:ilvl w:val="2"/>
          <w:numId w:val="10"/>
        </w:numPr>
        <w:shd w:val="clear" w:color="auto" w:fill="auto"/>
        <w:tabs>
          <w:tab w:val="left" w:pos="1022" w:leader="none"/>
        </w:tabs>
        <w:spacing w:lineRule="auto" w:line="240"/>
        <w:ind w:left="0" w:firstLine="709"/>
        <w:jc w:val="both"/>
        <w:rPr>
          <w:sz w:val="24"/>
          <w:szCs w:val="24"/>
        </w:rPr>
      </w:pPr>
      <w:r>
        <w:rPr>
          <w:sz w:val="24"/>
          <w:szCs w:val="24"/>
        </w:rPr>
        <w:t>Обеспечить:</w:t>
      </w:r>
    </w:p>
    <w:p>
      <w:pPr>
        <w:pStyle w:val="21"/>
        <w:numPr>
          <w:ilvl w:val="0"/>
          <w:numId w:val="2"/>
        </w:numPr>
        <w:shd w:val="clear" w:color="auto" w:fill="auto"/>
        <w:tabs>
          <w:tab w:val="left" w:pos="921" w:leader="none"/>
        </w:tabs>
        <w:spacing w:lineRule="auto" w:line="240"/>
        <w:ind w:firstLine="709"/>
        <w:jc w:val="both"/>
        <w:rPr>
          <w:sz w:val="24"/>
          <w:szCs w:val="24"/>
        </w:rPr>
      </w:pPr>
      <w:r>
        <w:rPr>
          <w:sz w:val="24"/>
          <w:szCs w:val="24"/>
        </w:rPr>
        <w:t xml:space="preserve">доступ к сети </w:t>
      </w:r>
      <w:r>
        <w:rPr>
          <w:sz w:val="24"/>
          <w:szCs w:val="24"/>
          <w:lang w:val="en-US" w:bidi="en-US"/>
        </w:rPr>
        <w:t>Internet</w:t>
      </w:r>
      <w:r>
        <w:rPr>
          <w:sz w:val="24"/>
          <w:szCs w:val="24"/>
          <w:lang w:bidi="en-US"/>
        </w:rPr>
        <w:t xml:space="preserve"> </w:t>
      </w:r>
      <w:r>
        <w:rPr>
          <w:sz w:val="24"/>
          <w:szCs w:val="24"/>
        </w:rPr>
        <w:t>с параметрами подключений к сетям связи, рекомендуемыми в Руководстве пользователя;</w:t>
      </w:r>
    </w:p>
    <w:p>
      <w:pPr>
        <w:pStyle w:val="21"/>
        <w:numPr>
          <w:ilvl w:val="0"/>
          <w:numId w:val="2"/>
        </w:numPr>
        <w:shd w:val="clear" w:color="auto" w:fill="auto"/>
        <w:tabs>
          <w:tab w:val="left" w:pos="921" w:leader="none"/>
        </w:tabs>
        <w:spacing w:lineRule="auto" w:line="240"/>
        <w:ind w:firstLine="709"/>
        <w:jc w:val="both"/>
        <w:rPr>
          <w:sz w:val="24"/>
          <w:szCs w:val="24"/>
        </w:rPr>
      </w:pPr>
      <w:r>
        <w:rPr>
          <w:sz w:val="24"/>
          <w:szCs w:val="24"/>
        </w:rPr>
        <w:t>соблюдение правил эксплуатации АСМТ, указанных в руководстве по эксплуатации;</w:t>
      </w:r>
    </w:p>
    <w:p>
      <w:pPr>
        <w:pStyle w:val="21"/>
        <w:numPr>
          <w:ilvl w:val="0"/>
          <w:numId w:val="2"/>
        </w:numPr>
        <w:shd w:val="clear" w:color="auto" w:fill="auto"/>
        <w:tabs>
          <w:tab w:val="left" w:pos="762" w:leader="none"/>
        </w:tabs>
        <w:spacing w:lineRule="auto" w:line="240"/>
        <w:ind w:firstLine="709"/>
        <w:jc w:val="both"/>
        <w:rPr>
          <w:sz w:val="24"/>
          <w:szCs w:val="24"/>
        </w:rPr>
      </w:pPr>
      <w:r>
        <w:rPr>
          <w:sz w:val="24"/>
          <w:szCs w:val="24"/>
        </w:rPr>
        <w:t>отсутствие намеренных действий персонала, направленных на затруднение или полное прекращение функционирования АСМТ.</w:t>
      </w:r>
    </w:p>
    <w:p>
      <w:pPr>
        <w:pStyle w:val="21"/>
        <w:numPr>
          <w:ilvl w:val="2"/>
          <w:numId w:val="10"/>
        </w:numPr>
        <w:shd w:val="clear" w:color="auto" w:fill="auto"/>
        <w:tabs>
          <w:tab w:val="left" w:pos="1146" w:leader="none"/>
        </w:tabs>
        <w:spacing w:lineRule="auto" w:line="240"/>
        <w:ind w:left="0" w:firstLine="709"/>
        <w:jc w:val="both"/>
        <w:rPr>
          <w:sz w:val="24"/>
          <w:szCs w:val="24"/>
        </w:rPr>
      </w:pPr>
      <w:r>
        <w:rPr>
          <w:sz w:val="24"/>
          <w:szCs w:val="24"/>
        </w:rPr>
        <w:t>Не вносить изменения в ПО ЦМ.</w:t>
      </w:r>
    </w:p>
    <w:p>
      <w:pPr>
        <w:pStyle w:val="21"/>
        <w:numPr>
          <w:ilvl w:val="2"/>
          <w:numId w:val="10"/>
        </w:numPr>
        <w:shd w:val="clear" w:color="auto" w:fill="auto"/>
        <w:tabs>
          <w:tab w:val="left" w:pos="1156" w:leader="none"/>
        </w:tabs>
        <w:spacing w:lineRule="auto" w:line="240"/>
        <w:ind w:left="0" w:firstLine="709"/>
        <w:jc w:val="both"/>
        <w:rPr>
          <w:sz w:val="24"/>
          <w:szCs w:val="24"/>
        </w:rPr>
      </w:pPr>
      <w:r>
        <w:rPr>
          <w:sz w:val="24"/>
          <w:szCs w:val="24"/>
        </w:rPr>
        <w:t>Предоставить полные и достоверные данные о себе, необходимые для заполнения договора:</w:t>
      </w:r>
    </w:p>
    <w:p>
      <w:pPr>
        <w:pStyle w:val="21"/>
        <w:shd w:val="clear" w:color="auto" w:fill="auto"/>
        <w:tabs>
          <w:tab w:val="left" w:pos="801" w:leader="none"/>
        </w:tabs>
        <w:spacing w:lineRule="auto" w:line="240"/>
        <w:ind w:firstLine="709"/>
        <w:jc w:val="both"/>
        <w:rPr>
          <w:sz w:val="24"/>
          <w:szCs w:val="24"/>
        </w:rPr>
      </w:pPr>
      <w:r>
        <w:rPr>
          <w:sz w:val="24"/>
          <w:szCs w:val="24"/>
        </w:rPr>
        <w:t>- место нахождения, документация, подтверждающая право собственности (владения) на объект мониторинга, а также другую информацию необходимую Исполнителю, для использования в целях настоящего договора (включая способ доставки счетов). В случае изменения указанных данных, Заказчик обязан в течение пяти дней со дня изменения предоставить Исполнителю новые сведения в соответствующем виде.</w:t>
      </w:r>
    </w:p>
    <w:p>
      <w:pPr>
        <w:pStyle w:val="21"/>
        <w:numPr>
          <w:ilvl w:val="2"/>
          <w:numId w:val="10"/>
        </w:numPr>
        <w:shd w:val="clear" w:color="auto" w:fill="auto"/>
        <w:tabs>
          <w:tab w:val="left" w:pos="1118" w:leader="none"/>
        </w:tabs>
        <w:spacing w:lineRule="auto" w:line="240"/>
        <w:ind w:left="0" w:firstLine="709"/>
        <w:jc w:val="both"/>
        <w:rPr>
          <w:sz w:val="24"/>
          <w:szCs w:val="24"/>
        </w:rPr>
      </w:pPr>
      <w:r>
        <w:rPr>
          <w:sz w:val="24"/>
          <w:szCs w:val="24"/>
        </w:rPr>
        <w:t>Извещать Исполнителя обо всех замеченных неисправностях, повреждениях оборудования, установленного на Объекте.</w:t>
      </w:r>
    </w:p>
    <w:p>
      <w:pPr>
        <w:pStyle w:val="21"/>
        <w:numPr>
          <w:ilvl w:val="2"/>
          <w:numId w:val="10"/>
        </w:numPr>
        <w:shd w:val="clear" w:color="auto" w:fill="auto"/>
        <w:tabs>
          <w:tab w:val="left" w:pos="1098" w:leader="none"/>
        </w:tabs>
        <w:spacing w:lineRule="auto" w:line="240"/>
        <w:ind w:left="0" w:firstLine="709"/>
        <w:jc w:val="both"/>
        <w:rPr>
          <w:sz w:val="24"/>
          <w:szCs w:val="24"/>
        </w:rPr>
      </w:pPr>
      <w:r>
        <w:rPr>
          <w:sz w:val="24"/>
          <w:szCs w:val="24"/>
        </w:rPr>
        <w:t>Извещать Исполнителя в письменном виде о приостановлении/отключении работы терминала или перевода его в неактивный режим с указанием даты начала неактивного периода терминала, но не позднее чем за 5 дней до начала первого числа следующего месяца.</w:t>
      </w:r>
    </w:p>
    <w:p>
      <w:pPr>
        <w:pStyle w:val="21"/>
        <w:numPr>
          <w:ilvl w:val="2"/>
          <w:numId w:val="10"/>
        </w:numPr>
        <w:shd w:val="clear" w:color="auto" w:fill="auto"/>
        <w:tabs>
          <w:tab w:val="left" w:pos="1055" w:leader="none"/>
        </w:tabs>
        <w:spacing w:lineRule="auto" w:line="240"/>
        <w:ind w:left="0" w:firstLine="709"/>
        <w:jc w:val="both"/>
        <w:rPr>
          <w:sz w:val="24"/>
          <w:szCs w:val="24"/>
        </w:rPr>
      </w:pPr>
      <w:r>
        <w:rPr>
          <w:sz w:val="24"/>
          <w:szCs w:val="24"/>
        </w:rPr>
        <w:t>Согласовать с Исполнителем при заключении настоящего договора перечень Объектов Заказчика, подлежащих обслуживанию (Приложение 4).</w:t>
      </w:r>
    </w:p>
    <w:p>
      <w:pPr>
        <w:pStyle w:val="21"/>
        <w:shd w:val="clear" w:color="auto" w:fill="auto"/>
        <w:tabs>
          <w:tab w:val="left" w:pos="1055" w:leader="none"/>
        </w:tabs>
        <w:spacing w:lineRule="auto" w:line="240"/>
        <w:ind w:left="720" w:hanging="0"/>
        <w:jc w:val="both"/>
        <w:rPr>
          <w:sz w:val="24"/>
          <w:szCs w:val="24"/>
        </w:rPr>
      </w:pPr>
      <w:r>
        <w:rPr>
          <w:sz w:val="24"/>
          <w:szCs w:val="24"/>
        </w:rPr>
      </w:r>
    </w:p>
    <w:p>
      <w:pPr>
        <w:pStyle w:val="21"/>
        <w:numPr>
          <w:ilvl w:val="1"/>
          <w:numId w:val="10"/>
        </w:numPr>
        <w:shd w:val="clear" w:color="auto" w:fill="auto"/>
        <w:spacing w:lineRule="auto" w:line="240"/>
        <w:jc w:val="both"/>
        <w:rPr>
          <w:b/>
          <w:b/>
          <w:sz w:val="24"/>
          <w:szCs w:val="24"/>
        </w:rPr>
      </w:pPr>
      <w:r>
        <w:rPr>
          <w:rFonts w:eastAsia="Arial"/>
          <w:b/>
          <w:sz w:val="24"/>
          <w:szCs w:val="24"/>
        </w:rPr>
        <w:t>Заказчик вправе:</w:t>
      </w:r>
    </w:p>
    <w:p>
      <w:pPr>
        <w:pStyle w:val="21"/>
        <w:numPr>
          <w:ilvl w:val="2"/>
          <w:numId w:val="10"/>
        </w:numPr>
        <w:shd w:val="clear" w:color="auto" w:fill="auto"/>
        <w:spacing w:lineRule="auto" w:line="240"/>
        <w:ind w:left="0" w:firstLine="709"/>
        <w:jc w:val="both"/>
        <w:rPr>
          <w:sz w:val="24"/>
          <w:szCs w:val="24"/>
        </w:rPr>
      </w:pPr>
      <w:r>
        <w:rPr>
          <w:sz w:val="24"/>
          <w:szCs w:val="24"/>
        </w:rPr>
        <w:t>Заказчик вправе расторгнуть договор в любое время, уведомив об этом Исполнителя не позднее 10 (десяти) календарных дней до конца отчетного периода. В этом случае внесенный Заказчиком платеж не возвращается.</w:t>
      </w:r>
    </w:p>
    <w:p>
      <w:pPr>
        <w:pStyle w:val="21"/>
        <w:shd w:val="clear" w:color="auto" w:fill="auto"/>
        <w:spacing w:lineRule="auto" w:line="240"/>
        <w:ind w:left="1997" w:hanging="0"/>
        <w:jc w:val="both"/>
        <w:rPr>
          <w:b/>
          <w:b/>
          <w:sz w:val="24"/>
          <w:szCs w:val="24"/>
        </w:rPr>
      </w:pPr>
      <w:r>
        <w:rPr>
          <w:b/>
          <w:sz w:val="24"/>
          <w:szCs w:val="24"/>
        </w:rPr>
      </w:r>
    </w:p>
    <w:p>
      <w:pPr>
        <w:pStyle w:val="81"/>
        <w:keepNext w:val="true"/>
        <w:keepLines/>
        <w:numPr>
          <w:ilvl w:val="0"/>
          <w:numId w:val="10"/>
        </w:numPr>
        <w:shd w:val="clear" w:color="auto" w:fill="auto"/>
        <w:spacing w:lineRule="auto" w:line="240" w:before="0" w:after="0"/>
        <w:ind w:left="0" w:firstLine="1134"/>
        <w:jc w:val="center"/>
        <w:rPr>
          <w:b/>
          <w:b/>
          <w:sz w:val="24"/>
          <w:szCs w:val="24"/>
        </w:rPr>
      </w:pPr>
      <w:bookmarkStart w:id="2" w:name="bookmark2"/>
      <w:r>
        <w:rPr>
          <w:b/>
          <w:sz w:val="24"/>
          <w:szCs w:val="24"/>
        </w:rPr>
        <w:t>ЦЕНА ДОГОВОРА И ПОРЯДОК РАСЧЕТОВ</w:t>
      </w:r>
      <w:bookmarkEnd w:id="2"/>
    </w:p>
    <w:p>
      <w:pPr>
        <w:pStyle w:val="81"/>
        <w:keepNext w:val="true"/>
        <w:keepLines/>
        <w:shd w:val="clear" w:color="auto" w:fill="auto"/>
        <w:tabs>
          <w:tab w:val="left" w:pos="3178" w:leader="none"/>
        </w:tabs>
        <w:spacing w:lineRule="auto" w:line="240" w:before="0" w:after="0"/>
        <w:rPr>
          <w:b/>
          <w:b/>
          <w:sz w:val="24"/>
          <w:szCs w:val="24"/>
        </w:rPr>
      </w:pPr>
      <w:r>
        <w:rPr>
          <w:b/>
          <w:sz w:val="24"/>
          <w:szCs w:val="24"/>
        </w:rPr>
      </w:r>
    </w:p>
    <w:p>
      <w:pPr>
        <w:pStyle w:val="21"/>
        <w:numPr>
          <w:ilvl w:val="1"/>
          <w:numId w:val="10"/>
        </w:numPr>
        <w:shd w:val="clear" w:color="auto" w:fill="auto"/>
        <w:tabs>
          <w:tab w:val="left" w:pos="935" w:leader="none"/>
        </w:tabs>
        <w:spacing w:lineRule="auto" w:line="240"/>
        <w:jc w:val="both"/>
        <w:rPr/>
      </w:pPr>
      <w:r>
        <w:rPr>
          <w:sz w:val="24"/>
          <w:szCs w:val="24"/>
        </w:rPr>
        <w:t>Цена за предоставленные по настоящему договору услуги устанавливается в рублях.</w:t>
      </w:r>
    </w:p>
    <w:p>
      <w:pPr>
        <w:pStyle w:val="BodyText21"/>
        <w:tabs>
          <w:tab w:val="left" w:pos="935" w:leader="none"/>
        </w:tabs>
        <w:ind w:left="540" w:right="-1327" w:hanging="0"/>
        <w:jc w:val="both"/>
        <w:rPr/>
      </w:pPr>
      <w:r>
        <w:rPr>
          <w:sz w:val="22"/>
          <w:szCs w:val="22"/>
        </w:rPr>
        <w:t>С</w:t>
      </w:r>
      <w:r>
        <w:rPr>
          <w:sz w:val="22"/>
          <w:szCs w:val="22"/>
        </w:rPr>
        <w:t>тоимость услуг по настоящему договору составляет ____________ в том числе НДС.</w:t>
      </w:r>
      <w:r>
        <w:rPr>
          <w:sz w:val="22"/>
          <w:szCs w:val="22"/>
        </w:rPr>
        <w:t xml:space="preserve"> </w:t>
      </w:r>
    </w:p>
    <w:p>
      <w:pPr>
        <w:pStyle w:val="21"/>
        <w:numPr>
          <w:ilvl w:val="1"/>
          <w:numId w:val="10"/>
        </w:numPr>
        <w:shd w:val="clear" w:color="auto" w:fill="auto"/>
        <w:tabs>
          <w:tab w:val="left" w:pos="959" w:leader="none"/>
        </w:tabs>
        <w:spacing w:lineRule="auto" w:line="240"/>
        <w:ind w:left="0" w:hanging="540"/>
        <w:jc w:val="both"/>
        <w:rPr/>
      </w:pPr>
      <w:r>
        <w:rPr>
          <w:sz w:val="24"/>
          <w:szCs w:val="24"/>
        </w:rPr>
        <w:t xml:space="preserve">Стоимость услуг, предоставляемых Исполнителем по настоящему договору (тариф), указана и согласована сторонами в Приложении 1 и Приложении 3 к настоящему договору. </w:t>
      </w:r>
      <w:r>
        <w:rPr>
          <w:sz w:val="24"/>
          <w:szCs w:val="24"/>
        </w:rPr>
        <w:t xml:space="preserve">Стоимость услуг является фиксированной и не подлежит изменению в течение срока действия договора. </w:t>
      </w:r>
    </w:p>
    <w:p>
      <w:pPr>
        <w:pStyle w:val="21"/>
        <w:numPr>
          <w:ilvl w:val="1"/>
          <w:numId w:val="10"/>
        </w:numPr>
        <w:shd w:val="clear" w:color="auto" w:fill="auto"/>
        <w:tabs>
          <w:tab w:val="left" w:pos="959" w:leader="none"/>
        </w:tabs>
        <w:spacing w:lineRule="auto" w:line="240"/>
        <w:ind w:left="0" w:hanging="540"/>
        <w:jc w:val="both"/>
        <w:rPr>
          <w:sz w:val="24"/>
          <w:szCs w:val="24"/>
        </w:rPr>
      </w:pPr>
      <w:r>
        <w:rPr>
          <w:sz w:val="24"/>
          <w:szCs w:val="24"/>
        </w:rPr>
        <w:t>Услуги Исполнителя, согласованные в Приложении 1 (фиксированная часть оплаты) оплачиваются предварительно (100% предоплата) путем перечисления денежных средств на расчетный счет Исполнителя. Датой оплаты услуг является дата списания денежных средств с расчетного счета Заказчика.</w:t>
      </w:r>
    </w:p>
    <w:p>
      <w:pPr>
        <w:pStyle w:val="21"/>
        <w:numPr>
          <w:ilvl w:val="1"/>
          <w:numId w:val="10"/>
        </w:numPr>
        <w:shd w:val="clear" w:color="auto" w:fill="auto"/>
        <w:tabs>
          <w:tab w:val="left" w:pos="954" w:leader="none"/>
        </w:tabs>
        <w:spacing w:lineRule="auto" w:line="240"/>
        <w:ind w:left="0" w:hanging="0"/>
        <w:jc w:val="both"/>
        <w:rPr>
          <w:sz w:val="24"/>
          <w:szCs w:val="24"/>
        </w:rPr>
      </w:pPr>
      <w:r>
        <w:rPr>
          <w:sz w:val="24"/>
          <w:szCs w:val="24"/>
        </w:rPr>
        <w:t>Счет за дополнительно оказанные услуги Приложение 3 (переменная часть оплаты), выставляется текущим днем оказания переменной части услуги.</w:t>
      </w:r>
    </w:p>
    <w:p>
      <w:pPr>
        <w:pStyle w:val="21"/>
        <w:numPr>
          <w:ilvl w:val="1"/>
          <w:numId w:val="10"/>
        </w:numPr>
        <w:shd w:val="clear" w:color="auto" w:fill="auto"/>
        <w:tabs>
          <w:tab w:val="left" w:pos="974" w:leader="none"/>
        </w:tabs>
        <w:spacing w:lineRule="auto" w:line="240"/>
        <w:ind w:left="0" w:hanging="540"/>
        <w:jc w:val="both"/>
        <w:rPr/>
      </w:pPr>
      <w:r>
        <w:rPr>
          <w:sz w:val="24"/>
          <w:szCs w:val="24"/>
        </w:rPr>
        <w:t>Заказчик в течение 5 (пяти) рабочих дней со дня получения счета на оплату от Исполнителя производит 100% оплату услуг.</w:t>
      </w:r>
    </w:p>
    <w:p>
      <w:pPr>
        <w:pStyle w:val="21"/>
        <w:numPr>
          <w:ilvl w:val="1"/>
          <w:numId w:val="10"/>
        </w:numPr>
        <w:shd w:val="clear" w:color="auto" w:fill="auto"/>
        <w:tabs>
          <w:tab w:val="left" w:pos="922" w:leader="none"/>
        </w:tabs>
        <w:spacing w:lineRule="auto" w:line="240"/>
        <w:ind w:left="0" w:hanging="0"/>
        <w:jc w:val="both"/>
        <w:rPr>
          <w:sz w:val="24"/>
          <w:szCs w:val="24"/>
        </w:rPr>
      </w:pPr>
      <w:r>
        <w:rPr>
          <w:sz w:val="24"/>
          <w:szCs w:val="24"/>
        </w:rPr>
        <w:t>Если в течение срока, указанного в п. 4.4. настоящего Договора. Заказчик не выполнил свои обязанности по оплате услуг, Исполнитель вправе приостановить оказание услуг по настоящему договору (отключить оборудование, установленное на объекте) до внесения Заказчиком платежа на счет Исполнителя. В этом случае Исполнитель выставляет Заказчику новый счет, с учетом платы за активизацию (подключение) к АСМТ.</w:t>
      </w:r>
    </w:p>
    <w:p>
      <w:pPr>
        <w:pStyle w:val="21"/>
        <w:numPr>
          <w:ilvl w:val="0"/>
          <w:numId w:val="0"/>
        </w:numPr>
        <w:shd w:val="clear" w:color="auto" w:fill="auto"/>
        <w:tabs>
          <w:tab w:val="left" w:pos="918" w:leader="none"/>
        </w:tabs>
        <w:spacing w:lineRule="auto" w:line="240"/>
        <w:ind w:left="540" w:hanging="0"/>
        <w:jc w:val="both"/>
        <w:rPr/>
      </w:pPr>
      <w:r>
        <w:rPr>
          <w:sz w:val="24"/>
          <w:szCs w:val="24"/>
        </w:rPr>
        <w:t>4.7.</w:t>
      </w:r>
      <w:r>
        <w:rPr>
          <w:sz w:val="24"/>
          <w:szCs w:val="24"/>
        </w:rPr>
        <w:t>Обязательства Заказчика по оплате услуг Исполнителя считаются надлежаще исполненными со дня зачисления на счет или внесения в кассу Исполнителя указанной в счетах денежной суммы.</w:t>
      </w:r>
    </w:p>
    <w:p>
      <w:pPr>
        <w:pStyle w:val="21"/>
        <w:numPr>
          <w:ilvl w:val="0"/>
          <w:numId w:val="0"/>
        </w:numPr>
        <w:shd w:val="clear" w:color="auto" w:fill="auto"/>
        <w:tabs>
          <w:tab w:val="left" w:pos="927" w:leader="none"/>
        </w:tabs>
        <w:spacing w:lineRule="auto" w:line="240"/>
        <w:ind w:left="0" w:hanging="0"/>
        <w:jc w:val="both"/>
        <w:rPr>
          <w:sz w:val="24"/>
          <w:szCs w:val="24"/>
          <w:highlight w:val="yellow"/>
        </w:rPr>
      </w:pPr>
      <w:r>
        <w:rPr>
          <w:sz w:val="24"/>
          <w:szCs w:val="24"/>
          <w:highlight w:val="yellow"/>
        </w:rPr>
      </w:r>
    </w:p>
    <w:p>
      <w:pPr>
        <w:pStyle w:val="821"/>
        <w:keepNext w:val="true"/>
        <w:keepLines/>
        <w:numPr>
          <w:ilvl w:val="0"/>
          <w:numId w:val="10"/>
        </w:numPr>
        <w:shd w:val="clear" w:color="auto" w:fill="auto"/>
        <w:tabs>
          <w:tab w:val="left" w:pos="4631" w:leader="none"/>
        </w:tabs>
        <w:spacing w:lineRule="auto" w:line="240" w:before="0" w:after="0"/>
        <w:ind w:left="0" w:hanging="540"/>
        <w:jc w:val="center"/>
        <w:rPr>
          <w:sz w:val="24"/>
          <w:szCs w:val="24"/>
        </w:rPr>
      </w:pPr>
      <w:bookmarkStart w:id="3" w:name="bookmark3"/>
      <w:r>
        <w:rPr>
          <w:sz w:val="24"/>
          <w:szCs w:val="24"/>
        </w:rPr>
        <w:t>ГАРАНТИЯ</w:t>
      </w:r>
      <w:bookmarkEnd w:id="3"/>
    </w:p>
    <w:p>
      <w:pPr>
        <w:pStyle w:val="21"/>
        <w:numPr>
          <w:ilvl w:val="0"/>
          <w:numId w:val="3"/>
        </w:numPr>
        <w:shd w:val="clear" w:color="auto" w:fill="auto"/>
        <w:tabs>
          <w:tab w:val="left" w:pos="1142" w:leader="none"/>
        </w:tabs>
        <w:spacing w:lineRule="auto" w:line="240"/>
        <w:ind w:firstLine="720"/>
        <w:jc w:val="both"/>
        <w:rPr>
          <w:sz w:val="24"/>
          <w:szCs w:val="24"/>
        </w:rPr>
      </w:pPr>
      <w:r>
        <w:rPr>
          <w:sz w:val="24"/>
          <w:szCs w:val="24"/>
        </w:rPr>
        <w:t>На оборудование АСМТ, в рамках действующего договора, распространяется гарантии заводов-изготовителей оборудования и исчисляется с момента ввода оборудования в эксплуатацию.</w:t>
      </w:r>
    </w:p>
    <w:p>
      <w:pPr>
        <w:pStyle w:val="21"/>
        <w:numPr>
          <w:ilvl w:val="0"/>
          <w:numId w:val="3"/>
        </w:numPr>
        <w:shd w:val="clear" w:color="auto" w:fill="auto"/>
        <w:tabs>
          <w:tab w:val="left" w:pos="1142" w:leader="none"/>
        </w:tabs>
        <w:spacing w:lineRule="auto" w:line="240"/>
        <w:ind w:firstLine="709"/>
        <w:jc w:val="both"/>
        <w:rPr>
          <w:sz w:val="24"/>
          <w:szCs w:val="24"/>
        </w:rPr>
      </w:pPr>
      <w:r>
        <w:rPr>
          <w:sz w:val="24"/>
          <w:szCs w:val="24"/>
        </w:rPr>
        <w:t>В случае обнаружения неисправности АСМТ, Заказчик направляет Исполнителю заявку на проведение сервисных работ. После этого Сторонами согласовываются сроки диагностики, ремонта или замены Оборудования.</w:t>
      </w:r>
    </w:p>
    <w:p>
      <w:pPr>
        <w:pStyle w:val="21"/>
        <w:numPr>
          <w:ilvl w:val="0"/>
          <w:numId w:val="3"/>
        </w:numPr>
        <w:shd w:val="clear" w:color="auto" w:fill="auto"/>
        <w:tabs>
          <w:tab w:val="left" w:pos="1134" w:leader="none"/>
        </w:tabs>
        <w:spacing w:lineRule="auto" w:line="240"/>
        <w:ind w:firstLine="720"/>
        <w:jc w:val="both"/>
        <w:rPr>
          <w:sz w:val="24"/>
          <w:szCs w:val="24"/>
        </w:rPr>
      </w:pPr>
      <w:r>
        <w:rPr>
          <w:sz w:val="24"/>
          <w:szCs w:val="24"/>
        </w:rPr>
        <w:t>Гарантия на оборудование АСМТ утрачивает силу в следующих случаях:</w:t>
      </w:r>
    </w:p>
    <w:p>
      <w:pPr>
        <w:pStyle w:val="21"/>
        <w:numPr>
          <w:ilvl w:val="0"/>
          <w:numId w:val="4"/>
        </w:numPr>
        <w:shd w:val="clear" w:color="auto" w:fill="auto"/>
        <w:tabs>
          <w:tab w:val="left" w:pos="1263" w:leader="none"/>
        </w:tabs>
        <w:spacing w:lineRule="auto" w:line="240"/>
        <w:ind w:firstLine="720"/>
        <w:jc w:val="both"/>
        <w:rPr>
          <w:sz w:val="24"/>
          <w:szCs w:val="24"/>
        </w:rPr>
      </w:pPr>
      <w:r>
        <w:rPr>
          <w:sz w:val="24"/>
          <w:szCs w:val="24"/>
        </w:rPr>
        <w:t xml:space="preserve"> </w:t>
      </w:r>
      <w:r>
        <w:rPr>
          <w:sz w:val="24"/>
          <w:szCs w:val="24"/>
        </w:rPr>
        <w:t>При нарушении Заказчиком условий эксплуатации, в частности указанных в руководстве по его эксплуатации, при превышении предельных эксплуатационных параметров Оборудования, указанных в паспорте изделия.</w:t>
      </w:r>
    </w:p>
    <w:p>
      <w:pPr>
        <w:pStyle w:val="21"/>
        <w:numPr>
          <w:ilvl w:val="0"/>
          <w:numId w:val="4"/>
        </w:numPr>
        <w:shd w:val="clear" w:color="auto" w:fill="auto"/>
        <w:tabs>
          <w:tab w:val="left" w:pos="1263" w:leader="none"/>
        </w:tabs>
        <w:spacing w:lineRule="auto" w:line="240"/>
        <w:ind w:firstLine="720"/>
        <w:jc w:val="both"/>
        <w:rPr/>
      </w:pPr>
      <w:r>
        <w:rPr>
          <w:sz w:val="24"/>
          <w:szCs w:val="24"/>
        </w:rPr>
        <w:t xml:space="preserve"> </w:t>
      </w:r>
      <w:r>
        <w:rPr>
          <w:sz w:val="24"/>
          <w:szCs w:val="24"/>
        </w:rPr>
        <w:t>Повреждение Оборудования любых элементов, включая целостность пломбировки, вызванные внешними воздействиями химических веществ, камней, песка, пожаров, техногенной деятельностью человека, его небрежностью, а также природными и экологическими явлениями (град, шторм, молнии, сильные ливни) и стихийными бедствиями.</w:t>
      </w:r>
    </w:p>
    <w:p>
      <w:pPr>
        <w:pStyle w:val="21"/>
        <w:numPr>
          <w:ilvl w:val="0"/>
          <w:numId w:val="4"/>
        </w:numPr>
        <w:shd w:val="clear" w:color="auto" w:fill="auto"/>
        <w:tabs>
          <w:tab w:val="left" w:pos="1440" w:leader="none"/>
        </w:tabs>
        <w:spacing w:lineRule="auto" w:line="240"/>
        <w:ind w:firstLine="720"/>
        <w:jc w:val="both"/>
        <w:rPr>
          <w:sz w:val="24"/>
          <w:szCs w:val="24"/>
        </w:rPr>
      </w:pPr>
      <w:r>
        <w:rPr>
          <w:sz w:val="24"/>
          <w:szCs w:val="24"/>
        </w:rPr>
        <w:t>Устранение последствий ремонта (обслуживания), выполненного неуполномоченными производителем на проведение сервисного и технического обслуживания лицами.</w:t>
      </w:r>
    </w:p>
    <w:p>
      <w:pPr>
        <w:pStyle w:val="21"/>
        <w:numPr>
          <w:ilvl w:val="0"/>
          <w:numId w:val="3"/>
        </w:numPr>
        <w:shd w:val="clear" w:color="auto" w:fill="auto"/>
        <w:tabs>
          <w:tab w:val="left" w:pos="1142" w:leader="none"/>
        </w:tabs>
        <w:spacing w:lineRule="auto" w:line="240"/>
        <w:ind w:firstLine="720"/>
        <w:jc w:val="both"/>
        <w:rPr>
          <w:sz w:val="24"/>
          <w:szCs w:val="24"/>
        </w:rPr>
      </w:pPr>
      <w:r>
        <w:rPr>
          <w:sz w:val="24"/>
          <w:szCs w:val="24"/>
        </w:rPr>
        <w:t>Оборудование, вышедшее из строя в период действия гарантийного срока, меняется Исполнителем на новое, а вышедшее из строя направляется за счет Исполнителя на завод-изготовитель оборудования в сопровождении акта рекламации, в котором указывается информация, позволяющая однозначно идентифицировать такое Оборудование (серийный номер и т.п.), определить характер неисправности или описание проблемы.</w:t>
      </w:r>
    </w:p>
    <w:p>
      <w:pPr>
        <w:pStyle w:val="21"/>
        <w:numPr>
          <w:ilvl w:val="0"/>
          <w:numId w:val="3"/>
        </w:numPr>
        <w:shd w:val="clear" w:color="auto" w:fill="auto"/>
        <w:tabs>
          <w:tab w:val="left" w:pos="1142" w:leader="none"/>
        </w:tabs>
        <w:spacing w:lineRule="auto" w:line="240"/>
        <w:ind w:firstLine="720"/>
        <w:jc w:val="both"/>
        <w:rPr>
          <w:sz w:val="24"/>
          <w:szCs w:val="24"/>
        </w:rPr>
      </w:pPr>
      <w:r>
        <w:rPr>
          <w:sz w:val="24"/>
          <w:szCs w:val="24"/>
        </w:rPr>
        <w:t>Экспертиза причин выхода Оборудования из строя, устранение неисправностей или замена Оборудования, производится в течении 20(двадцати) рабочих дней с момента получения Изготовителем акта рекламации и Оборудования, вышедшего из строя.</w:t>
      </w:r>
    </w:p>
    <w:p>
      <w:pPr>
        <w:pStyle w:val="21"/>
        <w:numPr>
          <w:ilvl w:val="0"/>
          <w:numId w:val="3"/>
        </w:numPr>
        <w:shd w:val="clear" w:color="auto" w:fill="auto"/>
        <w:tabs>
          <w:tab w:val="left" w:pos="1440" w:leader="none"/>
        </w:tabs>
        <w:spacing w:lineRule="auto" w:line="240"/>
        <w:ind w:firstLine="720"/>
        <w:jc w:val="both"/>
        <w:rPr>
          <w:sz w:val="24"/>
          <w:szCs w:val="24"/>
        </w:rPr>
      </w:pPr>
      <w:r>
        <w:rPr>
          <w:sz w:val="24"/>
          <w:szCs w:val="24"/>
        </w:rPr>
        <w:t>Если Экспертизой будет признано, что случай выхода из строя Оборудования является гарантийным. Изготовитель по окончании гарантийного ремонта направляет отремонтированное Оборудование Исполнителю за свой счет.</w:t>
      </w:r>
    </w:p>
    <w:p>
      <w:pPr>
        <w:pStyle w:val="21"/>
        <w:numPr>
          <w:ilvl w:val="0"/>
          <w:numId w:val="3"/>
        </w:numPr>
        <w:shd w:val="clear" w:color="auto" w:fill="auto"/>
        <w:tabs>
          <w:tab w:val="left" w:pos="1142" w:leader="none"/>
        </w:tabs>
        <w:spacing w:lineRule="auto" w:line="240"/>
        <w:ind w:firstLine="720"/>
        <w:jc w:val="both"/>
        <w:rPr>
          <w:sz w:val="24"/>
          <w:szCs w:val="24"/>
        </w:rPr>
      </w:pPr>
      <w:r>
        <w:rPr>
          <w:sz w:val="24"/>
          <w:szCs w:val="24"/>
        </w:rPr>
        <w:t>Если Экспертизой будет признано, что случай выхода из строя Оборудования является не гарантийным. Изготовитель направляет Исполнителю акт технического заключения, содержащий мотивированный отказ от признания причин выхода из строя Оборудования гарантийным случаем (копия 4кта технического заключения предоставляется Заказчику). В этом случае Исполнитель выставляет счет за левое оборудование и сервисные услуги в соответствии с расценками установленными в Приложении №3 (..Цепы на сервисные услуги (работы), не входящие в гарантийный ремонт или гарантийное обслуживание), а Заказчик соглашается с предоставленным актом технического заключения и оплачивает счет в течении 5 тяти) рабочих дней с момента выставления счета Исполнителем.</w:t>
      </w:r>
    </w:p>
    <w:p>
      <w:pPr>
        <w:pStyle w:val="21"/>
        <w:numPr>
          <w:ilvl w:val="0"/>
          <w:numId w:val="5"/>
        </w:numPr>
        <w:shd w:val="clear" w:color="auto" w:fill="auto"/>
        <w:tabs>
          <w:tab w:val="left" w:pos="1142" w:leader="none"/>
        </w:tabs>
        <w:spacing w:lineRule="auto" w:line="240"/>
        <w:ind w:firstLine="720"/>
        <w:jc w:val="both"/>
        <w:rPr/>
      </w:pPr>
      <w:r>
        <w:rPr>
          <w:sz w:val="24"/>
          <w:szCs w:val="24"/>
        </w:rPr>
        <w:t>Г</w:t>
      </w:r>
      <w:r>
        <w:rPr>
          <w:sz w:val="24"/>
          <w:szCs w:val="24"/>
        </w:rPr>
        <w:t>ара</w:t>
      </w:r>
      <w:r>
        <w:rPr>
          <w:sz w:val="24"/>
          <w:szCs w:val="24"/>
        </w:rPr>
        <w:t>н</w:t>
      </w:r>
      <w:r>
        <w:rPr>
          <w:sz w:val="24"/>
          <w:szCs w:val="24"/>
        </w:rPr>
        <w:t>тийный срок на выполненные Исполнителем работы составляет 12 (двенадцать) месяцев со дня подписания сторонами универсальных передаточных документов (далее УПД).</w:t>
      </w:r>
    </w:p>
    <w:p>
      <w:pPr>
        <w:pStyle w:val="21"/>
        <w:shd w:val="clear" w:color="auto" w:fill="auto"/>
        <w:tabs>
          <w:tab w:val="left" w:pos="1142" w:leader="none"/>
        </w:tabs>
        <w:spacing w:lineRule="auto" w:line="240"/>
        <w:ind w:hanging="0"/>
        <w:jc w:val="both"/>
        <w:rPr>
          <w:sz w:val="24"/>
          <w:szCs w:val="24"/>
        </w:rPr>
      </w:pPr>
      <w:r>
        <w:rPr>
          <w:sz w:val="24"/>
          <w:szCs w:val="24"/>
        </w:rPr>
      </w:r>
    </w:p>
    <w:p>
      <w:pPr>
        <w:pStyle w:val="21"/>
        <w:numPr>
          <w:ilvl w:val="0"/>
          <w:numId w:val="6"/>
        </w:numPr>
        <w:shd w:val="clear" w:color="auto" w:fill="auto"/>
        <w:tabs>
          <w:tab w:val="left" w:pos="1098" w:leader="none"/>
        </w:tabs>
        <w:spacing w:lineRule="auto" w:line="240"/>
        <w:ind w:firstLine="740"/>
        <w:jc w:val="both"/>
        <w:rPr>
          <w:sz w:val="24"/>
          <w:szCs w:val="24"/>
        </w:rPr>
      </w:pPr>
      <w:r>
        <w:rPr>
          <w:sz w:val="24"/>
          <w:szCs w:val="24"/>
        </w:rPr>
        <w:t>Если в период гарантийной эксплуатации обнаружатся дефекты в работах, произведенных Исполнителем, препятствующие нормальной эксплуатации оборудования, Исполнитель обязан их устранить за свой счет в течение 10 (десяти) рабочих дней с момента получения заявки на проведение работ (Приложение №2), гарантийный срок в этом случае продлевается на период устранения дефектов.</w:t>
      </w:r>
    </w:p>
    <w:p>
      <w:pPr>
        <w:pStyle w:val="21"/>
        <w:shd w:val="clear" w:color="auto" w:fill="auto"/>
        <w:tabs>
          <w:tab w:val="left" w:pos="1098" w:leader="none"/>
        </w:tabs>
        <w:spacing w:lineRule="auto" w:line="240"/>
        <w:ind w:left="740" w:hanging="0"/>
        <w:jc w:val="both"/>
        <w:rPr>
          <w:sz w:val="24"/>
          <w:szCs w:val="24"/>
        </w:rPr>
      </w:pPr>
      <w:r>
        <w:rPr>
          <w:sz w:val="24"/>
          <w:szCs w:val="24"/>
        </w:rPr>
      </w:r>
    </w:p>
    <w:p>
      <w:pPr>
        <w:pStyle w:val="831"/>
        <w:keepNext w:val="true"/>
        <w:keepLines/>
        <w:numPr>
          <w:ilvl w:val="0"/>
          <w:numId w:val="10"/>
        </w:numPr>
        <w:shd w:val="clear" w:color="auto" w:fill="auto"/>
        <w:tabs>
          <w:tab w:val="left" w:pos="3331" w:leader="none"/>
        </w:tabs>
        <w:spacing w:lineRule="auto" w:line="240" w:before="0" w:after="0"/>
        <w:ind w:left="0" w:hanging="540"/>
        <w:jc w:val="center"/>
        <w:rPr>
          <w:sz w:val="24"/>
          <w:szCs w:val="24"/>
        </w:rPr>
      </w:pPr>
      <w:bookmarkStart w:id="4" w:name="bookmark5"/>
      <w:r>
        <w:rPr>
          <w:sz w:val="24"/>
          <w:szCs w:val="24"/>
        </w:rPr>
        <w:t>ФОРС-МАЖОРНЫЕ ОБСТОЯТЕЛЬСТВА</w:t>
      </w:r>
      <w:bookmarkEnd w:id="4"/>
    </w:p>
    <w:p>
      <w:pPr>
        <w:pStyle w:val="831"/>
        <w:keepNext w:val="true"/>
        <w:keepLines/>
        <w:shd w:val="clear" w:color="auto" w:fill="auto"/>
        <w:tabs>
          <w:tab w:val="left" w:pos="3331" w:leader="none"/>
        </w:tabs>
        <w:spacing w:lineRule="auto" w:line="240" w:before="0" w:after="0"/>
        <w:rPr>
          <w:sz w:val="24"/>
          <w:szCs w:val="24"/>
        </w:rPr>
      </w:pPr>
      <w:r>
        <w:rPr>
          <w:sz w:val="24"/>
          <w:szCs w:val="24"/>
        </w:rPr>
      </w:r>
    </w:p>
    <w:p>
      <w:pPr>
        <w:pStyle w:val="21"/>
        <w:numPr>
          <w:ilvl w:val="1"/>
          <w:numId w:val="10"/>
        </w:numPr>
        <w:shd w:val="clear" w:color="auto" w:fill="auto"/>
        <w:tabs>
          <w:tab w:val="left" w:pos="907" w:leader="none"/>
        </w:tabs>
        <w:spacing w:lineRule="auto" w:line="240"/>
        <w:ind w:left="0" w:hanging="540"/>
        <w:jc w:val="both"/>
        <w:rPr>
          <w:sz w:val="24"/>
          <w:szCs w:val="24"/>
        </w:rPr>
      </w:pPr>
      <w:r>
        <w:rPr>
          <w:sz w:val="24"/>
          <w:szCs w:val="24"/>
        </w:rPr>
        <w:t>Под форс-мажорными обстоятельствами понимаются события, за возникновение которых стороны не отвечают, и оказывать влияние, на которые не имеют возможности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данному договору.</w:t>
      </w:r>
    </w:p>
    <w:p>
      <w:pPr>
        <w:pStyle w:val="21"/>
        <w:numPr>
          <w:ilvl w:val="1"/>
          <w:numId w:val="10"/>
        </w:numPr>
        <w:shd w:val="clear" w:color="auto" w:fill="auto"/>
        <w:tabs>
          <w:tab w:val="left" w:pos="922" w:leader="none"/>
        </w:tabs>
        <w:spacing w:lineRule="auto" w:line="240"/>
        <w:ind w:left="0" w:hanging="540"/>
        <w:jc w:val="both"/>
        <w:rPr>
          <w:sz w:val="24"/>
          <w:szCs w:val="24"/>
        </w:rPr>
      </w:pPr>
      <w:r>
        <w:rPr>
          <w:sz w:val="24"/>
          <w:szCs w:val="24"/>
        </w:rPr>
        <w:t>Если форс-мажорные обстоятельства имеют место и препятствуют сторонам своевременно выполнить свои обязательства по данному договору,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случившемся с подробным описанием сложившихся условий, а также подтверждением возникновения форс-мажорных обстоятельств уполномоченным на то органом.</w:t>
      </w:r>
    </w:p>
    <w:p>
      <w:pPr>
        <w:pStyle w:val="21"/>
        <w:numPr>
          <w:ilvl w:val="1"/>
          <w:numId w:val="10"/>
        </w:numPr>
        <w:shd w:val="clear" w:color="auto" w:fill="auto"/>
        <w:tabs>
          <w:tab w:val="left" w:pos="913" w:leader="none"/>
        </w:tabs>
        <w:spacing w:lineRule="auto" w:line="240"/>
        <w:ind w:left="0" w:hanging="540"/>
        <w:jc w:val="both"/>
        <w:rPr>
          <w:sz w:val="24"/>
          <w:szCs w:val="24"/>
        </w:rPr>
      </w:pPr>
      <w:r>
        <w:rPr>
          <w:sz w:val="24"/>
          <w:szCs w:val="24"/>
        </w:rPr>
        <w:t>В случае если форс-мажорные обстоятельства будут длиться более трех месяцев стороны обязаны принять совместное решение о дальнейшей судьбе договора.</w:t>
      </w:r>
    </w:p>
    <w:p>
      <w:pPr>
        <w:pStyle w:val="21"/>
        <w:shd w:val="clear" w:color="auto" w:fill="auto"/>
        <w:tabs>
          <w:tab w:val="left" w:pos="913" w:leader="none"/>
        </w:tabs>
        <w:spacing w:lineRule="auto" w:line="240"/>
        <w:ind w:hanging="0"/>
        <w:jc w:val="both"/>
        <w:rPr>
          <w:sz w:val="24"/>
          <w:szCs w:val="24"/>
        </w:rPr>
      </w:pPr>
      <w:r>
        <w:rPr>
          <w:sz w:val="24"/>
          <w:szCs w:val="24"/>
        </w:rPr>
      </w:r>
    </w:p>
    <w:p>
      <w:pPr>
        <w:pStyle w:val="831"/>
        <w:keepNext w:val="true"/>
        <w:keepLines/>
        <w:numPr>
          <w:ilvl w:val="0"/>
          <w:numId w:val="10"/>
        </w:numPr>
        <w:shd w:val="clear" w:color="auto" w:fill="auto"/>
        <w:tabs>
          <w:tab w:val="left" w:pos="4062" w:leader="none"/>
        </w:tabs>
        <w:spacing w:lineRule="auto" w:line="240" w:before="0" w:after="0"/>
        <w:ind w:left="0" w:hanging="540"/>
        <w:jc w:val="center"/>
        <w:rPr>
          <w:sz w:val="24"/>
          <w:szCs w:val="24"/>
        </w:rPr>
      </w:pPr>
      <w:bookmarkStart w:id="5" w:name="bookmark6"/>
      <w:r>
        <w:rPr>
          <w:sz w:val="24"/>
          <w:szCs w:val="24"/>
        </w:rPr>
        <w:t>ПРОЧИЕ УСЛОВИЯ</w:t>
      </w:r>
      <w:bookmarkEnd w:id="5"/>
    </w:p>
    <w:p>
      <w:pPr>
        <w:pStyle w:val="21"/>
        <w:numPr>
          <w:ilvl w:val="1"/>
          <w:numId w:val="10"/>
        </w:numPr>
        <w:shd w:val="clear" w:color="auto" w:fill="auto"/>
        <w:tabs>
          <w:tab w:val="left" w:pos="907" w:leader="none"/>
        </w:tabs>
        <w:spacing w:lineRule="auto" w:line="240"/>
        <w:ind w:left="0" w:firstLine="567"/>
        <w:jc w:val="both"/>
        <w:rPr>
          <w:sz w:val="24"/>
          <w:szCs w:val="24"/>
        </w:rPr>
      </w:pPr>
      <w:r>
        <w:rPr>
          <w:sz w:val="24"/>
          <w:szCs w:val="24"/>
        </w:rPr>
        <w:t xml:space="preserve">Вся информация, полученная в ходе реализации данного договора, считается конфиденциальный и не подлежит разглашению или передаче третьим лицам, как в период действия настоящего договора, так и по окончании его действия, за исключением случаем, установленных законодательством РФ. </w:t>
      </w:r>
    </w:p>
    <w:p>
      <w:pPr>
        <w:pStyle w:val="21"/>
        <w:numPr>
          <w:ilvl w:val="1"/>
          <w:numId w:val="10"/>
        </w:numPr>
        <w:shd w:val="clear" w:color="auto" w:fill="auto"/>
        <w:tabs>
          <w:tab w:val="left" w:pos="922" w:leader="none"/>
        </w:tabs>
        <w:spacing w:lineRule="auto" w:line="240"/>
        <w:ind w:left="0" w:firstLine="567"/>
        <w:jc w:val="both"/>
        <w:rPr>
          <w:sz w:val="24"/>
          <w:szCs w:val="24"/>
        </w:rPr>
      </w:pPr>
      <w:r>
        <w:rPr>
          <w:sz w:val="24"/>
          <w:szCs w:val="24"/>
        </w:rPr>
        <w:t>Техническая поддержка по вопросам, связанным с эксплуатацией АСМТ, предоставляется по рабочим дням и только сотрудникам Заказчика (согласно выбранного тарифа): с 9:00 до 17:00 по тел. ____________ или по электронной почте __________, в остальное время: по тел. _________.</w:t>
      </w:r>
    </w:p>
    <w:p>
      <w:pPr>
        <w:pStyle w:val="21"/>
        <w:numPr>
          <w:ilvl w:val="1"/>
          <w:numId w:val="10"/>
        </w:numPr>
        <w:shd w:val="clear" w:color="auto" w:fill="auto"/>
        <w:tabs>
          <w:tab w:val="left" w:pos="1098" w:leader="none"/>
        </w:tabs>
        <w:spacing w:lineRule="auto" w:line="240"/>
        <w:ind w:left="0" w:firstLine="567"/>
        <w:jc w:val="both"/>
        <w:rPr>
          <w:sz w:val="24"/>
          <w:szCs w:val="24"/>
        </w:rPr>
      </w:pPr>
      <w:r>
        <w:rPr>
          <w:sz w:val="24"/>
          <w:szCs w:val="24"/>
        </w:rPr>
        <w:t xml:space="preserve">Исполнитель не несет ответственность за качество доступа к АСМТ через сеть </w:t>
      </w:r>
      <w:r>
        <w:rPr>
          <w:sz w:val="24"/>
          <w:szCs w:val="24"/>
          <w:lang w:val="en-US" w:bidi="en-US"/>
        </w:rPr>
        <w:t>Internet</w:t>
      </w:r>
      <w:r>
        <w:rPr>
          <w:sz w:val="24"/>
          <w:szCs w:val="24"/>
          <w:lang w:bidi="en-US"/>
        </w:rPr>
        <w:t xml:space="preserve"> </w:t>
      </w:r>
      <w:r>
        <w:rPr>
          <w:sz w:val="24"/>
          <w:szCs w:val="24"/>
        </w:rPr>
        <w:t>и операторов связи, используемых Заказчиком.</w:t>
      </w:r>
    </w:p>
    <w:p>
      <w:pPr>
        <w:pStyle w:val="21"/>
        <w:numPr>
          <w:ilvl w:val="1"/>
          <w:numId w:val="10"/>
        </w:numPr>
        <w:shd w:val="clear" w:color="auto" w:fill="auto"/>
        <w:tabs>
          <w:tab w:val="left" w:pos="932" w:leader="none"/>
        </w:tabs>
        <w:spacing w:lineRule="auto" w:line="240"/>
        <w:ind w:left="0" w:firstLine="567"/>
        <w:jc w:val="both"/>
        <w:rPr/>
      </w:pPr>
      <w:r>
        <w:rPr>
          <w:sz w:val="24"/>
          <w:szCs w:val="24"/>
        </w:rPr>
        <w:t>Исполнитель не несет ответственности за прямой или косвенный ущерб, причинённый Заказчику в результате использования или невозможности пользования услугами в результате ошибок, пропусков, перерывов в работе, удаления файлов, изменения функций, дефектов, задержек в работе при передаче данных и т.п., случившихся по вине Заказчика и/или операторов связи, задействованных в процессе сбора данных с ТС и обеспечением информации, полученной с использованием АСМТ.</w:t>
      </w:r>
    </w:p>
    <w:p>
      <w:pPr>
        <w:pStyle w:val="21"/>
        <w:numPr>
          <w:ilvl w:val="0"/>
          <w:numId w:val="0"/>
        </w:numPr>
        <w:shd w:val="clear" w:color="auto" w:fill="auto"/>
        <w:tabs>
          <w:tab w:val="left" w:pos="937" w:leader="none"/>
        </w:tabs>
        <w:spacing w:lineRule="auto" w:line="240"/>
        <w:ind w:left="540" w:hanging="0"/>
        <w:jc w:val="both"/>
        <w:rPr/>
      </w:pPr>
      <w:r>
        <w:rPr>
          <w:sz w:val="24"/>
          <w:szCs w:val="24"/>
        </w:rPr>
        <w:t xml:space="preserve">7.5. </w:t>
      </w:r>
      <w:r>
        <w:rPr>
          <w:sz w:val="24"/>
          <w:szCs w:val="24"/>
        </w:rPr>
        <w:t xml:space="preserve"> До получения сторонами оригиналов Договора, настоящий Договор считается заключенным путем обмена Сторонами его подписанными и заверенными печатью сканированными копиями по электронной почте, указанной в разделе настоящего договора «Реквизиты сторон». Направленные таким образом документы считаются подписанными простой электронной подписью и признаются сторонами равнозначными бумажным, подписанным собственноручной подписью сторон.</w:t>
      </w:r>
    </w:p>
    <w:p>
      <w:pPr>
        <w:pStyle w:val="21"/>
        <w:numPr>
          <w:ilvl w:val="0"/>
          <w:numId w:val="0"/>
        </w:numPr>
        <w:shd w:val="clear" w:color="auto" w:fill="auto"/>
        <w:tabs>
          <w:tab w:val="left" w:pos="927" w:leader="none"/>
        </w:tabs>
        <w:spacing w:lineRule="auto" w:line="240"/>
        <w:ind w:left="0" w:hanging="0"/>
        <w:jc w:val="both"/>
        <w:rPr/>
      </w:pPr>
      <w:r>
        <w:rPr>
          <w:sz w:val="24"/>
          <w:szCs w:val="24"/>
        </w:rPr>
        <w:t xml:space="preserve">   </w:t>
      </w:r>
      <w:r>
        <w:rPr>
          <w:sz w:val="24"/>
          <w:szCs w:val="24"/>
        </w:rPr>
        <w:t xml:space="preserve">7.6. </w:t>
      </w:r>
      <w:r>
        <w:rPr>
          <w:sz w:val="24"/>
          <w:szCs w:val="24"/>
        </w:rPr>
        <w:t>Подписанием настоящего Договора Стороны подтверждают, что являются  добросовестными налогоплательщиками, у них отсутствует просроченная задолженность по уплате налогов и иных обязательных платежей, а также обеспечивается прием и обработка всей входящей корреспонденции по юридическому адресу.</w:t>
      </w:r>
    </w:p>
    <w:p>
      <w:pPr>
        <w:pStyle w:val="21"/>
        <w:widowControl w:val="false"/>
        <w:numPr>
          <w:ilvl w:val="0"/>
          <w:numId w:val="0"/>
        </w:numPr>
        <w:shd w:val="clear" w:color="auto" w:fill="auto"/>
        <w:tabs>
          <w:tab w:val="left" w:pos="927" w:leader="none"/>
        </w:tabs>
        <w:bidi w:val="0"/>
        <w:spacing w:lineRule="auto" w:line="240" w:before="0" w:after="0"/>
        <w:ind w:left="653" w:right="0" w:hanging="0"/>
        <w:jc w:val="both"/>
        <w:rPr/>
      </w:pPr>
      <w:r>
        <w:rPr>
          <w:sz w:val="24"/>
          <w:szCs w:val="24"/>
        </w:rPr>
        <w:t xml:space="preserve">       </w:t>
      </w:r>
      <w:r>
        <w:rPr>
          <w:sz w:val="24"/>
          <w:szCs w:val="24"/>
        </w:rPr>
        <w:t>7.7.</w:t>
      </w:r>
      <w:r>
        <w:rPr>
          <w:sz w:val="24"/>
          <w:szCs w:val="24"/>
        </w:rPr>
        <w:t>Все разногласия, возникающие в ходе действия договора, решаются сторонами путем переговоров или направления заинтересованной Стороной претензии. Разногласия, по которым стороны не придут к единому мнению передаются на рассмотрение в Арбитражный суд Курской области.</w:t>
      </w:r>
    </w:p>
    <w:p>
      <w:pPr>
        <w:pStyle w:val="21"/>
        <w:numPr>
          <w:ilvl w:val="0"/>
          <w:numId w:val="0"/>
        </w:numPr>
        <w:shd w:val="clear" w:color="auto" w:fill="auto"/>
        <w:tabs>
          <w:tab w:val="left" w:pos="1098" w:leader="none"/>
        </w:tabs>
        <w:spacing w:lineRule="auto" w:line="240"/>
        <w:ind w:left="0" w:hanging="0"/>
        <w:jc w:val="both"/>
        <w:rPr>
          <w:sz w:val="24"/>
          <w:szCs w:val="24"/>
        </w:rPr>
      </w:pPr>
      <w:r>
        <w:rPr>
          <w:sz w:val="24"/>
          <w:szCs w:val="24"/>
        </w:rPr>
        <w:t>Настоящий договор включает все приложения, подписанные Сторонами, а также дополнения и изменения к нему.</w:t>
      </w:r>
    </w:p>
    <w:p>
      <w:pPr>
        <w:pStyle w:val="Normal"/>
        <w:jc w:val="both"/>
        <w:rPr/>
      </w:pPr>
      <w:r>
        <w:rPr>
          <w:rFonts w:cs="Times New Roman" w:ascii="Times New Roman" w:hAnsi="Times New Roman"/>
        </w:rPr>
        <w:t>7.</w:t>
      </w:r>
      <w:r>
        <w:rPr>
          <w:rFonts w:cs="Times New Roman" w:ascii="Times New Roman" w:hAnsi="Times New Roman"/>
        </w:rPr>
        <w:t>8.</w:t>
      </w:r>
      <w:r>
        <w:rPr>
          <w:rFonts w:cs="Times New Roman" w:ascii="Times New Roman" w:hAnsi="Times New Roman"/>
        </w:rPr>
        <w:t xml:space="preserve"> Стороны обязуются информировать друг друга в письменном виде об изменениях своих почтовых (юридических) адресов, наименования, организационно-правовой формы, банковских реквизитов, иных данных указанных в настоящем Договоре, в течении 15-ти рабочих дней. Неисполнение стороной настоящего пункта лишает права ссылаться на то, что предусмотренные договором уведомление или платеж не были произведены надлежащим образом.</w:t>
      </w:r>
    </w:p>
    <w:p>
      <w:pPr>
        <w:pStyle w:val="81"/>
        <w:keepNext w:val="true"/>
        <w:keepLines/>
        <w:numPr>
          <w:ilvl w:val="0"/>
          <w:numId w:val="10"/>
        </w:numPr>
        <w:shd w:val="clear" w:color="auto" w:fill="auto"/>
        <w:tabs>
          <w:tab w:val="left" w:pos="4016" w:leader="none"/>
        </w:tabs>
        <w:spacing w:lineRule="auto" w:line="240" w:before="0" w:after="0"/>
        <w:ind w:left="0" w:hanging="540"/>
        <w:jc w:val="both"/>
        <w:rPr>
          <w:sz w:val="24"/>
          <w:szCs w:val="24"/>
        </w:rPr>
      </w:pPr>
      <w:bookmarkStart w:id="6" w:name="bookmark7"/>
      <w:r>
        <w:rPr>
          <w:sz w:val="24"/>
          <w:szCs w:val="24"/>
        </w:rPr>
        <w:t>СРОК ДЕЙСТВИЯ ДОГОВОРА</w:t>
      </w:r>
      <w:bookmarkEnd w:id="6"/>
    </w:p>
    <w:p>
      <w:pPr>
        <w:pStyle w:val="21"/>
        <w:numPr>
          <w:ilvl w:val="1"/>
          <w:numId w:val="10"/>
        </w:numPr>
        <w:shd w:val="clear" w:color="auto" w:fill="auto"/>
        <w:tabs>
          <w:tab w:val="left" w:pos="1134" w:leader="none"/>
        </w:tabs>
        <w:spacing w:lineRule="auto" w:line="240"/>
        <w:ind w:left="0" w:hanging="540"/>
        <w:jc w:val="both"/>
        <w:rPr/>
      </w:pPr>
      <w:r>
        <w:rPr>
          <w:sz w:val="24"/>
          <w:szCs w:val="24"/>
        </w:rPr>
        <w:t xml:space="preserve">Настоящий договор вступает в силу с </w:t>
      </w:r>
      <w:r>
        <w:rPr>
          <w:sz w:val="24"/>
          <w:szCs w:val="24"/>
        </w:rPr>
        <w:t>01.04.2022 по 31.03.2023, а в части взаиморасчетов до полного исполнения взятых на себя обязательств.</w:t>
      </w:r>
    </w:p>
    <w:p>
      <w:pPr>
        <w:pStyle w:val="21"/>
        <w:numPr>
          <w:ilvl w:val="1"/>
          <w:numId w:val="10"/>
        </w:numPr>
        <w:shd w:val="clear" w:color="auto" w:fill="auto"/>
        <w:tabs>
          <w:tab w:val="left" w:pos="1160" w:leader="none"/>
        </w:tabs>
        <w:spacing w:lineRule="auto" w:line="240"/>
        <w:ind w:left="0" w:hanging="540"/>
        <w:jc w:val="both"/>
        <w:rPr>
          <w:sz w:val="24"/>
          <w:szCs w:val="24"/>
        </w:rPr>
      </w:pPr>
      <w:r>
        <w:rPr>
          <w:sz w:val="24"/>
          <w:szCs w:val="24"/>
        </w:rPr>
        <w:t>Во всем, что не предусмотрено данным договором стороны руководствуются действующим</w:t>
      </w:r>
    </w:p>
    <w:p>
      <w:pPr>
        <w:pStyle w:val="41"/>
        <w:shd w:val="clear" w:color="auto" w:fill="auto"/>
        <w:spacing w:lineRule="auto" w:line="240"/>
        <w:jc w:val="both"/>
        <w:rPr>
          <w:sz w:val="24"/>
          <w:szCs w:val="24"/>
        </w:rPr>
      </w:pPr>
      <w:r>
        <w:rPr>
          <w:sz w:val="24"/>
          <w:szCs w:val="24"/>
        </w:rPr>
        <w:t>законодательством РФ,</w:t>
      </w:r>
    </w:p>
    <w:p>
      <w:pPr>
        <w:pStyle w:val="21"/>
        <w:numPr>
          <w:ilvl w:val="1"/>
          <w:numId w:val="10"/>
        </w:numPr>
        <w:shd w:val="clear" w:color="auto" w:fill="auto"/>
        <w:tabs>
          <w:tab w:val="left" w:pos="1158" w:leader="none"/>
        </w:tabs>
        <w:spacing w:lineRule="auto" w:line="240"/>
        <w:ind w:left="0" w:hanging="540"/>
        <w:jc w:val="both"/>
        <w:rPr>
          <w:sz w:val="24"/>
          <w:szCs w:val="24"/>
        </w:rPr>
      </w:pPr>
      <w:r>
        <w:rPr>
          <w:sz w:val="24"/>
          <w:szCs w:val="24"/>
        </w:rPr>
        <w:t>Настоящий договор составлен в двух экземплярах (по одному для каждой стороны) имеющих одинаковую юридическую силу.</w:t>
      </w:r>
    </w:p>
    <w:p>
      <w:pPr>
        <w:pStyle w:val="21"/>
        <w:numPr>
          <w:ilvl w:val="0"/>
          <w:numId w:val="0"/>
        </w:numPr>
        <w:shd w:val="clear" w:color="auto" w:fill="auto"/>
        <w:tabs>
          <w:tab w:val="left" w:pos="1158" w:leader="none"/>
        </w:tabs>
        <w:spacing w:lineRule="auto" w:line="240"/>
        <w:ind w:left="0" w:hanging="0"/>
        <w:jc w:val="both"/>
        <w:rPr>
          <w:sz w:val="24"/>
          <w:szCs w:val="24"/>
        </w:rPr>
      </w:pPr>
      <w:r>
        <w:rPr/>
      </w:r>
    </w:p>
    <w:p>
      <w:pPr>
        <w:pStyle w:val="21"/>
        <w:shd w:val="clear" w:color="auto" w:fill="auto"/>
        <w:spacing w:lineRule="auto" w:line="240"/>
        <w:ind w:hanging="0"/>
        <w:jc w:val="both"/>
        <w:rPr>
          <w:sz w:val="24"/>
          <w:szCs w:val="24"/>
        </w:rPr>
      </w:pPr>
      <w:r>
        <w:rPr>
          <w:sz w:val="24"/>
          <w:szCs w:val="24"/>
        </w:rPr>
        <w:t>Приложения к договору, являющиеся его неотъемлемой частью:</w:t>
      </w:r>
    </w:p>
    <w:p>
      <w:pPr>
        <w:pStyle w:val="21"/>
        <w:numPr>
          <w:ilvl w:val="0"/>
          <w:numId w:val="2"/>
        </w:numPr>
        <w:shd w:val="clear" w:color="auto" w:fill="auto"/>
        <w:tabs>
          <w:tab w:val="left" w:pos="428" w:leader="none"/>
        </w:tabs>
        <w:spacing w:lineRule="auto" w:line="240"/>
        <w:ind w:hanging="0"/>
        <w:jc w:val="both"/>
        <w:rPr/>
      </w:pPr>
      <w:r>
        <w:rPr>
          <w:sz w:val="24"/>
          <w:szCs w:val="24"/>
        </w:rPr>
        <w:t xml:space="preserve">Приложение </w:t>
      </w:r>
      <w:r>
        <w:rPr>
          <w:sz w:val="24"/>
          <w:szCs w:val="24"/>
          <w:lang w:bidi="en-US"/>
        </w:rPr>
        <w:t>№</w:t>
      </w:r>
      <w:r>
        <w:rPr>
          <w:sz w:val="24"/>
          <w:szCs w:val="24"/>
        </w:rPr>
        <w:t>1. Стоимость информационного обслуживания. Тарифные планы,</w:t>
      </w:r>
    </w:p>
    <w:p>
      <w:pPr>
        <w:pStyle w:val="21"/>
        <w:numPr>
          <w:ilvl w:val="0"/>
          <w:numId w:val="2"/>
        </w:numPr>
        <w:shd w:val="clear" w:color="auto" w:fill="auto"/>
        <w:tabs>
          <w:tab w:val="left" w:pos="433" w:leader="none"/>
        </w:tabs>
        <w:spacing w:lineRule="auto" w:line="240"/>
        <w:ind w:hanging="0"/>
        <w:jc w:val="both"/>
        <w:rPr/>
      </w:pPr>
      <w:r>
        <w:rPr>
          <w:sz w:val="24"/>
          <w:szCs w:val="24"/>
        </w:rPr>
        <w:t>Приложение №2. Заявка на проведение работ.</w:t>
      </w:r>
    </w:p>
    <w:p>
      <w:pPr>
        <w:pStyle w:val="21"/>
        <w:numPr>
          <w:ilvl w:val="0"/>
          <w:numId w:val="2"/>
        </w:numPr>
        <w:shd w:val="clear" w:color="auto" w:fill="auto"/>
        <w:tabs>
          <w:tab w:val="left" w:pos="433" w:leader="none"/>
        </w:tabs>
        <w:spacing w:lineRule="auto" w:line="240"/>
        <w:ind w:hanging="0"/>
        <w:jc w:val="both"/>
        <w:rPr/>
      </w:pPr>
      <w:r>
        <w:rPr>
          <w:sz w:val="24"/>
          <w:szCs w:val="24"/>
        </w:rPr>
        <w:t>Приложение № 3. Цены на сервисные услуги (работы), не входящие в гарантийный</w:t>
      </w:r>
    </w:p>
    <w:p>
      <w:pPr>
        <w:pStyle w:val="21"/>
        <w:shd w:val="clear" w:color="auto" w:fill="auto"/>
        <w:spacing w:lineRule="auto" w:line="240"/>
        <w:ind w:hanging="0"/>
        <w:jc w:val="both"/>
        <w:rPr/>
      </w:pPr>
      <w:r>
        <mc:AlternateContent>
          <mc:Choice Requires="wps">
            <w:drawing>
              <wp:anchor behindDoc="1" distT="227965" distB="236855" distL="63500" distR="4050665" simplePos="0" locked="0" layoutInCell="1" allowOverlap="1" relativeHeight="2" wp14:anchorId="6F7AD80D">
                <wp:simplePos x="0" y="0"/>
                <wp:positionH relativeFrom="margin">
                  <wp:posOffset>635</wp:posOffset>
                </wp:positionH>
                <wp:positionV relativeFrom="paragraph">
                  <wp:posOffset>3519805</wp:posOffset>
                </wp:positionV>
                <wp:extent cx="2244090" cy="139065"/>
                <wp:effectExtent l="3175" t="1905" r="1270" b="1270"/>
                <wp:wrapTopAndBottom/>
                <wp:docPr id="1" name="Text Box 22"/>
                <a:graphic xmlns:a="http://schemas.openxmlformats.org/drawingml/2006/main">
                  <a:graphicData uri="http://schemas.microsoft.com/office/word/2010/wordprocessingShape">
                    <wps:wsp>
                      <wps:cNvSpPr/>
                      <wps:spPr>
                        <a:xfrm>
                          <a:off x="0" y="0"/>
                          <a:ext cx="2243520" cy="138600"/>
                        </a:xfrm>
                        <a:prstGeom prst="rect">
                          <a:avLst/>
                        </a:prstGeom>
                        <a:noFill/>
                        <a:ln>
                          <a:noFill/>
                        </a:ln>
                      </wps:spPr>
                      <wps:style>
                        <a:lnRef idx="0"/>
                        <a:fillRef idx="0"/>
                        <a:effectRef idx="0"/>
                        <a:fontRef idx="minor"/>
                      </wps:style>
                      <wps:txbx>
                        <w:txbxContent>
                          <w:p>
                            <w:pPr>
                              <w:pStyle w:val="9"/>
                              <w:shd w:val="clear" w:color="auto" w:fill="auto"/>
                              <w:tabs>
                                <w:tab w:val="left" w:pos="1560" w:leader="none"/>
                              </w:tabs>
                              <w:ind w:firstLine="400"/>
                              <w:rPr/>
                            </w:pPr>
                            <w:r>
                              <w:rPr>
                                <w:rStyle w:val="9MSReferenceSansSerif75ptExact"/>
                              </w:rPr>
                              <w:tab/>
                            </w:r>
                          </w:p>
                        </w:txbxContent>
                      </wps:txbx>
                      <wps:bodyPr lIns="0" rIns="0" tIns="0" bIns="0">
                        <a:spAutoFit/>
                      </wps:bodyPr>
                    </wps:wsp>
                  </a:graphicData>
                </a:graphic>
              </wp:anchor>
            </w:drawing>
          </mc:Choice>
          <mc:Fallback>
            <w:pict>
              <v:rect id="shape_0" ID="Text Box 22" stroked="f" style="position:absolute;margin-left:0.05pt;margin-top:277.15pt;width:176.6pt;height:10.85pt;mso-position-horizontal-relative:margin" wp14:anchorId="6F7AD80D">
                <w10:wrap type="square"/>
                <v:fill o:detectmouseclick="t" on="false"/>
                <v:stroke color="#3465a4" joinstyle="round" endcap="flat"/>
                <v:textbox>
                  <w:txbxContent>
                    <w:p>
                      <w:pPr>
                        <w:pStyle w:val="9"/>
                        <w:shd w:val="clear" w:color="auto" w:fill="auto"/>
                        <w:tabs>
                          <w:tab w:val="left" w:pos="1560" w:leader="none"/>
                        </w:tabs>
                        <w:ind w:firstLine="400"/>
                        <w:rPr/>
                      </w:pPr>
                      <w:r>
                        <w:rPr>
                          <w:rStyle w:val="9MSReferenceSansSerif75ptExact"/>
                        </w:rPr>
                        <w:tab/>
                      </w:r>
                    </w:p>
                  </w:txbxContent>
                </v:textbox>
              </v:rect>
            </w:pict>
          </mc:Fallback>
        </mc:AlternateContent>
        <mc:AlternateContent>
          <mc:Choice Requires="wps">
            <w:drawing>
              <wp:anchor behindDoc="1" distT="279400" distB="393700" distL="3340735" distR="780415" simplePos="0" locked="0" layoutInCell="1" allowOverlap="1" relativeHeight="3" wp14:anchorId="04BE6295">
                <wp:simplePos x="0" y="0"/>
                <wp:positionH relativeFrom="margin">
                  <wp:posOffset>3340735</wp:posOffset>
                </wp:positionH>
                <wp:positionV relativeFrom="paragraph">
                  <wp:posOffset>3571240</wp:posOffset>
                </wp:positionV>
                <wp:extent cx="2173605" cy="586105"/>
                <wp:effectExtent l="0" t="0" r="0" b="0"/>
                <wp:wrapTopAndBottom/>
                <wp:docPr id="3" name="Text Box 21"/>
                <a:graphic xmlns:a="http://schemas.openxmlformats.org/drawingml/2006/main">
                  <a:graphicData uri="http://schemas.microsoft.com/office/word/2010/wordprocessingShape">
                    <wps:wsp>
                      <wps:cNvSpPr/>
                      <wps:spPr>
                        <a:xfrm>
                          <a:off x="0" y="0"/>
                          <a:ext cx="2172960" cy="585360"/>
                        </a:xfrm>
                        <a:prstGeom prst="rect">
                          <a:avLst/>
                        </a:prstGeom>
                        <a:noFill/>
                        <a:ln>
                          <a:noFill/>
                        </a:ln>
                      </wps:spPr>
                      <wps:style>
                        <a:lnRef idx="0"/>
                        <a:fillRef idx="0"/>
                        <a:effectRef idx="0"/>
                        <a:fontRef idx="minor"/>
                      </wps:style>
                      <wps:txbx>
                        <w:txbxContent>
                          <w:p>
                            <w:pPr>
                              <w:pStyle w:val="21"/>
                              <w:shd w:val="clear" w:color="auto" w:fill="auto"/>
                              <w:spacing w:lineRule="exact" w:line="230" w:before="0" w:after="264"/>
                              <w:ind w:right="1960" w:hanging="0"/>
                              <w:rPr/>
                            </w:pPr>
                            <w:r>
                              <w:rPr>
                                <w:rStyle w:val="2Exact"/>
                              </w:rPr>
                              <w:t>Директор ООО «Эко</w:t>
                            </w:r>
                            <w:r>
                              <w:rPr>
                                <w:rStyle w:val="2Exact"/>
                              </w:rPr>
                              <w:t>пол</w:t>
                            </w:r>
                            <w:r>
                              <w:rPr>
                                <w:rStyle w:val="2Exact"/>
                              </w:rPr>
                              <w:t>»</w:t>
                            </w:r>
                          </w:p>
                          <w:p>
                            <w:pPr>
                              <w:pStyle w:val="21"/>
                              <w:shd w:val="clear" w:color="auto" w:fill="auto"/>
                              <w:tabs>
                                <w:tab w:val="left" w:pos="1954" w:leader="underscore"/>
                              </w:tabs>
                              <w:spacing w:lineRule="exact" w:line="200"/>
                              <w:ind w:left="720" w:hanging="0"/>
                              <w:jc w:val="both"/>
                              <w:rPr/>
                            </w:pPr>
                            <w:r>
                              <w:rPr>
                                <w:rStyle w:val="2Exact"/>
                              </w:rPr>
                              <w:tab/>
                              <w:t>/</w:t>
                            </w:r>
                            <w:r>
                              <w:rPr>
                                <w:rStyle w:val="2Exact"/>
                              </w:rPr>
                              <w:t>Алехин Ю.В.</w:t>
                            </w:r>
                            <w:r>
                              <w:rPr>
                                <w:rStyle w:val="2Exact"/>
                              </w:rPr>
                              <w:t xml:space="preserve"> /</w:t>
                            </w:r>
                          </w:p>
                        </w:txbxContent>
                      </wps:txbx>
                      <wps:bodyPr lIns="0" rIns="0" tIns="0" bIns="0">
                        <a:spAutoFit/>
                      </wps:bodyPr>
                    </wps:wsp>
                  </a:graphicData>
                </a:graphic>
              </wp:anchor>
            </w:drawing>
          </mc:Choice>
          <mc:Fallback>
            <w:pict>
              <v:rect id="shape_0" ID="Text Box 21" stroked="f" style="position:absolute;margin-left:263.05pt;margin-top:281.2pt;width:171.05pt;height:46.05pt;mso-position-horizontal-relative:margin" wp14:anchorId="04BE6295">
                <w10:wrap type="square"/>
                <v:fill o:detectmouseclick="t" on="false"/>
                <v:stroke color="#3465a4" joinstyle="round" endcap="flat"/>
                <v:textbox>
                  <w:txbxContent>
                    <w:p>
                      <w:pPr>
                        <w:pStyle w:val="21"/>
                        <w:shd w:val="clear" w:color="auto" w:fill="auto"/>
                        <w:spacing w:lineRule="exact" w:line="230" w:before="0" w:after="264"/>
                        <w:ind w:right="1960" w:hanging="0"/>
                        <w:rPr/>
                      </w:pPr>
                      <w:r>
                        <w:rPr>
                          <w:rStyle w:val="2Exact"/>
                        </w:rPr>
                        <w:t>Директор ООО «Эко</w:t>
                      </w:r>
                      <w:r>
                        <w:rPr>
                          <w:rStyle w:val="2Exact"/>
                        </w:rPr>
                        <w:t>пол</w:t>
                      </w:r>
                      <w:r>
                        <w:rPr>
                          <w:rStyle w:val="2Exact"/>
                        </w:rPr>
                        <w:t>»</w:t>
                      </w:r>
                    </w:p>
                    <w:p>
                      <w:pPr>
                        <w:pStyle w:val="21"/>
                        <w:shd w:val="clear" w:color="auto" w:fill="auto"/>
                        <w:tabs>
                          <w:tab w:val="left" w:pos="1954" w:leader="underscore"/>
                        </w:tabs>
                        <w:spacing w:lineRule="exact" w:line="200"/>
                        <w:ind w:left="720" w:hanging="0"/>
                        <w:jc w:val="both"/>
                        <w:rPr/>
                      </w:pPr>
                      <w:r>
                        <w:rPr>
                          <w:rStyle w:val="2Exact"/>
                        </w:rPr>
                        <w:tab/>
                        <w:t>/</w:t>
                      </w:r>
                      <w:r>
                        <w:rPr>
                          <w:rStyle w:val="2Exact"/>
                        </w:rPr>
                        <w:t>Алехин Ю.В.</w:t>
                      </w:r>
                      <w:r>
                        <w:rPr>
                          <w:rStyle w:val="2Exact"/>
                        </w:rPr>
                        <w:t xml:space="preserve"> /</w:t>
                      </w:r>
                    </w:p>
                  </w:txbxContent>
                </v:textbox>
              </v:rect>
            </w:pict>
          </mc:Fallback>
        </mc:AlternateContent>
      </w:r>
      <w:r>
        <w:rPr>
          <w:sz w:val="24"/>
          <w:szCs w:val="24"/>
        </w:rPr>
        <w:t>ремонт или гарантийное обслуживание.</w:t>
      </w:r>
    </w:p>
    <w:p>
      <w:pPr>
        <w:pStyle w:val="21"/>
        <w:shd w:val="clear" w:color="auto" w:fill="auto"/>
        <w:spacing w:lineRule="auto" w:line="240"/>
        <w:ind w:hanging="0"/>
        <w:jc w:val="both"/>
        <w:rPr/>
      </w:pPr>
      <w:r>
        <w:rPr>
          <w:sz w:val="24"/>
          <w:szCs w:val="24"/>
        </w:rPr>
        <w:t>- П</w:t>
      </w:r>
      <w:r>
        <w:rPr>
          <w:sz w:val="24"/>
          <w:szCs w:val="24"/>
        </w:rPr>
        <w:t xml:space="preserve">риложение </w:t>
      </w:r>
      <w:r>
        <w:rPr>
          <w:rStyle w:val="20pt"/>
          <w:i w:val="false"/>
          <w:iCs w:val="false"/>
          <w:sz w:val="24"/>
          <w:szCs w:val="24"/>
        </w:rPr>
        <w:t>№</w:t>
      </w:r>
      <w:r>
        <w:rPr>
          <w:sz w:val="24"/>
          <w:szCs w:val="24"/>
          <w:lang w:bidi="en-US"/>
        </w:rPr>
        <w:t xml:space="preserve"> </w:t>
      </w:r>
      <w:r>
        <w:rPr>
          <w:sz w:val="24"/>
          <w:szCs w:val="24"/>
        </w:rPr>
        <w:t>4, Перечень объектов подлежащих подключению к сервисному обслуживанию.</w:t>
      </w:r>
    </w:p>
    <w:p>
      <w:pPr>
        <w:pStyle w:val="Normal"/>
        <w:jc w:val="both"/>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Microsoft Sans Serif">
    <w:charset w:val="cc"/>
    <w:family w:val="roman"/>
    <w:pitch w:val="variable"/>
  </w:font>
  <w:font w:name="Times New Roman">
    <w:charset w:val="cc"/>
    <w:family w:val="roman"/>
    <w:pitch w:val="variable"/>
  </w:font>
  <w:font w:name="Arial">
    <w:charset w:val="cc"/>
    <w:family w:val="roman"/>
    <w:pitch w:val="variable"/>
  </w:font>
  <w:font w:name="MS Reference Sans Serif">
    <w:charset w:val="cc"/>
    <w:family w:val="roman"/>
    <w:pitch w:val="variable"/>
  </w:font>
  <w:font w:name="Times New Roman">
    <w:charset w:val="01"/>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2.%1"/>
      <w:lvlJc w:val="left"/>
      <w:pPr>
        <w:ind w:left="720" w:hanging="0"/>
      </w:pPr>
      <w:rPr>
        <w:smallCaps w:val="false"/>
        <w:caps w:val="false"/>
        <w:dstrike w:val="false"/>
        <w:strike w:val="false"/>
        <w:sz w:val="24"/>
        <w:spacing w:val="0"/>
        <w:i w:val="false"/>
        <w:u w:val="none"/>
        <w:b w:val="false"/>
        <w:szCs w:val="20"/>
        <w:iCs w:val="false"/>
        <w:bCs w:val="false"/>
        <w:w w:val="100"/>
        <w:rFonts w:eastAsia="Times New Roman"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4"/>
        <w:spacing w:val="0"/>
        <w:i w:val="false"/>
        <w:u w:val="none"/>
        <w:b w:val="false"/>
        <w:szCs w:val="20"/>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decimal"/>
      <w:lvlText w:val="5.%1."/>
      <w:lvlJc w:val="left"/>
      <w:pPr>
        <w:ind w:left="720" w:hanging="0"/>
      </w:pPr>
      <w:rPr>
        <w:smallCaps w:val="false"/>
        <w:caps w:val="false"/>
        <w:dstrike w:val="false"/>
        <w:strike w:val="false"/>
        <w:sz w:val="24"/>
        <w:spacing w:val="0"/>
        <w:i w:val="false"/>
        <w:u w:val="none"/>
        <w:b w:val="false"/>
        <w:szCs w:val="20"/>
        <w:iCs w:val="false"/>
        <w:bCs w:val="false"/>
        <w:w w:val="100"/>
        <w:rFonts w:eastAsia="Times New Roman"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
    <w:lvl w:ilvl="0">
      <w:start w:val="1"/>
      <w:numFmt w:val="decimal"/>
      <w:lvlText w:val="5.3.%1."/>
      <w:lvlJc w:val="left"/>
      <w:pPr>
        <w:ind w:left="720" w:hanging="0"/>
      </w:pPr>
      <w:rPr>
        <w:smallCaps w:val="false"/>
        <w:caps w:val="false"/>
        <w:dstrike w:val="false"/>
        <w:strike w:val="false"/>
        <w:sz w:val="24"/>
        <w:spacing w:val="0"/>
        <w:i w:val="false"/>
        <w:u w:val="none"/>
        <w:b w:val="false"/>
        <w:szCs w:val="20"/>
        <w:iCs w:val="false"/>
        <w:bCs w:val="false"/>
        <w:w w:val="100"/>
        <w:rFonts w:eastAsia="Times New Roman"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5">
    <w:lvl w:ilvl="0">
      <w:start w:val="8"/>
      <w:numFmt w:val="decimal"/>
      <w:lvlText w:val="3.%1."/>
      <w:lvlJc w:val="left"/>
      <w:pPr>
        <w:ind w:left="720" w:hanging="0"/>
      </w:pPr>
      <w:rPr>
        <w:smallCaps w:val="false"/>
        <w:caps w:val="false"/>
        <w:dstrike w:val="false"/>
        <w:strike w:val="false"/>
        <w:sz w:val="24"/>
        <w:spacing w:val="0"/>
        <w:i w:val="false"/>
        <w:u w:val="none"/>
        <w:b w:val="false"/>
        <w:szCs w:val="20"/>
        <w:iCs w:val="false"/>
        <w:bCs w:val="false"/>
        <w:w w:val="100"/>
        <w:rFonts w:eastAsia="Times New Roman"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6">
    <w:lvl w:ilvl="0">
      <w:start w:val="9"/>
      <w:numFmt w:val="decimal"/>
      <w:lvlText w:val="5.%1."/>
      <w:lvlJc w:val="left"/>
      <w:pPr>
        <w:ind w:left="720" w:hanging="0"/>
      </w:pPr>
      <w:rPr>
        <w:smallCaps w:val="false"/>
        <w:caps w:val="false"/>
        <w:dstrike w:val="false"/>
        <w:strike w:val="false"/>
        <w:sz w:val="24"/>
        <w:spacing w:val="0"/>
        <w:i w:val="false"/>
        <w:u w:val="none"/>
        <w:b w:val="false"/>
        <w:szCs w:val="20"/>
        <w:iCs w:val="false"/>
        <w:bCs w:val="false"/>
        <w:w w:val="100"/>
        <w:rFonts w:eastAsia="Times New Roman"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7">
    <w:lvl w:ilvl="0">
      <w:start w:val="1"/>
      <w:numFmt w:val="decimal"/>
      <w:lvlText w:val="%1."/>
      <w:lvlJc w:val="left"/>
      <w:pPr>
        <w:ind w:left="360" w:hanging="360"/>
      </w:pPr>
    </w:lvl>
    <w:lvl w:ilvl="1">
      <w:start w:val="1"/>
      <w:numFmt w:val="decimal"/>
      <w:lvlText w:val="%1.%2."/>
      <w:lvlJc w:val="left"/>
      <w:pPr>
        <w:ind w:left="1000" w:hanging="360"/>
      </w:pPr>
    </w:lvl>
    <w:lvl w:ilvl="2">
      <w:start w:val="1"/>
      <w:numFmt w:val="decimal"/>
      <w:lvlText w:val="%1.%2.%3."/>
      <w:lvlJc w:val="left"/>
      <w:pPr>
        <w:ind w:left="2000" w:hanging="720"/>
      </w:pPr>
    </w:lvl>
    <w:lvl w:ilvl="3">
      <w:start w:val="1"/>
      <w:numFmt w:val="decimal"/>
      <w:lvlText w:val="%1.%2.%3.%4."/>
      <w:lvlJc w:val="left"/>
      <w:pPr>
        <w:ind w:left="2640" w:hanging="720"/>
      </w:pPr>
    </w:lvl>
    <w:lvl w:ilvl="4">
      <w:start w:val="1"/>
      <w:numFmt w:val="decimal"/>
      <w:lvlText w:val="%1.%2.%3.%4.%5."/>
      <w:lvlJc w:val="left"/>
      <w:pPr>
        <w:ind w:left="3640" w:hanging="1080"/>
      </w:pPr>
    </w:lvl>
    <w:lvl w:ilvl="5">
      <w:start w:val="1"/>
      <w:numFmt w:val="decimal"/>
      <w:lvlText w:val="%1.%2.%3.%4.%5.%6."/>
      <w:lvlJc w:val="left"/>
      <w:pPr>
        <w:ind w:left="4280" w:hanging="1080"/>
      </w:pPr>
    </w:lvl>
    <w:lvl w:ilvl="6">
      <w:start w:val="1"/>
      <w:numFmt w:val="decimal"/>
      <w:lvlText w:val="%1.%2.%3.%4.%5.%6.%7."/>
      <w:lvlJc w:val="left"/>
      <w:pPr>
        <w:ind w:left="5280" w:hanging="1440"/>
      </w:pPr>
    </w:lvl>
    <w:lvl w:ilvl="7">
      <w:start w:val="1"/>
      <w:numFmt w:val="decimal"/>
      <w:lvlText w:val="%1.%2.%3.%4.%5.%6.%7.%8."/>
      <w:lvlJc w:val="left"/>
      <w:pPr>
        <w:ind w:left="5920" w:hanging="1440"/>
      </w:pPr>
    </w:lvl>
    <w:lvl w:ilvl="8">
      <w:start w:val="1"/>
      <w:numFmt w:val="decimal"/>
      <w:lvlText w:val="%1.%2.%3.%4.%5.%6.%7.%8.%9."/>
      <w:lvlJc w:val="left"/>
      <w:pPr>
        <w:ind w:left="6920" w:hanging="1800"/>
      </w:pPr>
    </w:lvl>
  </w:abstractNum>
  <w:abstractNum w:abstractNumI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3"/>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lvl w:ilvl="0">
      <w:start w:val="3"/>
      <w:numFmt w:val="decimal"/>
      <w:lvlText w:val="%1."/>
      <w:lvlJc w:val="left"/>
      <w:pPr>
        <w:ind w:left="540" w:hanging="540"/>
      </w:pPr>
    </w:lvl>
    <w:lvl w:ilvl="1">
      <w:start w:val="1"/>
      <w:numFmt w:val="decimal"/>
      <w:lvlText w:val="%1.%2."/>
      <w:lvlJc w:val="left"/>
      <w:pPr>
        <w:ind w:left="540" w:hanging="540"/>
      </w:pPr>
      <w:rPr>
        <w:rFonts w:ascii="Times New Roman" w:hAnsi="Times New Roman"/>
      </w:rPr>
    </w:lvl>
    <w:lvl w:ilvl="2">
      <w:start w:val="1"/>
      <w:numFmt w:val="decimal"/>
      <w:lvlText w:val="%1.%2.%3."/>
      <w:lvlJc w:val="left"/>
      <w:pPr>
        <w:ind w:left="199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5757"/>
    <w:pPr>
      <w:widowControl w:val="false"/>
      <w:bidi w:val="0"/>
      <w:spacing w:lineRule="auto" w:line="240" w:before="0" w:after="0"/>
      <w:jc w:val="left"/>
    </w:pPr>
    <w:rPr>
      <w:rFonts w:ascii="Microsoft Sans Serif" w:hAnsi="Microsoft Sans Serif" w:eastAsia="Microsoft Sans Serif" w:cs="Microsoft Sans Serif"/>
      <w:color w:val="000000"/>
      <w:kern w:val="0"/>
      <w:sz w:val="24"/>
      <w:szCs w:val="24"/>
      <w:lang w:eastAsia="ru-RU" w:bidi="ru-RU" w:val="ru-RU"/>
    </w:rPr>
  </w:style>
  <w:style w:type="character" w:styleId="DefaultParagraphFont" w:default="1">
    <w:name w:val="Default Paragraph Font"/>
    <w:uiPriority w:val="1"/>
    <w:semiHidden/>
    <w:unhideWhenUsed/>
    <w:qFormat/>
    <w:rPr/>
  </w:style>
  <w:style w:type="character" w:styleId="2" w:customStyle="1">
    <w:name w:val="Основной текст (2)_"/>
    <w:basedOn w:val="DefaultParagraphFont"/>
    <w:link w:val="20"/>
    <w:qFormat/>
    <w:rsid w:val="00b75757"/>
    <w:rPr>
      <w:rFonts w:ascii="Times New Roman" w:hAnsi="Times New Roman" w:eastAsia="Times New Roman" w:cs="Times New Roman"/>
      <w:sz w:val="20"/>
      <w:szCs w:val="20"/>
      <w:shd w:fill="FFFFFF" w:val="clear"/>
    </w:rPr>
  </w:style>
  <w:style w:type="character" w:styleId="2Exact" w:customStyle="1">
    <w:name w:val="Основной текст (2) Exact"/>
    <w:basedOn w:val="DefaultParagraphFont"/>
    <w:qFormat/>
    <w:rsid w:val="00b75757"/>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20ptExact" w:customStyle="1">
    <w:name w:val="Основной текст (2) + Курсив;Интервал 0 pt Exact"/>
    <w:basedOn w:val="2"/>
    <w:qFormat/>
    <w:rsid w:val="00b75757"/>
    <w:rPr>
      <w:rFonts w:ascii="Times New Roman" w:hAnsi="Times New Roman" w:eastAsia="Times New Roman" w:cs="Times New Roman"/>
      <w:i/>
      <w:iCs/>
      <w:color w:val="000000"/>
      <w:spacing w:val="-10"/>
      <w:w w:val="100"/>
      <w:sz w:val="20"/>
      <w:szCs w:val="20"/>
      <w:shd w:fill="FFFFFF" w:val="clear"/>
      <w:lang w:val="ru-RU" w:eastAsia="ru-RU" w:bidi="ru-RU"/>
    </w:rPr>
  </w:style>
  <w:style w:type="character" w:styleId="8Exact" w:customStyle="1">
    <w:name w:val="Заголовок №8 Exact"/>
    <w:basedOn w:val="DefaultParagraphFont"/>
    <w:qFormat/>
    <w:rsid w:val="00b75757"/>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8" w:customStyle="1">
    <w:name w:val="Заголовок №8_"/>
    <w:basedOn w:val="DefaultParagraphFont"/>
    <w:link w:val="80"/>
    <w:qFormat/>
    <w:rsid w:val="00b75757"/>
    <w:rPr>
      <w:rFonts w:ascii="Times New Roman" w:hAnsi="Times New Roman" w:eastAsia="Times New Roman" w:cs="Times New Roman"/>
      <w:sz w:val="20"/>
      <w:szCs w:val="20"/>
      <w:shd w:fill="FFFFFF" w:val="clear"/>
    </w:rPr>
  </w:style>
  <w:style w:type="character" w:styleId="82" w:customStyle="1">
    <w:name w:val="Заголовок №8 (2)_"/>
    <w:basedOn w:val="DefaultParagraphFont"/>
    <w:link w:val="820"/>
    <w:qFormat/>
    <w:rsid w:val="00691d09"/>
    <w:rPr>
      <w:rFonts w:ascii="Times New Roman" w:hAnsi="Times New Roman" w:eastAsia="Times New Roman" w:cs="Times New Roman"/>
      <w:sz w:val="20"/>
      <w:szCs w:val="20"/>
      <w:shd w:fill="FFFFFF" w:val="clear"/>
    </w:rPr>
  </w:style>
  <w:style w:type="character" w:styleId="83" w:customStyle="1">
    <w:name w:val="Заголовок №8 (3)_"/>
    <w:basedOn w:val="DefaultParagraphFont"/>
    <w:link w:val="830"/>
    <w:qFormat/>
    <w:rsid w:val="00691d09"/>
    <w:rPr>
      <w:rFonts w:ascii="Times New Roman" w:hAnsi="Times New Roman" w:eastAsia="Times New Roman" w:cs="Times New Roman"/>
      <w:sz w:val="20"/>
      <w:szCs w:val="20"/>
      <w:shd w:fill="FFFFFF" w:val="clear"/>
    </w:rPr>
  </w:style>
  <w:style w:type="character" w:styleId="4Exact" w:customStyle="1">
    <w:name w:val="Заголовок №4 Exact"/>
    <w:basedOn w:val="DefaultParagraphFont"/>
    <w:link w:val="4"/>
    <w:qFormat/>
    <w:rsid w:val="00c50310"/>
    <w:rPr>
      <w:rFonts w:ascii="Times New Roman" w:hAnsi="Times New Roman" w:eastAsia="Times New Roman" w:cs="Times New Roman"/>
      <w:sz w:val="20"/>
      <w:szCs w:val="20"/>
      <w:shd w:fill="FFFFFF" w:val="clear"/>
    </w:rPr>
  </w:style>
  <w:style w:type="character" w:styleId="9Exact" w:customStyle="1">
    <w:name w:val="Основной текст (9) Exact"/>
    <w:basedOn w:val="DefaultParagraphFont"/>
    <w:link w:val="9"/>
    <w:qFormat/>
    <w:rsid w:val="00c50310"/>
    <w:rPr>
      <w:rFonts w:ascii="Arial" w:hAnsi="Arial" w:eastAsia="Arial" w:cs="Arial"/>
      <w:sz w:val="19"/>
      <w:szCs w:val="19"/>
      <w:shd w:fill="FFFFFF" w:val="clear"/>
    </w:rPr>
  </w:style>
  <w:style w:type="character" w:styleId="9Exact1" w:customStyle="1">
    <w:name w:val="Основной текст (9) + Малые прописные Exact"/>
    <w:basedOn w:val="9Exact"/>
    <w:qFormat/>
    <w:rsid w:val="00c50310"/>
    <w:rPr>
      <w:rFonts w:ascii="Arial" w:hAnsi="Arial" w:eastAsia="Arial" w:cs="Arial"/>
      <w:smallCaps/>
      <w:color w:val="000000"/>
      <w:spacing w:val="0"/>
      <w:w w:val="100"/>
      <w:sz w:val="19"/>
      <w:szCs w:val="19"/>
      <w:shd w:fill="FFFFFF" w:val="clear"/>
      <w:lang w:val="ru-RU" w:eastAsia="ru-RU" w:bidi="ru-RU"/>
    </w:rPr>
  </w:style>
  <w:style w:type="character" w:styleId="9MSReferenceSansSerif75ptExact" w:customStyle="1">
    <w:name w:val="Основной текст (9) + MS Reference Sans Serif;7;5 pt Exact"/>
    <w:basedOn w:val="9Exact"/>
    <w:qFormat/>
    <w:rsid w:val="00c50310"/>
    <w:rPr>
      <w:rFonts w:ascii="MS Reference Sans Serif" w:hAnsi="MS Reference Sans Serif" w:eastAsia="MS Reference Sans Serif" w:cs="MS Reference Sans Serif"/>
      <w:color w:val="000000"/>
      <w:spacing w:val="0"/>
      <w:w w:val="100"/>
      <w:sz w:val="15"/>
      <w:szCs w:val="15"/>
      <w:shd w:fill="FFFFFF" w:val="clear"/>
      <w:lang w:val="ru-RU" w:eastAsia="ru-RU" w:bidi="ru-RU"/>
    </w:rPr>
  </w:style>
  <w:style w:type="character" w:styleId="10Exact" w:customStyle="1">
    <w:name w:val="Основной текст (10) Exact"/>
    <w:basedOn w:val="DefaultParagraphFont"/>
    <w:link w:val="10"/>
    <w:qFormat/>
    <w:rsid w:val="00c50310"/>
    <w:rPr>
      <w:rFonts w:ascii="Times New Roman" w:hAnsi="Times New Roman" w:eastAsia="Times New Roman" w:cs="Times New Roman"/>
      <w:sz w:val="15"/>
      <w:szCs w:val="15"/>
      <w:shd w:fill="FFFFFF" w:val="clear"/>
    </w:rPr>
  </w:style>
  <w:style w:type="character" w:styleId="4" w:customStyle="1">
    <w:name w:val="Основной текст (4)_"/>
    <w:basedOn w:val="DefaultParagraphFont"/>
    <w:link w:val="41"/>
    <w:qFormat/>
    <w:rsid w:val="00c50310"/>
    <w:rPr>
      <w:rFonts w:ascii="Times New Roman" w:hAnsi="Times New Roman" w:eastAsia="Times New Roman" w:cs="Times New Roman"/>
      <w:sz w:val="20"/>
      <w:szCs w:val="20"/>
      <w:shd w:fill="FFFFFF" w:val="clear"/>
    </w:rPr>
  </w:style>
  <w:style w:type="character" w:styleId="20pt" w:customStyle="1">
    <w:name w:val="Основной текст (2) + Курсив;Интервал 0 pt"/>
    <w:basedOn w:val="2"/>
    <w:qFormat/>
    <w:rsid w:val="00c50310"/>
    <w:rPr>
      <w:rFonts w:ascii="Times New Roman" w:hAnsi="Times New Roman" w:eastAsia="Times New Roman" w:cs="Times New Roman"/>
      <w:i/>
      <w:iCs/>
      <w:caps w:val="false"/>
      <w:smallCaps w:val="false"/>
      <w:color w:val="000000"/>
      <w:spacing w:val="-10"/>
      <w:w w:val="100"/>
      <w:sz w:val="20"/>
      <w:szCs w:val="20"/>
      <w:shd w:fill="FFFFFF" w:val="clear"/>
      <w:lang w:val="en-US" w:eastAsia="en-US" w:bidi="en-US"/>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4"/>
      <w:szCs w:val="20"/>
      <w:u w:val="none"/>
      <w:lang w:val="ru-RU" w:eastAsia="ru-RU" w:bidi="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4"/>
      <w:szCs w:val="20"/>
      <w:u w:val="none"/>
      <w:lang w:val="ru-RU" w:eastAsia="ru-RU" w:bidi="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4"/>
      <w:szCs w:val="20"/>
      <w:u w:val="none"/>
      <w:lang w:val="ru-RU" w:eastAsia="ru-RU" w:bidi="ru-RU"/>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4"/>
      <w:szCs w:val="20"/>
      <w:u w:val="none"/>
      <w:lang w:val="ru-RU" w:eastAsia="ru-RU" w:bidi="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4"/>
      <w:szCs w:val="20"/>
      <w:u w:val="none"/>
      <w:lang w:val="ru-RU" w:eastAsia="ru-RU" w:bidi="ru-RU"/>
    </w:rPr>
  </w:style>
  <w:style w:type="character" w:styleId="ListLabel11">
    <w:name w:val="ListLabel 11"/>
    <w:qFormat/>
    <w:rPr>
      <w:rFonts w:eastAsia="Times New Roman" w:cs="Times New Roman"/>
      <w:b w:val="false"/>
      <w:bCs w:val="false"/>
      <w:i w:val="false"/>
      <w:iCs w:val="false"/>
      <w:caps w:val="false"/>
      <w:smallCaps w:val="false"/>
      <w:strike w:val="false"/>
      <w:dstrike w:val="false"/>
      <w:color w:val="000000"/>
      <w:spacing w:val="0"/>
      <w:w w:val="100"/>
      <w:sz w:val="24"/>
      <w:szCs w:val="20"/>
      <w:u w:val="none"/>
      <w:lang w:val="ru-RU" w:eastAsia="ru-RU" w:bidi="ru-RU"/>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4"/>
      <w:szCs w:val="20"/>
      <w:u w:val="none"/>
      <w:lang w:val="ru-RU" w:eastAsia="ru-RU" w:bidi="ru-RU"/>
    </w:rPr>
  </w:style>
  <w:style w:type="character" w:styleId="ListLabel13">
    <w:name w:val="ListLabel 13"/>
    <w:qFormat/>
    <w:rPr>
      <w:rFonts w:eastAsia="Times New Roman" w:cs="Times New Roman"/>
      <w:b w:val="false"/>
      <w:bCs w:val="false"/>
      <w:i w:val="false"/>
      <w:iCs w:val="false"/>
      <w:caps w:val="false"/>
      <w:smallCaps w:val="false"/>
      <w:strike w:val="false"/>
      <w:dstrike w:val="false"/>
      <w:color w:val="000000"/>
      <w:spacing w:val="0"/>
      <w:w w:val="100"/>
      <w:sz w:val="24"/>
      <w:szCs w:val="20"/>
      <w:u w:val="none"/>
      <w:lang w:val="ru-RU" w:eastAsia="ru-RU" w:bidi="ru-RU"/>
    </w:rPr>
  </w:style>
  <w:style w:type="character" w:styleId="ListLabel14">
    <w:name w:val="ListLabel 14"/>
    <w:qFormat/>
    <w:rPr>
      <w:rFonts w:eastAsia="Times New Roman" w:cs="Times New Roman"/>
      <w:b w:val="false"/>
      <w:bCs w:val="false"/>
      <w:i w:val="false"/>
      <w:iCs w:val="false"/>
      <w:caps w:val="false"/>
      <w:smallCaps w:val="false"/>
      <w:strike w:val="false"/>
      <w:dstrike w:val="false"/>
      <w:color w:val="000000"/>
      <w:spacing w:val="0"/>
      <w:w w:val="100"/>
      <w:sz w:val="24"/>
      <w:szCs w:val="20"/>
      <w:u w:val="none"/>
      <w:lang w:val="ru-RU" w:eastAsia="ru-RU" w:bidi="ru-RU"/>
    </w:rPr>
  </w:style>
  <w:style w:type="character" w:styleId="Style14">
    <w:name w:val="Символ нумерации"/>
    <w:qFormat/>
    <w:rPr>
      <w:rFonts w:ascii="Times New Roman" w:hAnsi="Times New Roma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21" w:customStyle="1">
    <w:name w:val="Основной текст (2)"/>
    <w:basedOn w:val="Normal"/>
    <w:link w:val="2"/>
    <w:qFormat/>
    <w:rsid w:val="00b75757"/>
    <w:pPr>
      <w:shd w:val="clear" w:color="auto" w:fill="FFFFFF"/>
      <w:spacing w:lineRule="auto"/>
      <w:ind w:hanging="540"/>
    </w:pPr>
    <w:rPr>
      <w:rFonts w:ascii="Times New Roman" w:hAnsi="Times New Roman" w:eastAsia="Times New Roman" w:cs="Times New Roman"/>
      <w:color w:val="00000A"/>
      <w:sz w:val="20"/>
      <w:szCs w:val="20"/>
      <w:lang w:eastAsia="en-US" w:bidi="ar-SA"/>
    </w:rPr>
  </w:style>
  <w:style w:type="paragraph" w:styleId="81" w:customStyle="1">
    <w:name w:val="Заголовок №8"/>
    <w:basedOn w:val="Normal"/>
    <w:link w:val="8"/>
    <w:qFormat/>
    <w:rsid w:val="00b75757"/>
    <w:pPr>
      <w:shd w:val="clear" w:color="auto" w:fill="FFFFFF"/>
      <w:spacing w:lineRule="auto" w:before="240" w:after="240"/>
      <w:outlineLvl w:val="7"/>
    </w:pPr>
    <w:rPr>
      <w:rFonts w:ascii="Times New Roman" w:hAnsi="Times New Roman" w:eastAsia="Times New Roman" w:cs="Times New Roman"/>
      <w:color w:val="00000A"/>
      <w:sz w:val="20"/>
      <w:szCs w:val="20"/>
      <w:lang w:eastAsia="en-US" w:bidi="ar-SA"/>
    </w:rPr>
  </w:style>
  <w:style w:type="paragraph" w:styleId="821" w:customStyle="1">
    <w:name w:val="Заголовок №8 (2)"/>
    <w:basedOn w:val="Normal"/>
    <w:link w:val="82"/>
    <w:qFormat/>
    <w:rsid w:val="00691d09"/>
    <w:pPr>
      <w:shd w:val="clear" w:color="auto" w:fill="FFFFFF"/>
      <w:spacing w:lineRule="auto" w:before="240" w:after="240"/>
      <w:jc w:val="both"/>
      <w:outlineLvl w:val="7"/>
    </w:pPr>
    <w:rPr>
      <w:rFonts w:ascii="Times New Roman" w:hAnsi="Times New Roman" w:eastAsia="Times New Roman" w:cs="Times New Roman"/>
      <w:b/>
      <w:bCs/>
      <w:color w:val="00000A"/>
      <w:sz w:val="20"/>
      <w:szCs w:val="20"/>
      <w:lang w:eastAsia="en-US" w:bidi="ar-SA"/>
    </w:rPr>
  </w:style>
  <w:style w:type="paragraph" w:styleId="831" w:customStyle="1">
    <w:name w:val="Заголовок №8 (3)"/>
    <w:basedOn w:val="Normal"/>
    <w:link w:val="83"/>
    <w:qFormat/>
    <w:rsid w:val="00691d09"/>
    <w:pPr>
      <w:shd w:val="clear" w:color="auto" w:fill="FFFFFF"/>
      <w:spacing w:lineRule="auto" w:before="180" w:after="300"/>
      <w:jc w:val="both"/>
      <w:outlineLvl w:val="7"/>
    </w:pPr>
    <w:rPr>
      <w:rFonts w:ascii="Times New Roman" w:hAnsi="Times New Roman" w:eastAsia="Times New Roman" w:cs="Times New Roman"/>
      <w:b/>
      <w:bCs/>
      <w:color w:val="00000A"/>
      <w:sz w:val="20"/>
      <w:szCs w:val="20"/>
      <w:lang w:eastAsia="en-US" w:bidi="ar-SA"/>
    </w:rPr>
  </w:style>
  <w:style w:type="paragraph" w:styleId="41" w:customStyle="1">
    <w:name w:val="Основной текст (4)"/>
    <w:basedOn w:val="Normal"/>
    <w:link w:val="40"/>
    <w:qFormat/>
    <w:rsid w:val="00c50310"/>
    <w:pPr>
      <w:shd w:val="clear" w:color="auto" w:fill="FFFFFF"/>
      <w:spacing w:lineRule="auto"/>
    </w:pPr>
    <w:rPr>
      <w:rFonts w:ascii="Times New Roman" w:hAnsi="Times New Roman" w:eastAsia="Times New Roman" w:cs="Times New Roman"/>
      <w:color w:val="00000A"/>
      <w:sz w:val="20"/>
      <w:szCs w:val="20"/>
      <w:lang w:eastAsia="en-US" w:bidi="ar-SA"/>
    </w:rPr>
  </w:style>
  <w:style w:type="paragraph" w:styleId="42" w:customStyle="1">
    <w:name w:val="Заголовок №4"/>
    <w:basedOn w:val="Normal"/>
    <w:link w:val="4Exact"/>
    <w:qFormat/>
    <w:rsid w:val="00c50310"/>
    <w:pPr>
      <w:shd w:val="clear" w:color="auto" w:fill="FFFFFF"/>
      <w:spacing w:lineRule="exact" w:line="230"/>
      <w:outlineLvl w:val="3"/>
    </w:pPr>
    <w:rPr>
      <w:rFonts w:ascii="Times New Roman" w:hAnsi="Times New Roman" w:eastAsia="Times New Roman" w:cs="Times New Roman"/>
      <w:color w:val="00000A"/>
      <w:sz w:val="20"/>
      <w:szCs w:val="20"/>
      <w:lang w:eastAsia="en-US" w:bidi="ar-SA"/>
    </w:rPr>
  </w:style>
  <w:style w:type="paragraph" w:styleId="9" w:customStyle="1">
    <w:name w:val="Основной текст (9)"/>
    <w:basedOn w:val="Normal"/>
    <w:link w:val="9Exact"/>
    <w:qFormat/>
    <w:rsid w:val="00c50310"/>
    <w:pPr>
      <w:shd w:val="clear" w:color="auto" w:fill="FFFFFF"/>
      <w:spacing w:lineRule="exact" w:line="230"/>
    </w:pPr>
    <w:rPr>
      <w:rFonts w:ascii="Arial" w:hAnsi="Arial" w:eastAsia="Arial" w:cs="Arial"/>
      <w:color w:val="00000A"/>
      <w:sz w:val="19"/>
      <w:szCs w:val="19"/>
      <w:lang w:eastAsia="en-US" w:bidi="ar-SA"/>
    </w:rPr>
  </w:style>
  <w:style w:type="paragraph" w:styleId="10" w:customStyle="1">
    <w:name w:val="Основной текст (10)"/>
    <w:basedOn w:val="Normal"/>
    <w:link w:val="10Exact"/>
    <w:qFormat/>
    <w:rsid w:val="00c50310"/>
    <w:pPr>
      <w:shd w:val="clear" w:color="auto" w:fill="FFFFFF"/>
      <w:spacing w:lineRule="auto"/>
    </w:pPr>
    <w:rPr>
      <w:rFonts w:ascii="Times New Roman" w:hAnsi="Times New Roman" w:eastAsia="Times New Roman" w:cs="Times New Roman"/>
      <w:color w:val="00000A"/>
      <w:sz w:val="15"/>
      <w:szCs w:val="15"/>
      <w:lang w:eastAsia="en-US" w:bidi="ar-SA"/>
    </w:rPr>
  </w:style>
  <w:style w:type="paragraph" w:styleId="BodyText21" w:customStyle="1">
    <w:name w:val="Body Text 21"/>
    <w:basedOn w:val="Normal"/>
    <w:qFormat/>
    <w:rsid w:val="00ea7086"/>
    <w:pPr>
      <w:widowControl/>
      <w:ind w:right="-1327" w:hanging="0"/>
    </w:pPr>
    <w:rPr>
      <w:rFonts w:ascii="Times New Roman" w:hAnsi="Times New Roman" w:eastAsia="Times New Roman" w:cs="Times New Roman"/>
      <w:color w:val="00000A"/>
      <w:sz w:val="20"/>
      <w:szCs w:val="20"/>
      <w:lang w:bidi="ar-SA"/>
    </w:rPr>
  </w:style>
  <w:style w:type="paragraph" w:styleId="Style20">
    <w:name w:val="Содержимое врезки"/>
    <w:basedOn w:val="Normal"/>
    <w:qFormat/>
    <w:pPr/>
    <w:rPr/>
  </w:style>
  <w:style w:type="paragraph" w:styleId="Style21">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Application>LibreOffice/6.0.2.1$Windows_x86 LibreOffice_project/f7f06a8f319e4b62f9bc5095aa112a65d2f3ac89</Application>
  <Pages>6</Pages>
  <Words>1974</Words>
  <Characters>14031</Characters>
  <CharactersWithSpaces>15875</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2021-02-16T12:48:00Z</dcterms:created>
  <dc:creator>Пользователь Windows</dc:creator>
  <dc:description/>
  <dc:language>ru-RU</dc:language>
  <cp:lastModifiedBy/>
  <dcterms:modified xsi:type="dcterms:W3CDTF">2021-10-07T16:49:31Z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