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E10693">
        <w:t>рыбная</w:t>
      </w:r>
      <w:r w:rsidRPr="000D48E1">
        <w:t xml:space="preserve">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w:t>
      </w:r>
      <w:r w:rsidRPr="000D48E1">
        <w:rPr>
          <w:b/>
        </w:rPr>
        <w:lastRenderedPageBreak/>
        <w:t>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w:t>
      </w:r>
      <w:r w:rsidRPr="000D48E1">
        <w:lastRenderedPageBreak/>
        <w:t xml:space="preserve">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Федерального закона от  30.03.1999 г. №52 «О санитарно-</w:t>
      </w:r>
      <w:proofErr w:type="spellStart"/>
      <w:r w:rsidRPr="000D48E1">
        <w:t>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 xml:space="preserve">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w:t>
      </w:r>
      <w:r w:rsidRPr="000D48E1">
        <w:rPr>
          <w:color w:val="000000"/>
        </w:rPr>
        <w:lastRenderedPageBreak/>
        <w:t>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w:t>
      </w:r>
      <w:r w:rsidRPr="000D48E1">
        <w:rPr>
          <w:spacing w:val="-4"/>
        </w:rPr>
        <w:lastRenderedPageBreak/>
        <w:t xml:space="preserve">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w:t>
      </w:r>
      <w:r w:rsidRPr="000D48E1">
        <w:rPr>
          <w:spacing w:val="-4"/>
        </w:rPr>
        <w:lastRenderedPageBreak/>
        <w:t>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firstRow="1" w:lastRow="0" w:firstColumn="1" w:lastColumn="0" w:noHBand="0" w:noVBand="1"/>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firstRow="1" w:lastRow="0" w:firstColumn="1" w:lastColumn="0" w:noHBand="0" w:noVBand="1"/>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B90C29" w:rsidRDefault="00B90C29" w:rsidP="000D48E1">
      <w:pPr>
        <w:ind w:firstLine="709"/>
        <w:contextualSpacing/>
      </w:pPr>
    </w:p>
    <w:p w:rsidR="00B90C29" w:rsidRDefault="00B90C29" w:rsidP="000D48E1">
      <w:pPr>
        <w:ind w:firstLine="709"/>
        <w:contextualSpacing/>
      </w:pPr>
      <w:bookmarkStart w:id="0" w:name="_GoBack"/>
      <w:bookmarkEnd w:id="0"/>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lastRenderedPageBreak/>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976"/>
        <w:gridCol w:w="1561"/>
        <w:gridCol w:w="851"/>
        <w:gridCol w:w="825"/>
        <w:gridCol w:w="1001"/>
        <w:gridCol w:w="1443"/>
      </w:tblGrid>
      <w:tr w:rsidR="00B90C29" w:rsidRPr="000D48E1" w:rsidTr="00B90C29">
        <w:trPr>
          <w:trHeight w:val="416"/>
        </w:trPr>
        <w:tc>
          <w:tcPr>
            <w:tcW w:w="363" w:type="pct"/>
            <w:tcBorders>
              <w:top w:val="single" w:sz="4" w:space="0" w:color="auto"/>
              <w:left w:val="single" w:sz="4" w:space="0" w:color="auto"/>
              <w:bottom w:val="single" w:sz="4" w:space="0" w:color="auto"/>
              <w:right w:val="single" w:sz="4" w:space="0" w:color="auto"/>
            </w:tcBorders>
            <w:shd w:val="clear" w:color="auto" w:fill="E6E6E6"/>
            <w:hideMark/>
          </w:tcPr>
          <w:p w:rsidR="00B90C29" w:rsidRPr="000D48E1" w:rsidRDefault="00B90C29" w:rsidP="008A2A7D">
            <w:r w:rsidRPr="000D48E1">
              <w:t>№</w:t>
            </w:r>
            <w:proofErr w:type="gramStart"/>
            <w:r w:rsidRPr="000D48E1">
              <w:t>п</w:t>
            </w:r>
            <w:proofErr w:type="gramEnd"/>
            <w:r w:rsidRPr="000D48E1">
              <w:t>/п</w:t>
            </w:r>
          </w:p>
        </w:tc>
        <w:tc>
          <w:tcPr>
            <w:tcW w:w="1594" w:type="pct"/>
            <w:tcBorders>
              <w:top w:val="single" w:sz="4" w:space="0" w:color="auto"/>
              <w:left w:val="single" w:sz="4" w:space="0" w:color="auto"/>
              <w:bottom w:val="single" w:sz="4" w:space="0" w:color="auto"/>
              <w:right w:val="single" w:sz="4" w:space="0" w:color="auto"/>
            </w:tcBorders>
            <w:shd w:val="clear" w:color="auto" w:fill="E6E6E6"/>
            <w:hideMark/>
          </w:tcPr>
          <w:p w:rsidR="00B90C29" w:rsidRPr="000D48E1" w:rsidRDefault="00B90C29" w:rsidP="008A2A7D">
            <w:r w:rsidRPr="000D48E1">
              <w:t>Наименование товара</w:t>
            </w:r>
          </w:p>
        </w:tc>
        <w:tc>
          <w:tcPr>
            <w:tcW w:w="836" w:type="pct"/>
            <w:tcBorders>
              <w:top w:val="single" w:sz="4" w:space="0" w:color="auto"/>
              <w:left w:val="single" w:sz="4" w:space="0" w:color="auto"/>
              <w:bottom w:val="single" w:sz="4" w:space="0" w:color="auto"/>
              <w:right w:val="single" w:sz="4" w:space="0" w:color="auto"/>
            </w:tcBorders>
            <w:shd w:val="clear" w:color="auto" w:fill="E6E6E6"/>
            <w:vAlign w:val="center"/>
          </w:tcPr>
          <w:p w:rsidR="00B90C29" w:rsidRPr="000D48E1" w:rsidRDefault="00B90C29" w:rsidP="008A2A7D">
            <w:pPr>
              <w:jc w:val="center"/>
            </w:pPr>
            <w:r>
              <w:t>Страна происхождения</w:t>
            </w:r>
          </w:p>
        </w:tc>
        <w:tc>
          <w:tcPr>
            <w:tcW w:w="456" w:type="pct"/>
            <w:tcBorders>
              <w:top w:val="single" w:sz="4" w:space="0" w:color="auto"/>
              <w:left w:val="single" w:sz="4" w:space="0" w:color="auto"/>
              <w:bottom w:val="single" w:sz="4" w:space="0" w:color="auto"/>
              <w:right w:val="single" w:sz="4" w:space="0" w:color="auto"/>
            </w:tcBorders>
            <w:shd w:val="clear" w:color="auto" w:fill="E6E6E6"/>
            <w:hideMark/>
          </w:tcPr>
          <w:p w:rsidR="00B90C29" w:rsidRPr="000D48E1" w:rsidRDefault="00B90C29" w:rsidP="008A2A7D">
            <w:r w:rsidRPr="000D48E1">
              <w:t>Ед. изм.</w:t>
            </w:r>
          </w:p>
        </w:tc>
        <w:tc>
          <w:tcPr>
            <w:tcW w:w="442" w:type="pct"/>
            <w:tcBorders>
              <w:top w:val="single" w:sz="4" w:space="0" w:color="auto"/>
              <w:left w:val="single" w:sz="4" w:space="0" w:color="auto"/>
              <w:bottom w:val="single" w:sz="4" w:space="0" w:color="auto"/>
              <w:right w:val="single" w:sz="4" w:space="0" w:color="auto"/>
            </w:tcBorders>
            <w:shd w:val="clear" w:color="auto" w:fill="E6E6E6"/>
          </w:tcPr>
          <w:p w:rsidR="00B90C29" w:rsidRPr="000D48E1" w:rsidRDefault="00B90C29" w:rsidP="008A2A7D">
            <w:pPr>
              <w:tabs>
                <w:tab w:val="left" w:pos="757"/>
              </w:tabs>
            </w:pPr>
            <w:r>
              <w:t>К</w:t>
            </w:r>
            <w:r w:rsidRPr="000D48E1">
              <w:t>ол-во</w:t>
            </w:r>
          </w:p>
          <w:p w:rsidR="00B90C29" w:rsidRPr="000D48E1" w:rsidRDefault="00B90C29" w:rsidP="008A2A7D"/>
        </w:tc>
        <w:tc>
          <w:tcPr>
            <w:tcW w:w="536" w:type="pct"/>
            <w:tcBorders>
              <w:top w:val="single" w:sz="4" w:space="0" w:color="auto"/>
              <w:left w:val="single" w:sz="4" w:space="0" w:color="auto"/>
              <w:bottom w:val="single" w:sz="4" w:space="0" w:color="auto"/>
              <w:right w:val="single" w:sz="4" w:space="0" w:color="auto"/>
            </w:tcBorders>
            <w:shd w:val="clear" w:color="auto" w:fill="E6E6E6"/>
            <w:hideMark/>
          </w:tcPr>
          <w:p w:rsidR="00B90C29" w:rsidRPr="000D48E1" w:rsidRDefault="00B90C29" w:rsidP="008A2A7D">
            <w:r w:rsidRPr="000D48E1">
              <w:t>Цена за единицу</w:t>
            </w:r>
            <w:r w:rsidRPr="000D48E1">
              <w:rPr>
                <w:rStyle w:val="a7"/>
              </w:rPr>
              <w:footnoteReference w:id="10"/>
            </w:r>
          </w:p>
        </w:tc>
        <w:tc>
          <w:tcPr>
            <w:tcW w:w="773" w:type="pct"/>
            <w:tcBorders>
              <w:top w:val="single" w:sz="4" w:space="0" w:color="auto"/>
              <w:left w:val="single" w:sz="4" w:space="0" w:color="auto"/>
              <w:bottom w:val="single" w:sz="4" w:space="0" w:color="auto"/>
              <w:right w:val="single" w:sz="4" w:space="0" w:color="auto"/>
            </w:tcBorders>
            <w:shd w:val="clear" w:color="auto" w:fill="E6E6E6"/>
            <w:hideMark/>
          </w:tcPr>
          <w:p w:rsidR="00B90C29" w:rsidRPr="000D48E1" w:rsidRDefault="00B90C29" w:rsidP="008A2A7D">
            <w:pPr>
              <w:jc w:val="both"/>
            </w:pPr>
            <w:r w:rsidRPr="000D48E1">
              <w:t>Сумма, руб.</w:t>
            </w:r>
            <w:r w:rsidRPr="000D48E1">
              <w:rPr>
                <w:rStyle w:val="a7"/>
              </w:rPr>
              <w:footnoteReference w:id="11"/>
            </w:r>
          </w:p>
        </w:tc>
      </w:tr>
      <w:tr w:rsidR="00B90C29" w:rsidRPr="000D48E1" w:rsidTr="00B90C29">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pPr>
            <w:r>
              <w:t>1</w:t>
            </w:r>
          </w:p>
        </w:tc>
        <w:tc>
          <w:tcPr>
            <w:tcW w:w="1594" w:type="pct"/>
            <w:tcBorders>
              <w:top w:val="single" w:sz="4" w:space="0" w:color="auto"/>
              <w:left w:val="single" w:sz="4" w:space="0" w:color="auto"/>
              <w:bottom w:val="single" w:sz="4" w:space="0" w:color="auto"/>
              <w:right w:val="single" w:sz="4" w:space="0" w:color="auto"/>
            </w:tcBorders>
            <w:vAlign w:val="center"/>
          </w:tcPr>
          <w:p w:rsidR="00B90C29" w:rsidRPr="003328E3" w:rsidRDefault="00B90C29" w:rsidP="008A2A7D">
            <w:pPr>
              <w:widowControl/>
              <w:autoSpaceDE/>
              <w:autoSpaceDN/>
              <w:adjustRightInd/>
              <w:jc w:val="center"/>
              <w:rPr>
                <w:color w:val="000000"/>
              </w:rPr>
            </w:pPr>
            <w:r w:rsidRPr="00ED4307">
              <w:rPr>
                <w:sz w:val="18"/>
                <w:szCs w:val="18"/>
              </w:rPr>
              <w:t>Минтай, рыба замороженная, потрошеная, без головы</w:t>
            </w:r>
          </w:p>
        </w:tc>
        <w:tc>
          <w:tcPr>
            <w:tcW w:w="83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tabs>
                <w:tab w:val="left" w:pos="2727"/>
              </w:tabs>
              <w:jc w:val="center"/>
              <w:rPr>
                <w:snapToGrid w:val="0"/>
              </w:rPr>
            </w:pPr>
          </w:p>
        </w:tc>
      </w:tr>
      <w:tr w:rsidR="00B90C29" w:rsidRPr="000D48E1" w:rsidTr="00B90C29">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pPr>
            <w:r>
              <w:t>2</w:t>
            </w:r>
          </w:p>
        </w:tc>
        <w:tc>
          <w:tcPr>
            <w:tcW w:w="1594"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r>
              <w:rPr>
                <w:sz w:val="18"/>
                <w:szCs w:val="18"/>
              </w:rPr>
              <w:t>Филе горбуши замороженное</w:t>
            </w:r>
          </w:p>
        </w:tc>
        <w:tc>
          <w:tcPr>
            <w:tcW w:w="83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B90C29" w:rsidRPr="000D48E1" w:rsidRDefault="00B90C29" w:rsidP="008A2A7D">
            <w:pPr>
              <w:tabs>
                <w:tab w:val="left" w:pos="2727"/>
              </w:tabs>
              <w:jc w:val="center"/>
              <w:rPr>
                <w:snapToGrid w:val="0"/>
              </w:rPr>
            </w:pPr>
          </w:p>
        </w:tc>
      </w:tr>
      <w:tr w:rsidR="00B90C29" w:rsidRPr="000D48E1" w:rsidTr="00B90C29">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B90C29" w:rsidRPr="000D48E1" w:rsidRDefault="00B90C29" w:rsidP="008A2A7D">
            <w:r w:rsidRPr="000D48E1">
              <w:t>ИТОГО:</w:t>
            </w:r>
          </w:p>
        </w:tc>
        <w:tc>
          <w:tcPr>
            <w:tcW w:w="773" w:type="pct"/>
            <w:tcBorders>
              <w:top w:val="single" w:sz="4" w:space="0" w:color="auto"/>
              <w:left w:val="single" w:sz="4" w:space="0" w:color="auto"/>
              <w:bottom w:val="single" w:sz="4" w:space="0" w:color="auto"/>
              <w:right w:val="single" w:sz="4" w:space="0" w:color="auto"/>
            </w:tcBorders>
          </w:tcPr>
          <w:p w:rsidR="00B90C29" w:rsidRPr="000D48E1" w:rsidRDefault="00B90C29" w:rsidP="008A2A7D"/>
        </w:tc>
      </w:tr>
      <w:tr w:rsidR="00B90C29" w:rsidRPr="000D48E1" w:rsidTr="00B90C29">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B90C29" w:rsidRPr="000D48E1" w:rsidRDefault="00B90C29" w:rsidP="008A2A7D">
            <w:r w:rsidRPr="000D48E1">
              <w:t xml:space="preserve">в </w:t>
            </w:r>
            <w:proofErr w:type="spellStart"/>
            <w:r w:rsidRPr="000D48E1">
              <w:t>т.ч</w:t>
            </w:r>
            <w:proofErr w:type="spellEnd"/>
            <w:r w:rsidRPr="000D48E1">
              <w:t>. НДС</w:t>
            </w:r>
          </w:p>
        </w:tc>
        <w:tc>
          <w:tcPr>
            <w:tcW w:w="773" w:type="pct"/>
            <w:tcBorders>
              <w:top w:val="single" w:sz="4" w:space="0" w:color="auto"/>
              <w:left w:val="single" w:sz="4" w:space="0" w:color="auto"/>
              <w:bottom w:val="single" w:sz="4" w:space="0" w:color="auto"/>
              <w:right w:val="single" w:sz="4" w:space="0" w:color="auto"/>
            </w:tcBorders>
          </w:tcPr>
          <w:p w:rsidR="00B90C29" w:rsidRPr="000D48E1" w:rsidRDefault="00B90C29" w:rsidP="008A2A7D"/>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firstRow="1" w:lastRow="0" w:firstColumn="1" w:lastColumn="0" w:noHBand="0" w:noVBand="1"/>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B0" w:rsidRDefault="00B114B0" w:rsidP="00740F43">
      <w:r>
        <w:separator/>
      </w:r>
    </w:p>
  </w:endnote>
  <w:endnote w:type="continuationSeparator" w:id="0">
    <w:p w:rsidR="00B114B0" w:rsidRDefault="00B114B0" w:rsidP="007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B0" w:rsidRDefault="00B114B0" w:rsidP="00740F43">
      <w:r>
        <w:separator/>
      </w:r>
    </w:p>
  </w:footnote>
  <w:footnote w:type="continuationSeparator" w:id="0">
    <w:p w:rsidR="00B114B0" w:rsidRDefault="00B114B0"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B90C29" w:rsidRPr="006912F4" w:rsidRDefault="00B90C29" w:rsidP="00B90C29">
      <w:pPr>
        <w:pStyle w:val="a5"/>
      </w:pPr>
      <w:r>
        <w:rPr>
          <w:rStyle w:val="a7"/>
        </w:rPr>
        <w:footnoteRef/>
      </w:r>
      <w:r>
        <w:t xml:space="preserve"> Указывается в соответствии с итогами аукциона</w:t>
      </w:r>
    </w:p>
  </w:footnote>
  <w:footnote w:id="11">
    <w:p w:rsidR="00B90C29" w:rsidRPr="006912F4" w:rsidRDefault="00B90C29" w:rsidP="00B90C29">
      <w:pPr>
        <w:pStyle w:val="a5"/>
      </w:pPr>
      <w:r>
        <w:rPr>
          <w:rStyle w:val="a7"/>
        </w:rPr>
        <w:footnoteRef/>
      </w:r>
      <w:r>
        <w:t xml:space="preserve"> Указывается в соответствии с итогами аукциона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F44"/>
    <w:rsid w:val="0003397F"/>
    <w:rsid w:val="000D48E1"/>
    <w:rsid w:val="000D6417"/>
    <w:rsid w:val="0016020F"/>
    <w:rsid w:val="001B4DB8"/>
    <w:rsid w:val="001D65EC"/>
    <w:rsid w:val="002631A6"/>
    <w:rsid w:val="0027059F"/>
    <w:rsid w:val="002B67E3"/>
    <w:rsid w:val="002F28B1"/>
    <w:rsid w:val="003E2DFD"/>
    <w:rsid w:val="004029C7"/>
    <w:rsid w:val="00471244"/>
    <w:rsid w:val="004F206E"/>
    <w:rsid w:val="005034B2"/>
    <w:rsid w:val="0053596E"/>
    <w:rsid w:val="005D6430"/>
    <w:rsid w:val="00613864"/>
    <w:rsid w:val="00634EB7"/>
    <w:rsid w:val="00646E61"/>
    <w:rsid w:val="006912F4"/>
    <w:rsid w:val="006D4B16"/>
    <w:rsid w:val="006F4730"/>
    <w:rsid w:val="00740F43"/>
    <w:rsid w:val="00793174"/>
    <w:rsid w:val="007A461A"/>
    <w:rsid w:val="00855916"/>
    <w:rsid w:val="008B1C42"/>
    <w:rsid w:val="00990237"/>
    <w:rsid w:val="00997A99"/>
    <w:rsid w:val="009B238F"/>
    <w:rsid w:val="00AB4DE9"/>
    <w:rsid w:val="00AD615E"/>
    <w:rsid w:val="00B114B0"/>
    <w:rsid w:val="00B90C29"/>
    <w:rsid w:val="00BE5A76"/>
    <w:rsid w:val="00C77A0F"/>
    <w:rsid w:val="00D863EB"/>
    <w:rsid w:val="00E10693"/>
    <w:rsid w:val="00E80F44"/>
    <w:rsid w:val="00E84E7D"/>
    <w:rsid w:val="00EF2C71"/>
    <w:rsid w:val="00F21294"/>
    <w:rsid w:val="00FC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4CEA-8A79-48B4-A0A3-870B49B2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2020-11-25T12:45:00Z</dcterms:created>
  <dcterms:modified xsi:type="dcterms:W3CDTF">2021-11-30T14:01:00Z</dcterms:modified>
</cp:coreProperties>
</file>