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EB0BF2" w:rsidRPr="00EB0BF2">
        <w:rPr>
          <w:b/>
          <w:sz w:val="28"/>
          <w:szCs w:val="28"/>
        </w:rPr>
        <w:t>выполнение комплекса работ по заготовке древесины в Очерском лесничестве для нужд ГБУ "СИВИНСКИЙ ЛЕСХОЗ"</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F44703">
      <w:pPr>
        <w:tabs>
          <w:tab w:val="left" w:pos="1440"/>
          <w:tab w:val="right" w:leader="dot" w:pos="9923"/>
        </w:tabs>
        <w:spacing w:before="100"/>
        <w:rPr>
          <w:b/>
          <w:color w:val="000000" w:themeColor="text1"/>
          <w:sz w:val="22"/>
          <w:szCs w:val="22"/>
        </w:rPr>
      </w:pPr>
      <w:r w:rsidRPr="00F44703">
        <w:rPr>
          <w:color w:val="000000" w:themeColor="text1"/>
          <w:sz w:val="22"/>
          <w:szCs w:val="22"/>
        </w:rPr>
        <w:fldChar w:fldCharType="begin"/>
      </w:r>
      <w:r w:rsidR="00FE4E20" w:rsidRPr="00E12E4A">
        <w:rPr>
          <w:b/>
          <w:bCs/>
          <w:caps/>
          <w:color w:val="000000" w:themeColor="text1"/>
          <w:sz w:val="22"/>
          <w:szCs w:val="22"/>
        </w:rPr>
        <w:instrText>TOC \z \o "1-3" \u \h</w:instrText>
      </w:r>
      <w:r w:rsidRPr="00F44703">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F44703">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sidR="00BA6669" w:rsidRPr="00995FC4">
        <w:rPr>
          <w:sz w:val="24"/>
          <w:szCs w:val="24"/>
        </w:rPr>
        <w:t>Федеральным законом от 25 декабря 2008 г. №273-ФЗ «О противодействии коррупции»,</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с.Сива, ул. </w:t>
            </w:r>
            <w:r w:rsidR="0096781C" w:rsidRPr="0096781C">
              <w:rPr>
                <w:bCs/>
                <w:sz w:val="22"/>
                <w:szCs w:val="22"/>
              </w:rPr>
              <w:t>ул. Пушкина, д.106</w:t>
            </w:r>
          </w:p>
          <w:p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Pr="003E7D8E" w:rsidRDefault="00175175" w:rsidP="00175175">
            <w:pPr>
              <w:widowControl w:val="0"/>
              <w:jc w:val="both"/>
              <w:rPr>
                <w:sz w:val="22"/>
                <w:szCs w:val="22"/>
              </w:rPr>
            </w:pPr>
            <w:r w:rsidRPr="003E7D8E">
              <w:rPr>
                <w:sz w:val="22"/>
                <w:szCs w:val="22"/>
              </w:rPr>
              <w:t>Контрактный управляющий</w:t>
            </w:r>
          </w:p>
          <w:p w:rsidR="00175175" w:rsidRDefault="00175175" w:rsidP="00175175">
            <w:pPr>
              <w:widowControl w:val="0"/>
              <w:jc w:val="both"/>
              <w:rPr>
                <w:sz w:val="22"/>
                <w:szCs w:val="22"/>
              </w:rPr>
            </w:pPr>
            <w:r w:rsidRPr="003E7D8E">
              <w:rPr>
                <w:sz w:val="22"/>
                <w:szCs w:val="22"/>
              </w:rPr>
              <w:t>Иньшин Александр Валерьевич</w:t>
            </w:r>
            <w:r w:rsidRPr="0061092F">
              <w:rPr>
                <w:sz w:val="22"/>
                <w:szCs w:val="22"/>
              </w:rPr>
              <w:t xml:space="preserve">, </w:t>
            </w:r>
          </w:p>
          <w:p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CD24A3">
              <w:rPr>
                <w:sz w:val="22"/>
                <w:szCs w:val="22"/>
              </w:rPr>
              <w:t xml:space="preserve">на право заключения договора </w:t>
            </w:r>
            <w:r w:rsidR="00804DCC" w:rsidRPr="00804DCC">
              <w:rPr>
                <w:sz w:val="22"/>
                <w:szCs w:val="22"/>
              </w:rPr>
              <w:t xml:space="preserve">на </w:t>
            </w:r>
            <w:r w:rsidR="00EB0BF2" w:rsidRPr="00EB0BF2">
              <w:rPr>
                <w:sz w:val="22"/>
                <w:szCs w:val="22"/>
              </w:rPr>
              <w:t>выполнение комплекса работ по заготовке древесины в Очерском лесничестве для нужд ГБУ "СИВИНСКИЙ ЛЕСХОЗ"</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DB6523" w:rsidRPr="00C45E08" w:rsidRDefault="008B5856" w:rsidP="00DB6523">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hyperlink r:id="rId8" w:history="1">
              <w:r w:rsidRPr="00FA65BF">
                <w:rPr>
                  <w:rStyle w:val="aff9"/>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hyperlink r:id="rId9" w:history="1">
              <w:r w:rsidRPr="007806E8">
                <w:rPr>
                  <w:rStyle w:val="aff9"/>
                  <w:rFonts w:eastAsia="Calibri"/>
                  <w:sz w:val="22"/>
                </w:rPr>
                <w:t>https://etp-region.ru</w:t>
              </w:r>
            </w:hyperlink>
            <w:r w:rsidR="00DB6523" w:rsidRPr="00612754">
              <w:rPr>
                <w:b/>
                <w:bCs/>
                <w:sz w:val="22"/>
                <w:szCs w:val="22"/>
              </w:rPr>
              <w:t>с «</w:t>
            </w:r>
            <w:r w:rsidR="00EB0BF2">
              <w:rPr>
                <w:b/>
                <w:bCs/>
                <w:sz w:val="22"/>
                <w:szCs w:val="22"/>
              </w:rPr>
              <w:t>0</w:t>
            </w:r>
            <w:r w:rsidR="00252C02">
              <w:rPr>
                <w:b/>
                <w:bCs/>
                <w:sz w:val="22"/>
                <w:szCs w:val="22"/>
              </w:rPr>
              <w:t>8</w:t>
            </w:r>
            <w:r w:rsidR="00DB6523" w:rsidRPr="00612754">
              <w:rPr>
                <w:b/>
                <w:bCs/>
                <w:sz w:val="22"/>
                <w:szCs w:val="22"/>
              </w:rPr>
              <w:t xml:space="preserve">» </w:t>
            </w:r>
            <w:r w:rsidR="00DB6523">
              <w:rPr>
                <w:b/>
                <w:bCs/>
                <w:sz w:val="22"/>
                <w:szCs w:val="22"/>
              </w:rPr>
              <w:t xml:space="preserve">февраля 2022 </w:t>
            </w:r>
            <w:r w:rsidR="00DB6523" w:rsidRPr="00612754">
              <w:rPr>
                <w:b/>
                <w:bCs/>
                <w:sz w:val="22"/>
                <w:szCs w:val="22"/>
              </w:rPr>
              <w:t>г. по «</w:t>
            </w:r>
            <w:r w:rsidR="00DB6523">
              <w:rPr>
                <w:b/>
                <w:bCs/>
                <w:sz w:val="22"/>
                <w:szCs w:val="22"/>
              </w:rPr>
              <w:t>2</w:t>
            </w:r>
            <w:r w:rsidR="00EB0BF2">
              <w:rPr>
                <w:b/>
                <w:bCs/>
                <w:sz w:val="22"/>
                <w:szCs w:val="22"/>
              </w:rPr>
              <w:t>4</w:t>
            </w:r>
            <w:r w:rsidR="00DB6523" w:rsidRPr="00612754">
              <w:rPr>
                <w:b/>
                <w:bCs/>
                <w:sz w:val="22"/>
                <w:szCs w:val="22"/>
              </w:rPr>
              <w:t xml:space="preserve">» </w:t>
            </w:r>
            <w:r w:rsidR="00DB6523">
              <w:rPr>
                <w:b/>
                <w:bCs/>
                <w:sz w:val="22"/>
                <w:szCs w:val="22"/>
              </w:rPr>
              <w:t>февраля</w:t>
            </w:r>
            <w:r w:rsidR="00DB6523" w:rsidRPr="00612754">
              <w:rPr>
                <w:b/>
                <w:bCs/>
                <w:sz w:val="22"/>
                <w:szCs w:val="22"/>
              </w:rPr>
              <w:t xml:space="preserve"> 202</w:t>
            </w:r>
            <w:r w:rsidR="00DB6523">
              <w:rPr>
                <w:b/>
                <w:bCs/>
                <w:sz w:val="22"/>
                <w:szCs w:val="22"/>
              </w:rPr>
              <w:t xml:space="preserve">2 </w:t>
            </w:r>
            <w:r w:rsidR="00DB6523" w:rsidRPr="00612754">
              <w:rPr>
                <w:b/>
                <w:bCs/>
                <w:sz w:val="22"/>
                <w:szCs w:val="22"/>
              </w:rPr>
              <w:t>г. до 10 час. 00 мин. (местное время заказчика).</w:t>
            </w:r>
          </w:p>
          <w:p w:rsidR="00433EEB" w:rsidRDefault="008B5856" w:rsidP="008B5856">
            <w:pPr>
              <w:rPr>
                <w:sz w:val="22"/>
                <w:szCs w:val="22"/>
              </w:rPr>
            </w:pPr>
            <w:r w:rsidRPr="00FA65BF">
              <w:rPr>
                <w:sz w:val="22"/>
                <w:szCs w:val="22"/>
              </w:rPr>
              <w:t>Плата за предоставление документации не взимается.</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EB0BF2" w:rsidP="004570D4">
            <w:pPr>
              <w:jc w:val="both"/>
              <w:rPr>
                <w:bCs/>
                <w:sz w:val="22"/>
                <w:szCs w:val="22"/>
              </w:rPr>
            </w:pPr>
            <w:r>
              <w:rPr>
                <w:b/>
                <w:sz w:val="22"/>
                <w:szCs w:val="22"/>
              </w:rPr>
              <w:t>В</w:t>
            </w:r>
            <w:r w:rsidRPr="00630F32">
              <w:rPr>
                <w:b/>
                <w:sz w:val="22"/>
                <w:szCs w:val="22"/>
              </w:rPr>
              <w:t xml:space="preserve">ыполнение комплекса работ по заготовке древесины в Очерском лесничестве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700C9D">
        <w:trPr>
          <w:trHeight w:val="336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EB0BF2" w:rsidRPr="00630F32" w:rsidRDefault="00EB0BF2" w:rsidP="00EB0BF2">
            <w:pPr>
              <w:widowControl w:val="0"/>
              <w:tabs>
                <w:tab w:val="left" w:pos="1276"/>
              </w:tabs>
              <w:ind w:left="96" w:right="70"/>
              <w:jc w:val="both"/>
              <w:rPr>
                <w:sz w:val="22"/>
                <w:szCs w:val="22"/>
              </w:rPr>
            </w:pPr>
            <w:r w:rsidRPr="00190DA4">
              <w:rPr>
                <w:b/>
                <w:sz w:val="22"/>
                <w:szCs w:val="22"/>
                <w:u w:val="single"/>
              </w:rPr>
              <w:t>Место выполнения работ</w:t>
            </w:r>
            <w:r w:rsidRPr="00630F32">
              <w:rPr>
                <w:sz w:val="22"/>
                <w:szCs w:val="22"/>
              </w:rPr>
              <w:t xml:space="preserve"> определяется согласно поданной заявке Заказчика.   Работы оказываются в объеме заготовленной ликвидной древесины в пределах границ лесосеки, указанной в заявке Заказчика.</w:t>
            </w:r>
          </w:p>
          <w:p w:rsidR="00EB0BF2" w:rsidRDefault="00EB0BF2" w:rsidP="00EB0BF2">
            <w:pPr>
              <w:ind w:left="96" w:right="70"/>
              <w:jc w:val="both"/>
              <w:rPr>
                <w:sz w:val="22"/>
                <w:szCs w:val="22"/>
              </w:rPr>
            </w:pPr>
            <w:r w:rsidRPr="00190DA4">
              <w:rPr>
                <w:b/>
                <w:sz w:val="22"/>
                <w:szCs w:val="22"/>
                <w:u w:val="single"/>
              </w:rPr>
              <w:t>Объем работ по заготовке древесины:</w:t>
            </w:r>
            <w:r w:rsidRPr="00630F32">
              <w:rPr>
                <w:sz w:val="22"/>
                <w:szCs w:val="22"/>
              </w:rPr>
              <w:t xml:space="preserve"> до 2575 м³ (учитывается только ликвидная древесина), окончательный объем по факту выполненных работ.</w:t>
            </w:r>
          </w:p>
          <w:p w:rsidR="00EB0BF2" w:rsidRPr="00630F32" w:rsidRDefault="00EB0BF2" w:rsidP="00EB0BF2">
            <w:pPr>
              <w:ind w:left="96" w:right="70"/>
              <w:jc w:val="both"/>
              <w:rPr>
                <w:sz w:val="22"/>
                <w:szCs w:val="22"/>
              </w:rPr>
            </w:pPr>
            <w:r w:rsidRPr="00190DA4">
              <w:rPr>
                <w:b/>
                <w:sz w:val="22"/>
                <w:szCs w:val="22"/>
                <w:u w:val="single"/>
              </w:rPr>
              <w:t>Срок выполнения работ:</w:t>
            </w:r>
            <w:r w:rsidRPr="00630F32">
              <w:rPr>
                <w:sz w:val="22"/>
                <w:szCs w:val="22"/>
              </w:rPr>
              <w:t xml:space="preserve"> до 1 декабря 2022 г.</w:t>
            </w:r>
          </w:p>
          <w:p w:rsidR="00EB0BF2" w:rsidRDefault="00EB0BF2" w:rsidP="00EB0BF2">
            <w:pPr>
              <w:ind w:left="96" w:right="70"/>
              <w:jc w:val="both"/>
              <w:rPr>
                <w:sz w:val="22"/>
                <w:szCs w:val="22"/>
              </w:rPr>
            </w:pPr>
            <w:r w:rsidRPr="00630F32">
              <w:rPr>
                <w:sz w:val="22"/>
                <w:szCs w:val="22"/>
              </w:rPr>
              <w:t>Подрядчик обязан приступить к выполнению работ в течение пяти календарных дней с момента получения заявки на выполнение лесозаготовительных работ. Заказчик направляет заявку на выполнение лесозаготовительных работ на электронную почту Подрядчика указанную в реквизитах сторон в Договоре.</w:t>
            </w:r>
          </w:p>
          <w:p w:rsidR="00EB0BF2" w:rsidRPr="00A13697" w:rsidRDefault="00EB0BF2" w:rsidP="00EB0BF2">
            <w:pPr>
              <w:ind w:left="96" w:right="70"/>
              <w:jc w:val="both"/>
              <w:rPr>
                <w:sz w:val="22"/>
                <w:szCs w:val="22"/>
              </w:rPr>
            </w:pPr>
            <w:r w:rsidRPr="00A13697">
              <w:rPr>
                <w:sz w:val="22"/>
                <w:szCs w:val="22"/>
              </w:rPr>
              <w:t xml:space="preserve">Требования к месту, срокам, условиям </w:t>
            </w:r>
            <w:r>
              <w:rPr>
                <w:sz w:val="22"/>
                <w:szCs w:val="22"/>
              </w:rPr>
              <w:t>поставки товара</w:t>
            </w:r>
            <w:r w:rsidRPr="00A13697">
              <w:rPr>
                <w:sz w:val="22"/>
                <w:szCs w:val="22"/>
              </w:rPr>
              <w:t xml:space="preserve"> определены проекте договора (</w:t>
            </w:r>
            <w:r>
              <w:rPr>
                <w:sz w:val="22"/>
                <w:szCs w:val="22"/>
              </w:rPr>
              <w:t>Раздел 4</w:t>
            </w:r>
            <w:r w:rsidRPr="00A13697">
              <w:rPr>
                <w:sz w:val="22"/>
                <w:szCs w:val="22"/>
              </w:rPr>
              <w:t xml:space="preserve"> документации об аукционе). </w:t>
            </w:r>
          </w:p>
          <w:p w:rsidR="00EB0BF2" w:rsidRDefault="00EB0BF2" w:rsidP="00EB0BF2">
            <w:pPr>
              <w:ind w:left="96" w:right="70"/>
              <w:jc w:val="both"/>
              <w:rPr>
                <w:sz w:val="22"/>
                <w:szCs w:val="22"/>
              </w:rPr>
            </w:pPr>
            <w:r w:rsidRPr="00A13697">
              <w:rPr>
                <w:sz w:val="22"/>
                <w:szCs w:val="22"/>
              </w:rPr>
              <w:t xml:space="preserve">Порядок приемки </w:t>
            </w:r>
            <w:r>
              <w:rPr>
                <w:sz w:val="22"/>
                <w:szCs w:val="22"/>
              </w:rPr>
              <w:t>поставки товара</w:t>
            </w:r>
            <w:r w:rsidRPr="00A13697">
              <w:rPr>
                <w:sz w:val="22"/>
                <w:szCs w:val="22"/>
              </w:rPr>
              <w:t xml:space="preserve"> определен в проекте договора (</w:t>
            </w:r>
            <w:r>
              <w:rPr>
                <w:sz w:val="22"/>
                <w:szCs w:val="22"/>
              </w:rPr>
              <w:t>Раздел 4</w:t>
            </w:r>
            <w:r w:rsidRPr="00A13697">
              <w:rPr>
                <w:sz w:val="22"/>
                <w:szCs w:val="22"/>
              </w:rPr>
              <w:t xml:space="preserve"> документации об аукционе)</w:t>
            </w:r>
          </w:p>
          <w:p w:rsidR="00670447" w:rsidRPr="00BC43B8" w:rsidRDefault="00EB0BF2" w:rsidP="00EB0BF2">
            <w:pPr>
              <w:widowControl w:val="0"/>
              <w:contextualSpacing/>
              <w:jc w:val="both"/>
              <w:rPr>
                <w:bCs/>
                <w:sz w:val="22"/>
                <w:szCs w:val="22"/>
              </w:rPr>
            </w:pPr>
            <w:r w:rsidRPr="00190DA4">
              <w:rPr>
                <w:bCs/>
                <w:i/>
                <w:sz w:val="22"/>
                <w:szCs w:val="22"/>
              </w:rPr>
              <w:t>Технологическая карта лесосечных работ размещается отдельным файлом с наименованием «Технологическая карта лесосечных работ» и является неотъемлемой частью документации об электронном аукционе.</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w:t>
            </w:r>
            <w:r w:rsidRPr="00BC43B8">
              <w:rPr>
                <w:sz w:val="22"/>
                <w:szCs w:val="22"/>
              </w:rPr>
              <w:lastRenderedPageBreak/>
              <w:t xml:space="preserve">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EB0BF2" w:rsidRPr="00EB0BF2" w:rsidRDefault="00612BA1" w:rsidP="00EB0BF2">
            <w:pPr>
              <w:jc w:val="both"/>
              <w:rPr>
                <w:sz w:val="22"/>
                <w:szCs w:val="22"/>
              </w:rPr>
            </w:pPr>
            <w:r w:rsidRPr="00EB0BF2">
              <w:rPr>
                <w:b/>
                <w:sz w:val="22"/>
                <w:szCs w:val="22"/>
              </w:rPr>
              <w:lastRenderedPageBreak/>
              <w:t xml:space="preserve">Начальная (максимальная) цена договора </w:t>
            </w:r>
            <w:r w:rsidR="00EB0BF2" w:rsidRPr="00EB0BF2">
              <w:rPr>
                <w:sz w:val="22"/>
                <w:szCs w:val="22"/>
                <w:highlight w:val="yellow"/>
              </w:rPr>
              <w:t>2 575 000 рублей 00 копеек (два миллиона пятьсот семьдесят пять тысяч рублей 00 копеек) в т.ч. НДС.</w:t>
            </w:r>
          </w:p>
          <w:p w:rsidR="00433EEB" w:rsidRPr="00BC43B8" w:rsidRDefault="00612BA1" w:rsidP="00F32C69">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F32C69">
              <w:rPr>
                <w:sz w:val="22"/>
                <w:szCs w:val="22"/>
              </w:rPr>
              <w:t>объема работ</w:t>
            </w:r>
            <w:r w:rsidRPr="00FA65BF">
              <w:rPr>
                <w:sz w:val="22"/>
                <w:szCs w:val="22"/>
              </w:rPr>
              <w:t xml:space="preserve">, являющегося предметом закупки, представлены в </w:t>
            </w:r>
            <w:r>
              <w:rPr>
                <w:sz w:val="22"/>
                <w:szCs w:val="22"/>
              </w:rPr>
              <w:t>Раздел5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F32C69" w:rsidRPr="00B22622" w:rsidRDefault="00F32C69" w:rsidP="00F32C69">
            <w:pPr>
              <w:autoSpaceDE w:val="0"/>
              <w:autoSpaceDN w:val="0"/>
              <w:adjustRightInd w:val="0"/>
              <w:ind w:right="-19"/>
              <w:jc w:val="both"/>
              <w:outlineLvl w:val="1"/>
            </w:pPr>
            <w:bookmarkStart w:id="4" w:name="OLE_LINK148"/>
            <w:bookmarkStart w:id="5" w:name="OLE_LINK149"/>
            <w:bookmarkStart w:id="6" w:name="OLE_LINK150"/>
            <w:bookmarkStart w:id="7" w:name="OLE_LINK151"/>
            <w:r w:rsidRPr="00B22622">
              <w:t xml:space="preserve">Начальная (максимальная) цена договора включает в себя страхование, расходы на уплату всех налогов, сборов и иных обязательных платежей, выплаченных или подлежащих выплате, стоимость товаров и расходных материалов, используемых </w:t>
            </w:r>
            <w:r>
              <w:t>подрядчиком</w:t>
            </w:r>
            <w:r w:rsidRPr="00B22622">
              <w:t xml:space="preserve"> при </w:t>
            </w:r>
            <w:r>
              <w:t>выполнении работ</w:t>
            </w:r>
            <w:r w:rsidRPr="00B22622">
              <w:t xml:space="preserve">, стоимость </w:t>
            </w:r>
            <w:r>
              <w:t xml:space="preserve">работ, </w:t>
            </w:r>
            <w:r w:rsidRPr="00B22622">
              <w:t>транспортных расходов и прочие расходы, связанные с исполнением договора.</w:t>
            </w:r>
          </w:p>
          <w:p w:rsidR="007E19EC" w:rsidRPr="00BC43B8" w:rsidRDefault="00F32C69" w:rsidP="00F32C69">
            <w:pPr>
              <w:widowControl w:val="0"/>
              <w:jc w:val="both"/>
              <w:rPr>
                <w:b/>
                <w:sz w:val="22"/>
                <w:szCs w:val="22"/>
              </w:rPr>
            </w:pPr>
            <w:r w:rsidRPr="00B22622">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End w:id="4"/>
            <w:bookmarkEnd w:id="5"/>
            <w:bookmarkEnd w:id="6"/>
            <w:bookmarkEnd w:id="7"/>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F32C69" w:rsidRPr="00F32C69" w:rsidRDefault="00F32C69" w:rsidP="00F32C69">
            <w:pPr>
              <w:tabs>
                <w:tab w:val="left" w:pos="-284"/>
              </w:tabs>
              <w:contextualSpacing/>
              <w:jc w:val="both"/>
              <w:rPr>
                <w:noProof/>
                <w:sz w:val="22"/>
                <w:szCs w:val="22"/>
              </w:rPr>
            </w:pPr>
            <w:r w:rsidRPr="00F32C69">
              <w:rPr>
                <w:noProof/>
                <w:sz w:val="22"/>
                <w:szCs w:val="22"/>
              </w:rPr>
              <w:t>Оплата выполненных работ производится в размере 80% от стоимости выполненных работ в течение 15 рабочих дней после подписания Заказчиком акта выполненных работ, при условии предоставления надлежаще оформленных документов (счета, счета-фактуры).</w:t>
            </w:r>
          </w:p>
          <w:p w:rsidR="007E19EC" w:rsidRPr="00BC43B8" w:rsidRDefault="00F32C69" w:rsidP="00F32C69">
            <w:pPr>
              <w:widowControl w:val="0"/>
              <w:jc w:val="both"/>
              <w:rPr>
                <w:sz w:val="22"/>
                <w:szCs w:val="22"/>
              </w:rPr>
            </w:pPr>
            <w:r w:rsidRPr="00F32C69">
              <w:rPr>
                <w:noProof/>
                <w:sz w:val="22"/>
                <w:szCs w:val="22"/>
              </w:rPr>
              <w:t>Окончательный расчет производится после подписания акта приемки делянки Государственным казенным учреждением Пермского края «Управление лесничествами Пермского края» Очерским лесничеством (или акта приемки совместной комиссии с участием представителей Заказчика и Подрядчика) в течении 15 рабочих дней.</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w:t>
            </w:r>
            <w:r w:rsidRPr="00BC43B8">
              <w:rPr>
                <w:sz w:val="22"/>
                <w:szCs w:val="22"/>
              </w:rPr>
              <w:lastRenderedPageBreak/>
              <w:t>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F32C69">
              <w:rPr>
                <w:b/>
                <w:i/>
                <w:color w:val="000000"/>
                <w:sz w:val="22"/>
                <w:szCs w:val="22"/>
              </w:rPr>
              <w:t>0</w:t>
            </w:r>
            <w:r w:rsidR="00686CAF">
              <w:rPr>
                <w:b/>
                <w:i/>
                <w:color w:val="000000"/>
                <w:sz w:val="22"/>
                <w:szCs w:val="22"/>
              </w:rPr>
              <w:t>8</w:t>
            </w:r>
            <w:r w:rsidRPr="00BC43B8">
              <w:rPr>
                <w:b/>
                <w:i/>
                <w:color w:val="000000"/>
                <w:sz w:val="22"/>
                <w:szCs w:val="22"/>
              </w:rPr>
              <w:t xml:space="preserve">» </w:t>
            </w:r>
            <w:r w:rsidR="00DB6523">
              <w:rPr>
                <w:b/>
                <w:i/>
                <w:color w:val="000000"/>
                <w:sz w:val="22"/>
                <w:szCs w:val="22"/>
              </w:rPr>
              <w:t>февраля 2022</w:t>
            </w:r>
            <w:r w:rsidRPr="00BC43B8">
              <w:rPr>
                <w:b/>
                <w:i/>
                <w:color w:val="000000"/>
                <w:sz w:val="22"/>
                <w:szCs w:val="22"/>
              </w:rPr>
              <w:t xml:space="preserve"> года</w:t>
            </w:r>
          </w:p>
          <w:p w:rsidR="007E19EC" w:rsidRPr="00BC43B8" w:rsidRDefault="007E19EC" w:rsidP="004570D4">
            <w:pPr>
              <w:widowControl w:val="0"/>
              <w:jc w:val="both"/>
              <w:rPr>
                <w:b/>
                <w:i/>
                <w:color w:val="000000"/>
                <w:sz w:val="22"/>
                <w:szCs w:val="22"/>
              </w:rPr>
            </w:pPr>
            <w:r w:rsidRPr="00BC43B8">
              <w:rPr>
                <w:b/>
                <w:i/>
                <w:color w:val="000000"/>
                <w:sz w:val="22"/>
                <w:szCs w:val="22"/>
              </w:rPr>
              <w:t xml:space="preserve">дата окончания - </w:t>
            </w:r>
            <w:r w:rsidRPr="008B5856">
              <w:rPr>
                <w:b/>
                <w:i/>
                <w:color w:val="000000"/>
                <w:sz w:val="22"/>
                <w:szCs w:val="22"/>
              </w:rPr>
              <w:t>«</w:t>
            </w:r>
            <w:r w:rsidR="00F32C69">
              <w:rPr>
                <w:b/>
                <w:i/>
                <w:color w:val="000000"/>
                <w:sz w:val="22"/>
                <w:szCs w:val="22"/>
              </w:rPr>
              <w:t>24</w:t>
            </w:r>
            <w:r w:rsidR="00612BA1" w:rsidRPr="008B5856">
              <w:rPr>
                <w:b/>
                <w:i/>
                <w:color w:val="000000"/>
                <w:sz w:val="22"/>
                <w:szCs w:val="22"/>
              </w:rPr>
              <w:t xml:space="preserve">» </w:t>
            </w:r>
            <w:r w:rsidR="00DB6523">
              <w:rPr>
                <w:b/>
                <w:i/>
                <w:color w:val="000000"/>
                <w:sz w:val="22"/>
                <w:szCs w:val="22"/>
              </w:rPr>
              <w:t xml:space="preserve">февраля 2022 </w:t>
            </w:r>
            <w:r w:rsidRPr="008B5856">
              <w:rPr>
                <w:b/>
                <w:i/>
                <w:color w:val="000000"/>
                <w:sz w:val="22"/>
                <w:szCs w:val="22"/>
              </w:rPr>
              <w:t>года.</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BC43B8" w:rsidRDefault="007E19EC" w:rsidP="00F32C69">
            <w:pPr>
              <w:jc w:val="both"/>
              <w:rPr>
                <w:sz w:val="22"/>
                <w:szCs w:val="22"/>
              </w:rPr>
            </w:pPr>
            <w:r w:rsidRPr="00BC43B8">
              <w:rPr>
                <w:sz w:val="22"/>
                <w:szCs w:val="22"/>
              </w:rPr>
              <w:t>1. К участникам закупки предъявляются следующие обязательные требования:</w:t>
            </w:r>
          </w:p>
          <w:p w:rsidR="00612BA1" w:rsidRPr="00612BA1" w:rsidRDefault="00612BA1" w:rsidP="00F32C69">
            <w:pPr>
              <w:widowControl w:val="0"/>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12BA1" w:rsidRPr="00612BA1" w:rsidRDefault="00612BA1" w:rsidP="00F32C69">
            <w:pPr>
              <w:widowControl w:val="0"/>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612BA1" w:rsidRPr="00612BA1" w:rsidRDefault="00612BA1" w:rsidP="00F32C69">
            <w:pPr>
              <w:widowControl w:val="0"/>
              <w:jc w:val="both"/>
              <w:rPr>
                <w:sz w:val="22"/>
                <w:szCs w:val="22"/>
              </w:rPr>
            </w:pPr>
            <w:r w:rsidRPr="00612BA1">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12BA1" w:rsidRPr="00612BA1" w:rsidRDefault="00612BA1" w:rsidP="00F32C69">
            <w:pPr>
              <w:widowControl w:val="0"/>
              <w:jc w:val="both"/>
              <w:rPr>
                <w:sz w:val="22"/>
                <w:szCs w:val="22"/>
              </w:rPr>
            </w:pPr>
            <w:r w:rsidRPr="00612BA1">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612BA1">
              <w:rPr>
                <w:sz w:val="22"/>
                <w:szCs w:val="22"/>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612BA1" w:rsidRPr="00612BA1" w:rsidRDefault="00612BA1" w:rsidP="00F32C69">
            <w:pPr>
              <w:widowControl w:val="0"/>
              <w:jc w:val="both"/>
              <w:rPr>
                <w:sz w:val="22"/>
                <w:szCs w:val="22"/>
              </w:rPr>
            </w:pPr>
            <w:r w:rsidRPr="00612BA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12BA1" w:rsidRPr="00612BA1" w:rsidRDefault="00612BA1" w:rsidP="00F32C69">
            <w:pPr>
              <w:widowControl w:val="0"/>
              <w:jc w:val="both"/>
              <w:rPr>
                <w:sz w:val="22"/>
                <w:szCs w:val="22"/>
              </w:rPr>
            </w:pPr>
            <w:r w:rsidRPr="00612BA1">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2BA1" w:rsidRPr="00612BA1" w:rsidRDefault="00612BA1" w:rsidP="00F32C69">
            <w:pPr>
              <w:widowControl w:val="0"/>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r>
            <w:r w:rsidRPr="00612BA1">
              <w:rPr>
                <w:sz w:val="22"/>
                <w:szCs w:val="22"/>
              </w:rPr>
              <w:lastRenderedPageBreak/>
              <w:t>в уставном капитале хозяйственного общества;</w:t>
            </w:r>
          </w:p>
          <w:p w:rsidR="00612BA1" w:rsidRPr="00612BA1" w:rsidRDefault="00612BA1" w:rsidP="00F32C69">
            <w:pPr>
              <w:widowControl w:val="0"/>
              <w:jc w:val="both"/>
              <w:rPr>
                <w:sz w:val="22"/>
                <w:szCs w:val="22"/>
              </w:rPr>
            </w:pPr>
            <w:r w:rsidRPr="00612BA1">
              <w:rPr>
                <w:sz w:val="22"/>
                <w:szCs w:val="22"/>
              </w:rPr>
              <w:t>8) участник закупки не является офшорной компанией;</w:t>
            </w:r>
          </w:p>
          <w:p w:rsidR="00612BA1" w:rsidRPr="00612BA1" w:rsidRDefault="00612BA1" w:rsidP="00F32C69">
            <w:pPr>
              <w:widowControl w:val="0"/>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rsidR="00612BA1" w:rsidRPr="00612BA1" w:rsidRDefault="00612BA1" w:rsidP="00F32C69">
            <w:pPr>
              <w:widowControl w:val="0"/>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612BA1" w:rsidRPr="00612BA1" w:rsidRDefault="00612BA1" w:rsidP="00F32C69">
            <w:pPr>
              <w:widowControl w:val="0"/>
              <w:autoSpaceDE w:val="0"/>
              <w:autoSpaceDN w:val="0"/>
              <w:adjustRightInd w:val="0"/>
              <w:jc w:val="both"/>
              <w:rPr>
                <w:sz w:val="22"/>
                <w:szCs w:val="22"/>
              </w:rPr>
            </w:pPr>
            <w:r w:rsidRPr="00612BA1">
              <w:rPr>
                <w:sz w:val="22"/>
                <w:szCs w:val="22"/>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rsidR="00612BA1" w:rsidRPr="00612BA1" w:rsidRDefault="00612BA1" w:rsidP="00F32C69">
            <w:pPr>
              <w:widowControl w:val="0"/>
              <w:jc w:val="both"/>
              <w:rPr>
                <w:sz w:val="22"/>
                <w:szCs w:val="22"/>
              </w:rPr>
            </w:pPr>
          </w:p>
          <w:p w:rsidR="007E19EC" w:rsidRPr="00BC43B8" w:rsidRDefault="007E19EC" w:rsidP="00F32C69">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lastRenderedPageBreak/>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 xml:space="preserve">в) указание на товарный знак (его словесное обозначение) (при наличии), знак обслуживания (при наличии), фирменное </w:t>
            </w:r>
            <w:r w:rsidRPr="00D922C4">
              <w:rPr>
                <w:bCs/>
                <w:sz w:val="22"/>
                <w:szCs w:val="22"/>
              </w:rPr>
              <w:lastRenderedPageBreak/>
              <w:t>наименование (при наличии), патенты (при наличии), полезные модели (при наличии), промышленные образцы (при наличии);</w:t>
            </w:r>
          </w:p>
          <w:p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7E19EC" w:rsidRDefault="007E19EC" w:rsidP="00056A7F">
            <w:pPr>
              <w:jc w:val="both"/>
              <w:rPr>
                <w:bCs/>
                <w:sz w:val="22"/>
                <w:szCs w:val="22"/>
              </w:rPr>
            </w:pPr>
          </w:p>
          <w:p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rsidR="00D922C4" w:rsidRPr="00D922C4" w:rsidRDefault="00D922C4" w:rsidP="00D922C4">
            <w:pPr>
              <w:jc w:val="both"/>
              <w:rPr>
                <w:bCs/>
                <w:sz w:val="22"/>
                <w:szCs w:val="22"/>
              </w:rPr>
            </w:pPr>
            <w:r w:rsidRPr="00D922C4">
              <w:rPr>
                <w:bCs/>
                <w:sz w:val="22"/>
                <w:szCs w:val="22"/>
              </w:rPr>
              <w:t>а) для юридического лица:</w:t>
            </w:r>
          </w:p>
          <w:p w:rsidR="00D922C4" w:rsidRPr="00D922C4" w:rsidRDefault="00D922C4" w:rsidP="00D922C4">
            <w:pPr>
              <w:jc w:val="both"/>
              <w:rPr>
                <w:bCs/>
                <w:sz w:val="22"/>
                <w:szCs w:val="22"/>
              </w:rPr>
            </w:pPr>
            <w:r w:rsidRPr="00D922C4">
              <w:rPr>
                <w:bCs/>
                <w:sz w:val="22"/>
                <w:szCs w:val="22"/>
              </w:rPr>
              <w:t>наименование;</w:t>
            </w:r>
          </w:p>
          <w:p w:rsidR="00D922C4" w:rsidRPr="00D922C4" w:rsidRDefault="00D922C4" w:rsidP="00D922C4">
            <w:pPr>
              <w:jc w:val="both"/>
              <w:rPr>
                <w:bCs/>
                <w:sz w:val="22"/>
                <w:szCs w:val="22"/>
              </w:rPr>
            </w:pPr>
            <w:r w:rsidRPr="00D922C4">
              <w:rPr>
                <w:bCs/>
                <w:sz w:val="22"/>
                <w:szCs w:val="22"/>
              </w:rPr>
              <w:t>фирменное наименование (при наличии);</w:t>
            </w:r>
          </w:p>
          <w:p w:rsidR="00D922C4" w:rsidRPr="00D922C4" w:rsidRDefault="00D922C4" w:rsidP="00D922C4">
            <w:pPr>
              <w:jc w:val="both"/>
              <w:rPr>
                <w:bCs/>
                <w:sz w:val="22"/>
                <w:szCs w:val="22"/>
              </w:rPr>
            </w:pPr>
            <w:r w:rsidRPr="00D922C4">
              <w:rPr>
                <w:bCs/>
                <w:sz w:val="22"/>
                <w:szCs w:val="22"/>
              </w:rPr>
              <w:t>место нахождения;</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фамилию, имя, отчество (при наличии);</w:t>
            </w:r>
          </w:p>
          <w:p w:rsidR="00D922C4" w:rsidRPr="00D922C4" w:rsidRDefault="00D922C4" w:rsidP="00D922C4">
            <w:pPr>
              <w:jc w:val="both"/>
              <w:rPr>
                <w:bCs/>
                <w:sz w:val="22"/>
                <w:szCs w:val="22"/>
              </w:rPr>
            </w:pPr>
            <w:r w:rsidRPr="00D922C4">
              <w:rPr>
                <w:bCs/>
                <w:sz w:val="22"/>
                <w:szCs w:val="22"/>
              </w:rPr>
              <w:t>паспортные данные;</w:t>
            </w:r>
          </w:p>
          <w:p w:rsidR="00D922C4" w:rsidRPr="00D922C4" w:rsidRDefault="00D922C4" w:rsidP="00D922C4">
            <w:pPr>
              <w:jc w:val="both"/>
              <w:rPr>
                <w:bCs/>
                <w:sz w:val="22"/>
                <w:szCs w:val="22"/>
              </w:rPr>
            </w:pPr>
            <w:r w:rsidRPr="00D922C4">
              <w:rPr>
                <w:bCs/>
                <w:sz w:val="22"/>
                <w:szCs w:val="22"/>
              </w:rPr>
              <w:t>место жительства;</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 xml:space="preserve">основной государственный регистрационный номер индивидуального предпринимателя (для российского </w:t>
            </w:r>
            <w:r w:rsidRPr="00D922C4">
              <w:rPr>
                <w:bCs/>
                <w:sz w:val="22"/>
                <w:szCs w:val="22"/>
              </w:rPr>
              <w:lastRenderedPageBreak/>
              <w:t>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922C4" w:rsidRPr="00D922C4" w:rsidRDefault="00D922C4" w:rsidP="00D922C4">
            <w:pPr>
              <w:jc w:val="both"/>
              <w:rPr>
                <w:bCs/>
                <w:sz w:val="22"/>
                <w:szCs w:val="22"/>
              </w:rPr>
            </w:pPr>
            <w:r w:rsidRPr="00D922C4">
              <w:rPr>
                <w:bCs/>
                <w:sz w:val="22"/>
                <w:szCs w:val="22"/>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xml:space="preserve">,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w:t>
            </w:r>
            <w:r w:rsidRPr="00D922C4">
              <w:rPr>
                <w:bCs/>
                <w:sz w:val="22"/>
                <w:szCs w:val="22"/>
              </w:rPr>
              <w:lastRenderedPageBreak/>
              <w:t>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 xml:space="preserve">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w:t>
            </w:r>
            <w:r w:rsidRPr="00BC43B8">
              <w:rPr>
                <w:sz w:val="22"/>
                <w:szCs w:val="22"/>
              </w:rPr>
              <w:lastRenderedPageBreak/>
              <w:t>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 xml:space="preserve">Ответственность за достоверность сведений о конкретных показателях используемого товара, товарном знаке (его </w:t>
            </w:r>
            <w:r w:rsidRPr="00BC43B8">
              <w:rPr>
                <w:sz w:val="22"/>
                <w:szCs w:val="22"/>
              </w:rPr>
              <w:lastRenderedPageBreak/>
              <w:t>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523" w:rsidRPr="00C45E08" w:rsidRDefault="007E19EC" w:rsidP="00DB6523">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9"/>
                  <w:rFonts w:eastAsia="Calibri"/>
                  <w:sz w:val="22"/>
                </w:rPr>
                <w:t>https://etp-region.ru</w:t>
              </w:r>
            </w:hyperlink>
            <w:r w:rsidR="00DB6523" w:rsidRPr="00612754">
              <w:rPr>
                <w:b/>
                <w:bCs/>
                <w:sz w:val="22"/>
                <w:szCs w:val="22"/>
              </w:rPr>
              <w:t>с «</w:t>
            </w:r>
            <w:r w:rsidR="00F32C69">
              <w:rPr>
                <w:b/>
                <w:bCs/>
                <w:sz w:val="22"/>
                <w:szCs w:val="22"/>
              </w:rPr>
              <w:t>0</w:t>
            </w:r>
            <w:r w:rsidR="00686CAF">
              <w:rPr>
                <w:b/>
                <w:bCs/>
                <w:sz w:val="22"/>
                <w:szCs w:val="22"/>
              </w:rPr>
              <w:t>8</w:t>
            </w:r>
            <w:r w:rsidR="00DB6523" w:rsidRPr="00612754">
              <w:rPr>
                <w:b/>
                <w:bCs/>
                <w:sz w:val="22"/>
                <w:szCs w:val="22"/>
              </w:rPr>
              <w:t xml:space="preserve">» </w:t>
            </w:r>
            <w:r w:rsidR="00DB6523">
              <w:rPr>
                <w:b/>
                <w:bCs/>
                <w:sz w:val="22"/>
                <w:szCs w:val="22"/>
              </w:rPr>
              <w:t xml:space="preserve">февраля 2022 </w:t>
            </w:r>
            <w:r w:rsidR="00DB6523" w:rsidRPr="00612754">
              <w:rPr>
                <w:b/>
                <w:bCs/>
                <w:sz w:val="22"/>
                <w:szCs w:val="22"/>
              </w:rPr>
              <w:t>г. по «</w:t>
            </w:r>
            <w:r w:rsidR="00DB6523">
              <w:rPr>
                <w:b/>
                <w:bCs/>
                <w:sz w:val="22"/>
                <w:szCs w:val="22"/>
              </w:rPr>
              <w:t>2</w:t>
            </w:r>
            <w:r w:rsidR="00F32C69">
              <w:rPr>
                <w:b/>
                <w:bCs/>
                <w:sz w:val="22"/>
                <w:szCs w:val="22"/>
              </w:rPr>
              <w:t>4</w:t>
            </w:r>
            <w:r w:rsidR="00DB6523" w:rsidRPr="00612754">
              <w:rPr>
                <w:b/>
                <w:bCs/>
                <w:sz w:val="22"/>
                <w:szCs w:val="22"/>
              </w:rPr>
              <w:t xml:space="preserve">» </w:t>
            </w:r>
            <w:r w:rsidR="00DB6523">
              <w:rPr>
                <w:b/>
                <w:bCs/>
                <w:sz w:val="22"/>
                <w:szCs w:val="22"/>
              </w:rPr>
              <w:t>февраля</w:t>
            </w:r>
            <w:r w:rsidR="00DB6523" w:rsidRPr="00612754">
              <w:rPr>
                <w:b/>
                <w:bCs/>
                <w:sz w:val="22"/>
                <w:szCs w:val="22"/>
              </w:rPr>
              <w:t xml:space="preserve"> 202</w:t>
            </w:r>
            <w:r w:rsidR="00DB6523">
              <w:rPr>
                <w:b/>
                <w:bCs/>
                <w:sz w:val="22"/>
                <w:szCs w:val="22"/>
              </w:rPr>
              <w:t xml:space="preserve">2 </w:t>
            </w:r>
            <w:r w:rsidR="00DB6523" w:rsidRPr="00612754">
              <w:rPr>
                <w:b/>
                <w:bCs/>
                <w:sz w:val="22"/>
                <w:szCs w:val="22"/>
              </w:rPr>
              <w:t>г. до 10 час. 00 мин. (местное время заказчика).</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sidR="00F32C69">
              <w:rPr>
                <w:b/>
                <w:i/>
                <w:sz w:val="22"/>
                <w:szCs w:val="22"/>
                <w:lang w:eastAsia="zh-CN"/>
              </w:rPr>
              <w:t>24</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по месту нахождения заказчика</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DB6523"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sidR="00F32C69">
              <w:rPr>
                <w:b/>
                <w:i/>
                <w:sz w:val="22"/>
                <w:szCs w:val="22"/>
                <w:lang w:eastAsia="zh-CN"/>
              </w:rPr>
              <w:t>25</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sidR="00F32C69">
              <w:rPr>
                <w:b/>
                <w:i/>
                <w:sz w:val="22"/>
                <w:szCs w:val="22"/>
                <w:lang w:eastAsia="zh-CN"/>
              </w:rPr>
              <w:t>28</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по месту нахождения заказчика</w:t>
            </w:r>
          </w:p>
          <w:p w:rsidR="00DB6523" w:rsidRPr="00E50E37"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DB6523" w:rsidRDefault="00F32C69" w:rsidP="00DB6523">
            <w:pPr>
              <w:widowControl w:val="0"/>
              <w:tabs>
                <w:tab w:val="left" w:pos="1276"/>
              </w:tabs>
              <w:jc w:val="both"/>
              <w:rPr>
                <w:b/>
                <w:i/>
                <w:sz w:val="22"/>
                <w:szCs w:val="22"/>
                <w:lang w:eastAsia="zh-CN"/>
              </w:rPr>
            </w:pPr>
            <w:r>
              <w:rPr>
                <w:b/>
                <w:i/>
                <w:sz w:val="22"/>
                <w:szCs w:val="22"/>
                <w:lang w:eastAsia="zh-CN"/>
              </w:rPr>
              <w:t>«28</w:t>
            </w:r>
            <w:r w:rsidR="00DB6523" w:rsidRPr="00E50E37">
              <w:rPr>
                <w:b/>
                <w:i/>
                <w:sz w:val="22"/>
                <w:szCs w:val="22"/>
                <w:lang w:eastAsia="zh-CN"/>
              </w:rPr>
              <w:t xml:space="preserve">» </w:t>
            </w:r>
            <w:r w:rsidR="00DB6523">
              <w:rPr>
                <w:b/>
                <w:i/>
                <w:sz w:val="22"/>
                <w:szCs w:val="22"/>
                <w:lang w:eastAsia="zh-CN"/>
              </w:rPr>
              <w:t>февраля</w:t>
            </w:r>
            <w:r w:rsidR="00DB6523" w:rsidRPr="00E50E37">
              <w:rPr>
                <w:b/>
                <w:i/>
                <w:sz w:val="22"/>
                <w:szCs w:val="22"/>
                <w:lang w:eastAsia="zh-CN"/>
              </w:rPr>
              <w:t xml:space="preserve"> 202</w:t>
            </w:r>
            <w:r w:rsidR="00DB6523">
              <w:rPr>
                <w:b/>
                <w:i/>
                <w:sz w:val="22"/>
                <w:szCs w:val="22"/>
                <w:lang w:eastAsia="zh-CN"/>
              </w:rPr>
              <w:t>2</w:t>
            </w:r>
            <w:r w:rsidR="00DB6523" w:rsidRPr="00E50E37">
              <w:rPr>
                <w:b/>
                <w:i/>
                <w:sz w:val="22"/>
                <w:szCs w:val="22"/>
                <w:lang w:eastAsia="zh-CN"/>
              </w:rPr>
              <w:t xml:space="preserve"> г. по месту нахождения заказчика</w:t>
            </w:r>
          </w:p>
          <w:p w:rsidR="007E19EC" w:rsidRPr="00BC43B8" w:rsidRDefault="007E19EC" w:rsidP="00DB6523">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 xml:space="preserve">3) наличия в указанных документах недостоверной информации об участнике закупке и (или) о предлагаемых им </w:t>
            </w:r>
            <w:r w:rsidRPr="00BC43B8">
              <w:rPr>
                <w:sz w:val="22"/>
                <w:szCs w:val="22"/>
              </w:rPr>
              <w:lastRenderedPageBreak/>
              <w:t>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856" w:rsidRPr="00E50E37" w:rsidRDefault="008B5856" w:rsidP="008B5856">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7E19EC" w:rsidRPr="008B5856" w:rsidRDefault="00DB6523" w:rsidP="00DB6523">
            <w:pPr>
              <w:widowControl w:val="0"/>
              <w:tabs>
                <w:tab w:val="left" w:pos="1276"/>
              </w:tabs>
              <w:ind w:left="93" w:right="70"/>
              <w:jc w:val="both"/>
              <w:rPr>
                <w:b/>
                <w:i/>
                <w:sz w:val="22"/>
                <w:szCs w:val="22"/>
                <w:lang w:eastAsia="zh-CN"/>
              </w:rPr>
            </w:pPr>
            <w:r w:rsidRPr="00E50E37">
              <w:rPr>
                <w:b/>
                <w:i/>
                <w:sz w:val="22"/>
                <w:szCs w:val="22"/>
                <w:lang w:eastAsia="zh-CN"/>
              </w:rPr>
              <w:t>«</w:t>
            </w:r>
            <w:r w:rsidR="00F32C69">
              <w:rPr>
                <w:b/>
                <w:i/>
                <w:sz w:val="22"/>
                <w:szCs w:val="22"/>
                <w:lang w:eastAsia="zh-CN"/>
              </w:rPr>
              <w:t>25</w:t>
            </w:r>
            <w:r w:rsidRPr="00E50E37">
              <w:rPr>
                <w:b/>
                <w:i/>
                <w:sz w:val="22"/>
                <w:szCs w:val="22"/>
                <w:lang w:eastAsia="zh-CN"/>
              </w:rPr>
              <w:t xml:space="preserve">» </w:t>
            </w:r>
            <w:r>
              <w:rPr>
                <w:b/>
                <w:i/>
                <w:sz w:val="22"/>
                <w:szCs w:val="22"/>
                <w:lang w:eastAsia="zh-CN"/>
              </w:rPr>
              <w:t>февраля</w:t>
            </w:r>
            <w:r w:rsidRPr="00E50E37">
              <w:rPr>
                <w:b/>
                <w:i/>
                <w:sz w:val="22"/>
                <w:szCs w:val="22"/>
                <w:lang w:eastAsia="zh-CN"/>
              </w:rPr>
              <w:t xml:space="preserve"> 202</w:t>
            </w:r>
            <w:r>
              <w:rPr>
                <w:b/>
                <w:i/>
                <w:sz w:val="22"/>
                <w:szCs w:val="22"/>
                <w:lang w:eastAsia="zh-CN"/>
              </w:rPr>
              <w:t>2</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 xml:space="preserve">4) участник аукциона в электронной форме не вправе подать предложение о цене договора, которое ниже, чем текущее </w:t>
            </w:r>
            <w:r w:rsidRPr="00BC43B8">
              <w:rPr>
                <w:sz w:val="22"/>
                <w:szCs w:val="22"/>
              </w:rPr>
              <w:lastRenderedPageBreak/>
              <w:t>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Pr="00BC43B8">
              <w:rPr>
                <w:sz w:val="22"/>
                <w:szCs w:val="22"/>
              </w:rPr>
              <w:lastRenderedPageBreak/>
              <w:t>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BC43B8">
              <w:rPr>
                <w:color w:val="000000"/>
                <w:sz w:val="22"/>
                <w:szCs w:val="22"/>
              </w:rPr>
              <w:lastRenderedPageBreak/>
              <w:t>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jc w:val="both"/>
              <w:rPr>
                <w:color w:val="000000"/>
                <w:sz w:val="22"/>
                <w:szCs w:val="22"/>
              </w:rPr>
            </w:pPr>
            <w:r w:rsidRPr="00BC43B8">
              <w:rPr>
                <w:color w:val="000000"/>
                <w:sz w:val="22"/>
                <w:szCs w:val="22"/>
              </w:rPr>
              <w:lastRenderedPageBreak/>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22DC" w:rsidRPr="00BC43B8" w:rsidRDefault="009722DC" w:rsidP="004570D4">
            <w:pPr>
              <w:jc w:val="both"/>
              <w:rPr>
                <w:color w:val="000000"/>
                <w:sz w:val="22"/>
                <w:szCs w:val="22"/>
              </w:rPr>
            </w:pPr>
            <w:r w:rsidRPr="00BC43B8">
              <w:rPr>
                <w:color w:val="000000"/>
                <w:sz w:val="22"/>
                <w:szCs w:val="22"/>
              </w:rPr>
              <w:t xml:space="preserve">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w:t>
            </w:r>
            <w:r w:rsidRPr="00BC43B8">
              <w:rPr>
                <w:color w:val="000000"/>
                <w:sz w:val="22"/>
                <w:szCs w:val="22"/>
              </w:rPr>
              <w:lastRenderedPageBreak/>
              <w:t>соответствии с Постановлением Правительства Российской Федерации от 16 сентября 2016 № 925 установлено:</w:t>
            </w:r>
          </w:p>
          <w:p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722DC" w:rsidRPr="00BC43B8" w:rsidRDefault="009722DC" w:rsidP="004570D4">
            <w:pPr>
              <w:jc w:val="both"/>
              <w:rPr>
                <w:color w:val="000000"/>
                <w:sz w:val="22"/>
                <w:szCs w:val="22"/>
              </w:rPr>
            </w:pPr>
            <w:r w:rsidRPr="00BC43B8">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22DC" w:rsidRPr="00BC43B8" w:rsidRDefault="009722DC" w:rsidP="004570D4">
            <w:pPr>
              <w:jc w:val="both"/>
              <w:rPr>
                <w:color w:val="000000"/>
                <w:sz w:val="22"/>
                <w:szCs w:val="22"/>
              </w:rPr>
            </w:pPr>
            <w:r w:rsidRPr="00BC43B8">
              <w:rPr>
                <w:color w:val="000000"/>
                <w:sz w:val="22"/>
                <w:szCs w:val="22"/>
              </w:rPr>
              <w:t xml:space="preserve">В случае, если победителем аукциона представлена заявка, </w:t>
            </w:r>
            <w:r w:rsidRPr="00BC43B8">
              <w:rPr>
                <w:color w:val="000000"/>
                <w:sz w:val="22"/>
                <w:szCs w:val="22"/>
              </w:rPr>
              <w:lastRenderedPageBreak/>
              <w:t>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9722DC" w:rsidRPr="00BC43B8" w:rsidRDefault="009722DC" w:rsidP="004570D4">
            <w:pPr>
              <w:widowControl w:val="0"/>
              <w:jc w:val="both"/>
              <w:rPr>
                <w:sz w:val="22"/>
                <w:szCs w:val="22"/>
              </w:rPr>
            </w:pPr>
            <w:r w:rsidRPr="00BC43B8">
              <w:rPr>
                <w:sz w:val="22"/>
                <w:szCs w:val="22"/>
              </w:rPr>
              <w:t xml:space="preserve">Изменения, вносимые в извещение о проведении аукциона в </w:t>
            </w:r>
            <w:r w:rsidRPr="00BC43B8">
              <w:rPr>
                <w:sz w:val="22"/>
                <w:szCs w:val="22"/>
              </w:rPr>
              <w:lastRenderedPageBreak/>
              <w:t>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BC43B8">
      <w:bookmarkStart w:id="8" w:name="_Toc420511973"/>
      <w:bookmarkEnd w:id="8"/>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sidR="00D46806">
        <w:rPr>
          <w:rFonts w:eastAsia="Calibri"/>
          <w:bCs/>
        </w:rPr>
        <w:t>выполнение работ (</w:t>
      </w:r>
      <w:r>
        <w:rPr>
          <w:rFonts w:eastAsia="Calibri"/>
          <w:bCs/>
        </w:rPr>
        <w:t>поставку товара,</w:t>
      </w:r>
      <w:r w:rsidR="00D46806">
        <w:rPr>
          <w:rFonts w:eastAsia="Calibri"/>
          <w:bCs/>
        </w:rPr>
        <w:t xml:space="preserve"> оказание услуг)</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bookmarkStart w:id="9" w:name="_GoBack"/>
      <w:bookmarkEnd w:id="9"/>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tblPr>
      <w:tblGrid>
        <w:gridCol w:w="638"/>
        <w:gridCol w:w="5576"/>
        <w:gridCol w:w="4235"/>
      </w:tblGrid>
      <w:tr w:rsidR="00B10766" w:rsidRPr="00AE2654"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9722DC">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ИНН, КПП организации (для юр.лица)</w:t>
            </w:r>
          </w:p>
          <w:p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Юридический адрес (страна, адрес) (для юр.лица)</w:t>
            </w:r>
          </w:p>
          <w:p w:rsidR="00B10766" w:rsidRPr="00AE2654" w:rsidRDefault="00B10766" w:rsidP="009722DC">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9722DC" w:rsidRPr="00BC43B8" w:rsidRDefault="009722DC" w:rsidP="009722DC">
      <w:pPr>
        <w:jc w:val="both"/>
        <w:rPr>
          <w:sz w:val="22"/>
          <w:szCs w:val="22"/>
        </w:rPr>
      </w:pPr>
    </w:p>
    <w:p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722DC" w:rsidRPr="0088551F" w:rsidRDefault="009722DC" w:rsidP="009722DC">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22DC" w:rsidRPr="0088551F" w:rsidRDefault="009722DC" w:rsidP="009722DC">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rsidR="00F741AB" w:rsidRDefault="00F741AB" w:rsidP="00F741AB">
      <w:pPr>
        <w:widowControl w:val="0"/>
        <w:tabs>
          <w:tab w:val="left" w:pos="851"/>
        </w:tabs>
        <w:autoSpaceDE w:val="0"/>
        <w:autoSpaceDN w:val="0"/>
        <w:adjustRightInd w:val="0"/>
        <w:jc w:val="both"/>
        <w:rPr>
          <w:b/>
        </w:rPr>
      </w:pP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Default="00B10766" w:rsidP="00BC43B8"/>
    <w:p w:rsidR="004535B6" w:rsidRDefault="004535B6" w:rsidP="00BC43B8"/>
    <w:p w:rsidR="004535B6" w:rsidRDefault="004535B6" w:rsidP="00BC43B8"/>
    <w:p w:rsidR="004535B6" w:rsidRDefault="004535B6" w:rsidP="00BC43B8"/>
    <w:p w:rsidR="004535B6" w:rsidRDefault="004535B6" w:rsidP="00BC43B8"/>
    <w:p w:rsidR="009218F2" w:rsidRDefault="009218F2" w:rsidP="009218F2">
      <w:pPr>
        <w:autoSpaceDE w:val="0"/>
        <w:jc w:val="right"/>
        <w:rPr>
          <w:b/>
        </w:rPr>
      </w:pPr>
      <w:bookmarkStart w:id="10" w:name="_Ref313304436"/>
      <w:bookmarkStart w:id="11" w:name="_Toc314507388"/>
      <w:bookmarkStart w:id="12" w:name="_Toc322209429"/>
      <w:r w:rsidRPr="007F0D05">
        <w:rPr>
          <w:b/>
        </w:rPr>
        <w:lastRenderedPageBreak/>
        <w:t>форма</w:t>
      </w:r>
      <w:r>
        <w:rPr>
          <w:b/>
        </w:rPr>
        <w:t xml:space="preserve"> № 3</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«___»______________  20____ г.  ____________________ (__________________)</w:t>
      </w:r>
    </w:p>
    <w:p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3B6C9D" w:rsidRDefault="003B6C9D" w:rsidP="009218F2">
      <w:pPr>
        <w:autoSpaceDE w:val="0"/>
        <w:jc w:val="right"/>
        <w:rPr>
          <w:b/>
        </w:rPr>
      </w:pPr>
    </w:p>
    <w:p w:rsidR="009218F2" w:rsidRPr="007F0D05" w:rsidRDefault="009218F2" w:rsidP="009218F2">
      <w:pPr>
        <w:autoSpaceDE w:val="0"/>
        <w:jc w:val="right"/>
        <w:rPr>
          <w:b/>
        </w:rPr>
      </w:pPr>
      <w:r w:rsidRPr="007F0D05">
        <w:rPr>
          <w:b/>
        </w:rPr>
        <w:lastRenderedPageBreak/>
        <w:t>форма</w:t>
      </w:r>
      <w:r>
        <w:rPr>
          <w:b/>
        </w:rPr>
        <w:t xml:space="preserve"> № 4</w:t>
      </w:r>
    </w:p>
    <w:p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10"/>
      <w:bookmarkEnd w:id="11"/>
      <w:r w:rsidRPr="00802906">
        <w:rPr>
          <w:szCs w:val="26"/>
        </w:rPr>
        <w:t xml:space="preserve"> о закупке</w:t>
      </w:r>
      <w:bookmarkEnd w:id="12"/>
    </w:p>
    <w:p w:rsidR="004535B6" w:rsidRPr="00EA3095" w:rsidRDefault="004535B6" w:rsidP="004535B6"/>
    <w:p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rsidR="004535B6" w:rsidRPr="00EA3095" w:rsidRDefault="004535B6" w:rsidP="004535B6">
      <w:pPr>
        <w:pStyle w:val="af5"/>
        <w:jc w:val="right"/>
        <w:rPr>
          <w:spacing w:val="-5"/>
          <w:sz w:val="22"/>
          <w:szCs w:val="22"/>
        </w:rPr>
      </w:pPr>
    </w:p>
    <w:p w:rsidR="004535B6" w:rsidRPr="00EA3095" w:rsidRDefault="004535B6" w:rsidP="004535B6">
      <w:pPr>
        <w:ind w:left="5580"/>
      </w:pPr>
    </w:p>
    <w:p w:rsidR="004535B6" w:rsidRPr="00EA3095" w:rsidRDefault="004535B6" w:rsidP="004535B6">
      <w:pPr>
        <w:ind w:firstLine="709"/>
        <w:jc w:val="right"/>
        <w:rPr>
          <w:b/>
        </w:rPr>
      </w:pPr>
      <w:r w:rsidRPr="00EA3095">
        <w:rPr>
          <w:b/>
        </w:rPr>
        <w:t>ЗАКАЗЧИКУ _______________________________________________________________</w:t>
      </w:r>
    </w:p>
    <w:p w:rsidR="004535B6" w:rsidRPr="00EA3095" w:rsidRDefault="004535B6" w:rsidP="004535B6">
      <w:pPr>
        <w:ind w:firstLine="709"/>
        <w:jc w:val="center"/>
        <w:rPr>
          <w:i/>
        </w:rPr>
      </w:pPr>
      <w:r w:rsidRPr="00EA3095">
        <w:rPr>
          <w:i/>
        </w:rPr>
        <w:t>(указать полное наименование Заказчика)</w:t>
      </w:r>
    </w:p>
    <w:p w:rsidR="004535B6" w:rsidRPr="00EA3095" w:rsidRDefault="004535B6" w:rsidP="004535B6">
      <w:pPr>
        <w:pStyle w:val="af5"/>
        <w:rPr>
          <w:sz w:val="22"/>
          <w:szCs w:val="22"/>
        </w:rPr>
      </w:pPr>
    </w:p>
    <w:p w:rsidR="004535B6" w:rsidRDefault="004535B6" w:rsidP="004535B6">
      <w:pPr>
        <w:pStyle w:val="af5"/>
        <w:rPr>
          <w:spacing w:val="-1"/>
          <w:sz w:val="22"/>
          <w:szCs w:val="22"/>
        </w:rPr>
      </w:pPr>
    </w:p>
    <w:p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tblPr>
      <w:tblGrid>
        <w:gridCol w:w="605"/>
        <w:gridCol w:w="1997"/>
        <w:gridCol w:w="2918"/>
        <w:gridCol w:w="4119"/>
      </w:tblGrid>
      <w:tr w:rsidR="004535B6" w:rsidRPr="00EA3095"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r w:rsidR="004535B6" w:rsidRPr="00EA3095"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bl>
    <w:p w:rsidR="004535B6" w:rsidRPr="00EA3095" w:rsidRDefault="004535B6" w:rsidP="004535B6">
      <w:pPr>
        <w:pStyle w:val="af5"/>
        <w:rPr>
          <w:spacing w:val="-1"/>
          <w:sz w:val="22"/>
          <w:szCs w:val="22"/>
        </w:rPr>
      </w:pPr>
    </w:p>
    <w:p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rsidR="004535B6" w:rsidRPr="00EA3095" w:rsidRDefault="004535B6" w:rsidP="004535B6">
      <w:pPr>
        <w:pStyle w:val="af5"/>
        <w:rPr>
          <w:spacing w:val="-1"/>
          <w:sz w:val="22"/>
          <w:szCs w:val="22"/>
        </w:rPr>
      </w:pPr>
    </w:p>
    <w:p w:rsidR="004535B6" w:rsidRPr="00EA3095" w:rsidRDefault="004535B6" w:rsidP="004535B6">
      <w:pPr>
        <w:ind w:firstLine="709"/>
        <w:rPr>
          <w:b/>
        </w:rPr>
      </w:pPr>
      <w:r w:rsidRPr="00EA3095">
        <w:rPr>
          <w:b/>
        </w:rPr>
        <w:t xml:space="preserve">Руководитель участника закупки </w:t>
      </w:r>
    </w:p>
    <w:p w:rsidR="004535B6" w:rsidRPr="00EA3095" w:rsidRDefault="004535B6" w:rsidP="004535B6">
      <w:pPr>
        <w:ind w:firstLine="709"/>
      </w:pPr>
      <w:r w:rsidRPr="00EA3095">
        <w:t>(или уполномоченный представитель)</w:t>
      </w:r>
      <w:r w:rsidRPr="00EA3095">
        <w:tab/>
        <w:t>______________ (Фамилия И.О.)</w:t>
      </w:r>
    </w:p>
    <w:p w:rsidR="004535B6" w:rsidRPr="00EA3095" w:rsidRDefault="004535B6" w:rsidP="004535B6">
      <w:pPr>
        <w:ind w:left="6381" w:firstLine="709"/>
        <w:rPr>
          <w:vertAlign w:val="superscript"/>
        </w:rPr>
      </w:pPr>
      <w:r w:rsidRPr="00EA3095">
        <w:rPr>
          <w:vertAlign w:val="superscript"/>
        </w:rPr>
        <w:t>(подпись)</w:t>
      </w:r>
    </w:p>
    <w:p w:rsidR="004535B6" w:rsidRPr="00EA3095" w:rsidRDefault="004535B6" w:rsidP="004535B6">
      <w:pPr>
        <w:ind w:firstLine="720"/>
        <w:rPr>
          <w:vertAlign w:val="superscript"/>
        </w:rPr>
      </w:pPr>
      <w:r w:rsidRPr="00EA3095">
        <w:rPr>
          <w:vertAlign w:val="superscript"/>
        </w:rPr>
        <w:t>М.П.</w:t>
      </w:r>
    </w:p>
    <w:p w:rsidR="004535B6" w:rsidRPr="00EA3095" w:rsidRDefault="004535B6" w:rsidP="004535B6"/>
    <w:p w:rsidR="004535B6" w:rsidRPr="00EA3095" w:rsidRDefault="004535B6" w:rsidP="004535B6">
      <w:pPr>
        <w:pStyle w:val="1"/>
        <w:tabs>
          <w:tab w:val="num" w:pos="2040"/>
        </w:tabs>
        <w:jc w:val="both"/>
        <w:rPr>
          <w:sz w:val="22"/>
          <w:szCs w:val="22"/>
          <w:vertAlign w:val="superscript"/>
        </w:rPr>
      </w:pPr>
    </w:p>
    <w:p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A2" w:rsidRDefault="002472A2">
      <w:r>
        <w:separator/>
      </w:r>
    </w:p>
  </w:endnote>
  <w:endnote w:type="continuationSeparator" w:id="1">
    <w:p w:rsidR="002472A2" w:rsidRDefault="00247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A2" w:rsidRDefault="002472A2">
      <w:r>
        <w:separator/>
      </w:r>
    </w:p>
  </w:footnote>
  <w:footnote w:type="continuationSeparator" w:id="1">
    <w:p w:rsidR="002472A2" w:rsidRDefault="00247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1F0968"/>
    <w:rsid w:val="002023F8"/>
    <w:rsid w:val="002163D5"/>
    <w:rsid w:val="00217B86"/>
    <w:rsid w:val="00227B99"/>
    <w:rsid w:val="0023232A"/>
    <w:rsid w:val="002472A2"/>
    <w:rsid w:val="00250E87"/>
    <w:rsid w:val="00252C02"/>
    <w:rsid w:val="002532F2"/>
    <w:rsid w:val="002562B6"/>
    <w:rsid w:val="002739FF"/>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0228"/>
    <w:rsid w:val="004F5618"/>
    <w:rsid w:val="0050158D"/>
    <w:rsid w:val="00511ECD"/>
    <w:rsid w:val="005140C2"/>
    <w:rsid w:val="00532E0B"/>
    <w:rsid w:val="005350A4"/>
    <w:rsid w:val="00544FB0"/>
    <w:rsid w:val="005501F7"/>
    <w:rsid w:val="00561B0E"/>
    <w:rsid w:val="00570911"/>
    <w:rsid w:val="005750E0"/>
    <w:rsid w:val="005821A7"/>
    <w:rsid w:val="00594FAC"/>
    <w:rsid w:val="00595AAC"/>
    <w:rsid w:val="00597FC2"/>
    <w:rsid w:val="005A1167"/>
    <w:rsid w:val="005A29B1"/>
    <w:rsid w:val="005A7B7E"/>
    <w:rsid w:val="005B5CB3"/>
    <w:rsid w:val="005B7723"/>
    <w:rsid w:val="005C2983"/>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86CAF"/>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0C9D"/>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51F"/>
    <w:rsid w:val="00885853"/>
    <w:rsid w:val="00895886"/>
    <w:rsid w:val="008A145C"/>
    <w:rsid w:val="008A2636"/>
    <w:rsid w:val="008B5856"/>
    <w:rsid w:val="008B6931"/>
    <w:rsid w:val="008C2155"/>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14F3"/>
    <w:rsid w:val="00BC1FAB"/>
    <w:rsid w:val="00BC27F1"/>
    <w:rsid w:val="00BC351F"/>
    <w:rsid w:val="00BC3D89"/>
    <w:rsid w:val="00BC43B8"/>
    <w:rsid w:val="00BC4801"/>
    <w:rsid w:val="00BC73B7"/>
    <w:rsid w:val="00BD1837"/>
    <w:rsid w:val="00BD468D"/>
    <w:rsid w:val="00BE2C08"/>
    <w:rsid w:val="00BE5F03"/>
    <w:rsid w:val="00BE7A29"/>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66A62"/>
    <w:rsid w:val="00C75F1F"/>
    <w:rsid w:val="00C804EB"/>
    <w:rsid w:val="00C8058C"/>
    <w:rsid w:val="00C82B0A"/>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46806"/>
    <w:rsid w:val="00D5402F"/>
    <w:rsid w:val="00D619FF"/>
    <w:rsid w:val="00D922C4"/>
    <w:rsid w:val="00D93A40"/>
    <w:rsid w:val="00D94E8C"/>
    <w:rsid w:val="00DB0790"/>
    <w:rsid w:val="00DB2CF2"/>
    <w:rsid w:val="00DB4072"/>
    <w:rsid w:val="00DB6523"/>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0BF2"/>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2C69"/>
    <w:rsid w:val="00F35D0A"/>
    <w:rsid w:val="00F410D8"/>
    <w:rsid w:val="00F44703"/>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5E041-489E-43DF-8BE6-F2DB5E2B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9870</Words>
  <Characters>56263</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Главбух</cp:lastModifiedBy>
  <cp:revision>16</cp:revision>
  <cp:lastPrinted>2020-08-12T12:18:00Z</cp:lastPrinted>
  <dcterms:created xsi:type="dcterms:W3CDTF">2020-08-27T13:45:00Z</dcterms:created>
  <dcterms:modified xsi:type="dcterms:W3CDTF">2022-02-08T06:20:00Z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