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E3A1" w14:textId="77777777" w:rsidR="00C77C18" w:rsidRDefault="00C77C18" w:rsidP="00C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C18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14:paraId="7CF65EAB" w14:textId="77777777" w:rsidR="00C77C18" w:rsidRPr="00C77C18" w:rsidRDefault="00C77C18" w:rsidP="00C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C18">
        <w:rPr>
          <w:rFonts w:ascii="Times New Roman" w:eastAsia="Times New Roman" w:hAnsi="Times New Roman" w:cs="Times New Roman"/>
          <w:b/>
          <w:lang w:eastAsia="ru-RU"/>
        </w:rPr>
        <w:t xml:space="preserve">о проведении </w:t>
      </w:r>
      <w:r w:rsidRPr="00C77C1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запроса котировок</w:t>
      </w:r>
    </w:p>
    <w:p w14:paraId="129AB565" w14:textId="55D32D56" w:rsidR="00C77C18" w:rsidRPr="00C77C18" w:rsidRDefault="00C77C18" w:rsidP="00C7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C18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9522E8">
        <w:rPr>
          <w:rFonts w:ascii="Times New Roman" w:eastAsia="Times New Roman" w:hAnsi="Times New Roman" w:cs="Times New Roman"/>
          <w:b/>
          <w:lang w:eastAsia="ru-RU"/>
        </w:rPr>
        <w:t>выполнение работ по устройству площадки для устройства уличных спортивных тренажеров (поставка и монтаж уличных спортивных тренажеров</w:t>
      </w:r>
      <w:r w:rsidR="00F448F9" w:rsidRPr="00F448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48F9">
        <w:rPr>
          <w:rFonts w:ascii="Times New Roman" w:eastAsia="Times New Roman" w:hAnsi="Times New Roman" w:cs="Times New Roman"/>
          <w:b/>
          <w:lang w:eastAsia="ru-RU"/>
        </w:rPr>
        <w:t>в пст. Поляна</w:t>
      </w:r>
      <w:r w:rsidR="009522E8">
        <w:rPr>
          <w:rFonts w:ascii="Times New Roman" w:eastAsia="Times New Roman" w:hAnsi="Times New Roman" w:cs="Times New Roman"/>
          <w:b/>
          <w:lang w:eastAsia="ru-RU"/>
        </w:rPr>
        <w:t>)</w:t>
      </w:r>
      <w:r w:rsidR="00246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42D8D20" w14:textId="77777777" w:rsidR="00303FAC" w:rsidRPr="006C3F38" w:rsidRDefault="00303FAC" w:rsidP="006C3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3039"/>
        <w:gridCol w:w="6396"/>
      </w:tblGrid>
      <w:tr w:rsidR="00673B09" w:rsidRPr="00524660" w14:paraId="3C112A4E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8BEF9F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748F49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A9CC57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673B09" w:rsidRPr="00524660" w14:paraId="2AEEFFC8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C02F" w14:textId="77777777" w:rsidR="00FA0989" w:rsidRPr="00B32C75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9C0B6" w14:textId="77777777" w:rsidR="00FA0989" w:rsidRPr="00B32C75" w:rsidRDefault="00FA098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Способ осуществления </w:t>
            </w:r>
            <w:r w:rsidR="00B32C75"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2E6D9" w14:textId="7B15E720" w:rsidR="00FA0989" w:rsidRPr="00B32C75" w:rsidRDefault="00B32C75" w:rsidP="00B32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Запрос котировок</w:t>
            </w:r>
            <w:r w:rsid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B32C75" w:rsidRPr="00524660" w14:paraId="7AEBE29E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75354" w14:textId="77777777" w:rsidR="00B32C75" w:rsidRPr="00B32C75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495C8" w14:textId="77777777" w:rsidR="00B32C75" w:rsidRPr="00B32C75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2F273" w14:textId="54CF4C86" w:rsidR="00B32C75" w:rsidRPr="00B32C75" w:rsidRDefault="00246E20" w:rsidP="00B32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субсидия на иные цели</w:t>
            </w:r>
            <w:r w:rsidR="00B32C7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73B09" w:rsidRPr="00524660" w14:paraId="1A1036A8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1B41F" w14:textId="77777777" w:rsidR="00FA0989" w:rsidRPr="00524660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7D251" w14:textId="77777777" w:rsidR="00FA0989" w:rsidRPr="00271397" w:rsidRDefault="00FA098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C4B16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Наименование:</w:t>
            </w:r>
          </w:p>
          <w:p w14:paraId="6AB966C7" w14:textId="77777777" w:rsid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Муниципальное  автономное  физкультурно-оздоровительное   учреждение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«Спортивный   комплекс  «Химик».</w:t>
            </w:r>
          </w:p>
          <w:p w14:paraId="65A8CDB0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17E7BA46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Место нахождения:</w:t>
            </w:r>
          </w:p>
          <w:p w14:paraId="2FE1C109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169500  Российская  Федерация, Республика  Коми, </w:t>
            </w:r>
          </w:p>
          <w:p w14:paraId="02B73331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 Сосногорск,  ул. Гоголя,д.10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14:paraId="493385C3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589F7510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Почтовый адрес</w:t>
            </w:r>
            <w:r w:rsidR="005319CB"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14:paraId="785AD4E1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169500  Российская  Федерация, Республика  Коми, </w:t>
            </w:r>
          </w:p>
          <w:p w14:paraId="4FA5B56C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 Сосногорск,  ул. Гоголя,д.10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32DC97A" w14:textId="77777777" w:rsidR="006B5C7F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2E970D9C" w14:textId="77777777" w:rsidR="005319CB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Адрес электронной почты:</w:t>
            </w:r>
            <w:r w:rsidRPr="005319CB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73F1EDAA" w14:textId="77777777" w:rsidR="006B5C7F" w:rsidRDefault="00D93015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hyperlink r:id="rId6" w:history="1">
              <w:r w:rsidR="006B5C7F" w:rsidRPr="008D5F68">
                <w:rPr>
                  <w:rStyle w:val="a7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himik67@rambler.ru</w:t>
              </w:r>
            </w:hyperlink>
          </w:p>
          <w:p w14:paraId="2337845A" w14:textId="77777777" w:rsidR="005319CB" w:rsidRDefault="005319CB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23DD3242" w14:textId="77777777" w:rsidR="005319CB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Тел/факс:</w:t>
            </w:r>
          </w:p>
          <w:p w14:paraId="77DDE557" w14:textId="77777777" w:rsidR="006B5C7F" w:rsidRPr="005319CB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5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(82149) 6-86-97</w:t>
            </w:r>
          </w:p>
          <w:p w14:paraId="16B432DE" w14:textId="77777777" w:rsidR="00FA0989" w:rsidRPr="006B5C7F" w:rsidRDefault="006B5C7F" w:rsidP="005319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Терентьев Андрей Алексеевич</w:t>
            </w:r>
          </w:p>
        </w:tc>
      </w:tr>
      <w:tr w:rsidR="00673B09" w:rsidRPr="00524660" w14:paraId="40AA9A91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D93DC" w14:textId="77777777" w:rsidR="00FA0989" w:rsidRPr="00524660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E4E0A" w14:textId="7B9136C8" w:rsidR="00FA0989" w:rsidRPr="00271397" w:rsidRDefault="00754E86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Предмет договора с указанием количества поставляемого товара, объема </w:t>
            </w:r>
            <w:r w:rsidR="008F4732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выполняемой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работы, оказываемой услуги, а также краткое описание предмета закупки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4BDDC" w14:textId="77777777" w:rsidR="00FA0989" w:rsidRPr="005319CB" w:rsidRDefault="006B5C7F" w:rsidP="006B5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319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Предмет договор:</w:t>
            </w:r>
          </w:p>
          <w:p w14:paraId="14D512E3" w14:textId="167C54A5" w:rsidR="005319CB" w:rsidRPr="006B5C7F" w:rsidRDefault="00246E20" w:rsidP="006B5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246E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ы</w:t>
            </w:r>
            <w:r w:rsidRPr="00246E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устройству площадки для устройства уличных спортивных тренажеров (поставка и монтаж уличных спортивных тренажеров) в пст. Поляна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14:paraId="4D4257E5" w14:textId="3AC7ED26" w:rsidR="006B5C7F" w:rsidRPr="006B5C7F" w:rsidRDefault="006B5C7F" w:rsidP="006B5C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7F798B9" w14:textId="386EF91E" w:rsidR="006B5C7F" w:rsidRPr="00AB399F" w:rsidRDefault="00271397" w:rsidP="002713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объемы, технические характерис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тики работ (товаров) указаны в </w:t>
            </w:r>
            <w:r w:rsidRPr="002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Техническом задании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</w:t>
            </w:r>
            <w:r w:rsidRP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апрос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Pr="002713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673B09" w:rsidRPr="00524660" w14:paraId="7AFA26AF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890B4" w14:textId="77777777" w:rsidR="00E60924" w:rsidRPr="00524660" w:rsidRDefault="00B32C75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D4360A" w14:textId="77777777" w:rsidR="00E60924" w:rsidRPr="00271397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Требования к качеству, техническим характеристикам товара, работы, </w:t>
            </w:r>
            <w:r w:rsidR="005D64A1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услуги, к их безопасности, 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функциональным характеристикам (потре</w:t>
            </w:r>
            <w:r w:rsidR="005D64A1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бительским свойствам) товара, 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размера</w:t>
            </w:r>
            <w:r w:rsidR="005D64A1"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м, упаковке, отгрузке товара, результатам работы, установленные Заказчиком и предусмотренные техническими регламентами в соответствии с законодательством РФ о техническом регулировании, документами,</w:t>
            </w: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70990E" w14:textId="77777777" w:rsidR="00072A9D" w:rsidRDefault="00E60924" w:rsidP="00072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Требования к качеству:</w:t>
            </w:r>
          </w:p>
          <w:p w14:paraId="11C984D9" w14:textId="09A71D60" w:rsidR="00AB399F" w:rsidRPr="00072A9D" w:rsidRDefault="00072A9D" w:rsidP="00072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Требования к качеству,</w:t>
            </w:r>
            <w:r w:rsidRPr="00072A9D">
              <w:t xml:space="preserve"> </w:t>
            </w: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организации проведения работ, к их безопасности, результатам работы, установленные Заказчиком и предусмотренные техническими регламентами в соответствии с законодательством РФ о техническом регулировании, документами, и иные требования, связанные с определением соответствия выполняемой работы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указаны </w:t>
            </w: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Техническом задании запроса котировок в электронной форме</w:t>
            </w:r>
          </w:p>
        </w:tc>
      </w:tr>
      <w:tr w:rsidR="00CE1EFF" w:rsidRPr="00524660" w14:paraId="6989B46F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B0E11" w14:textId="77777777" w:rsidR="00CE1EFF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7A42D" w14:textId="77777777" w:rsidR="00CE1EFF" w:rsidRPr="005D64A1" w:rsidRDefault="00CE1EFF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231CE" w14:textId="71B50F8D" w:rsidR="00CE1EFF" w:rsidRDefault="00271397" w:rsidP="00AB39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691 550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  <w:r w:rsidR="00CE1EFF" w:rsidRP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Шестьсот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девяносто одна </w:t>
            </w:r>
            <w:r w:rsidR="00CE1EFF" w:rsidRP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тыс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пятьсот пятьдесят</w:t>
            </w:r>
            <w:r w:rsid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рублей 00 копеек</w:t>
            </w:r>
            <w:r w:rsidR="00CE1EFF" w:rsidRPr="00CE1E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14:paraId="44ED9569" w14:textId="57B8CC06" w:rsidR="00CE1EFF" w:rsidRPr="00CE1EFF" w:rsidRDefault="00271397" w:rsidP="002713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Цена Договора включает в себя все расходы Подрядчика, связанные с исполнением договора, в том числе расходов на выполнение работ, стоимость материалов, конструкций  и их доставку, погрузочно-разгрузочные работы, командировочные расходы, гарантию на выполненные работы, вывоз строительного мусора, используемые машины и механизмы, уплату таможенных пошлин, налогов, сборов, страхование и других обязательных платежей.</w:t>
            </w:r>
          </w:p>
        </w:tc>
      </w:tr>
      <w:tr w:rsidR="003F3DD7" w:rsidRPr="00524660" w14:paraId="4E857BE3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BF79D" w14:textId="77777777" w:rsidR="003F3DD7" w:rsidRPr="00524660" w:rsidRDefault="00450D8E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73474" w14:textId="77777777" w:rsidR="003F3DD7" w:rsidRPr="00271397" w:rsidRDefault="003F3DD7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Место, условия и сроки (периоды) поставки товара, выполнения работы, оказания услуг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46E31" w14:textId="77777777" w:rsidR="00271397" w:rsidRPr="002F1C76" w:rsidRDefault="00271397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2F1C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Срок выполнения работ:</w:t>
            </w:r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50DC281E" w14:textId="05E241D7" w:rsidR="003F3DD7" w:rsidRDefault="00271397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27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даты подпис</w:t>
            </w:r>
            <w:r w:rsidR="002639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ания настоящего Договора и по 21</w:t>
            </w:r>
            <w:r w:rsidRPr="0027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августа 2022 года.</w:t>
            </w:r>
          </w:p>
          <w:p w14:paraId="74FF2F03" w14:textId="77777777" w:rsidR="002F1C76" w:rsidRDefault="002F1C76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1C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Место выполнения работ:</w:t>
            </w:r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E6407A1" w14:textId="7879D577" w:rsidR="002F1C76" w:rsidRPr="00B344BB" w:rsidRDefault="002F1C76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Республика Коми, Сосногорский район, пст. Поляна.</w:t>
            </w:r>
          </w:p>
        </w:tc>
      </w:tr>
      <w:tr w:rsidR="003F3DD7" w:rsidRPr="00524660" w14:paraId="4963A6B5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E897B" w14:textId="77777777" w:rsidR="003F3DD7" w:rsidRPr="00524660" w:rsidRDefault="00450D8E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D219A" w14:textId="77777777" w:rsidR="003F3DD7" w:rsidRPr="00271397" w:rsidRDefault="003F3DD7" w:rsidP="00C16A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EFCC4" w14:textId="77777777" w:rsidR="003F3DD7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Форма оплаты: </w:t>
            </w:r>
          </w:p>
          <w:p w14:paraId="6553D3A7" w14:textId="77777777" w:rsidR="003F3DD7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2C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Безналичный расчет </w:t>
            </w:r>
          </w:p>
          <w:p w14:paraId="5BEB8F73" w14:textId="77777777" w:rsidR="003F3DD7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14:paraId="76EB0A30" w14:textId="77777777" w:rsidR="003F3DD7" w:rsidRPr="00286D40" w:rsidRDefault="003F3DD7" w:rsidP="00C16A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Срок и порядок оплаты:</w:t>
            </w:r>
          </w:p>
          <w:p w14:paraId="31F2C45B" w14:textId="198F9418" w:rsidR="003F3DD7" w:rsidRDefault="00072A9D" w:rsidP="00450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Оплата производится путем перечисления денежных средств на расчетный счет Подрядчика в течение 7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(семи) </w:t>
            </w:r>
            <w:r w:rsidRPr="00072A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рабочих дней после подписания Сторонами акта о приемке выполненных работ (форма № КС-2), справки о стоимости выполненных работ и затрат (форма № КС-3), при наличии счета и (или) счета-фактуры.</w:t>
            </w:r>
          </w:p>
        </w:tc>
      </w:tr>
      <w:tr w:rsidR="00673B09" w:rsidRPr="00524660" w14:paraId="0B7A654C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F4AD1" w14:textId="77777777" w:rsidR="00E60924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="00AB3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E5FE54" w14:textId="77777777" w:rsidR="00E60924" w:rsidRPr="00271397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5AC483" w14:textId="77777777" w:rsidR="00AB399F" w:rsidRPr="00AB399F" w:rsidRDefault="00AB399F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B39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Заявка на участие в запросе котировок должна включать:</w:t>
            </w:r>
          </w:p>
          <w:p w14:paraId="4131DA4A" w14:textId="2527F551" w:rsidR="00AB399F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документ, содержащий сведения об участнике закупок, подавшем такую заявку </w:t>
            </w:r>
            <w:r w:rsid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ИНН/КПП/ОГРН, </w:t>
            </w:r>
            <w:r w:rsidR="00AB399F" w:rsidRPr="00AB39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фирменное наименование (полное наименование), организационно-правовая форма, место нахождения, почтовый адрес (для юридического лица), фамилия, имя, отчество, </w:t>
            </w:r>
            <w:r w:rsidR="00883926" w:rsidRP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ИНН</w:t>
            </w:r>
            <w:r w:rsid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/ОГРНИП (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при наличии)</w:t>
            </w:r>
            <w:r w:rsidR="00883926" w:rsidRPr="0088392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AB399F" w:rsidRPr="00AB39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паспортные данные, место жительства (для физического лица), номер контактного телефона, банковские реквизиты;  </w:t>
            </w:r>
          </w:p>
          <w:p w14:paraId="309016BC" w14:textId="26A370E4" w:rsidR="003C6C24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копии учредительных документов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участников закупок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для юридических лиц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14:paraId="22C4F993" w14:textId="672EA4C8" w:rsidR="003C6C24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копии документов, удостоверяющих личность (для физических лиц);</w:t>
            </w:r>
          </w:p>
          <w:p w14:paraId="79A7369E" w14:textId="03747137" w:rsidR="0086369A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выписку из Е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диного государственного реестра юридических лиц (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для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юридических лиц)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либо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Единого государственного реестра индивидуальных предпринимателей 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(для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индивидуальных предпринимателей</w:t>
            </w:r>
            <w:r w:rsid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), полученную не ранее чем за шесть месяцев до дня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размещения в ЕИС извещения, </w:t>
            </w:r>
            <w:r w:rsidR="003C6C24" w:rsidRPr="003C6C2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или нотариально заверенную копию такой вып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иски;</w:t>
            </w:r>
          </w:p>
          <w:p w14:paraId="1EE750C6" w14:textId="08FAEFF5" w:rsidR="0086369A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5)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надлежащим образом,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(для иностранных лиц). Эти документы должны быть получены не ранее чем за шесть месяцев до дня размещения в ЕИС извещения.</w:t>
            </w:r>
          </w:p>
          <w:p w14:paraId="2B127BB2" w14:textId="1DD44114" w:rsidR="00CE2517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86369A" w:rsidRP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стника закупки без доверенности). Е</w:t>
            </w:r>
            <w:r w:rsidR="0086369A" w:rsidRP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(при наличии) </w:t>
            </w:r>
            <w:r w:rsidR="0086369A" w:rsidRP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и подписанную </w:t>
            </w:r>
            <w:r w:rsidR="0086369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от его имени лицом (лицами), которому в соответствии с законодательством РФ, учредительными документами предоставлено право подписи доверенностей (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для юридических лиц), либо нотариально заверенную копию такой доверенности;</w:t>
            </w:r>
          </w:p>
          <w:p w14:paraId="7F20253D" w14:textId="72D16325" w:rsidR="00CE2517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7)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ешение об одобрении или о сов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ершении крупной сделки (его копию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),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выступающих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предметом договора,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предоставление 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обеспечения 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исполнения договора </w:t>
            </w:r>
            <w:r w:rsidR="00CE2517" w:rsidRP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является крупной сделкой</w:t>
            </w:r>
            <w:r w:rsidR="00CE251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 Если указанные действия не считаются для участника закупки крупной сделкой, представляется соответствующее письмо;</w:t>
            </w:r>
          </w:p>
          <w:p w14:paraId="0F41A39A" w14:textId="65D57C33" w:rsidR="00AD728A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8)</w:t>
            </w:r>
            <w:r w:rsidR="008F473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документ, декларирующий следующее:</w:t>
            </w:r>
          </w:p>
          <w:p w14:paraId="642E09F5" w14:textId="77777777" w:rsidR="00AD728A" w:rsidRDefault="0057628D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участник закупки не находится в процессе ликвидации (для участника – юридического лица), не признан по решению арбитражного суда несостоятельным (банкротом) (для участника – как юридического, так и физического лица);</w:t>
            </w:r>
          </w:p>
          <w:p w14:paraId="5540F2FD" w14:textId="28790C7D" w:rsidR="00AD728A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B27A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 на день подачи заявк</w:t>
            </w:r>
            <w:r w:rsidR="008F4732" w:rsidRPr="00BB27A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деятельность участника закупки не приостановлена в порядке, предусмотренном Кодексом РФ об административных правонарушениях;</w:t>
            </w:r>
          </w:p>
          <w:p w14:paraId="37B6BED5" w14:textId="77777777" w:rsidR="00AD728A" w:rsidRDefault="00AD728A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у участника закупки </w:t>
            </w:r>
            <w:r w:rsidR="003F3DD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отсутствует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недоимки по налогам, сборам, задолженность по иным обязательным платежам в </w:t>
            </w:r>
            <w:r w:rsidR="003F3DD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бюджеты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бюджетной системы РФ за прошедший календарный год, размер которых превышает 25 процентов о </w:t>
            </w:r>
            <w:r w:rsidR="003F3DD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балансовой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стоимости активов участника закупки по данным бухгалтерской отчетности за последний отчетный период;</w:t>
            </w:r>
          </w:p>
          <w:p w14:paraId="78C3D2EF" w14:textId="77777777" w:rsidR="00AD728A" w:rsidRDefault="003F3DD7" w:rsidP="00AB399F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сведения 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об участнике закупки отсутствуют в реестре недобросовестных поставщиков, ведение которых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предусмотрено</w:t>
            </w:r>
            <w:r w:rsidR="00AD728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Законом 223-ФЗ и Законом № 44-ФЗ;</w:t>
            </w:r>
          </w:p>
          <w:p w14:paraId="0B8007B3" w14:textId="77777777" w:rsidR="00AD728A" w:rsidRDefault="0057628D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участник закупки обладает исключительными правилами на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</w:t>
            </w:r>
            <w:r w:rsidRPr="0057628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интеллектуальную собственность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либо исполнение договора предполагает его использование);</w:t>
            </w:r>
          </w:p>
          <w:p w14:paraId="49B40EA8" w14:textId="77777777" w:rsidR="0057628D" w:rsidRDefault="0057628D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9) предложение о цене договора;</w:t>
            </w:r>
          </w:p>
          <w:p w14:paraId="1BA31874" w14:textId="77777777" w:rsidR="00E81428" w:rsidRDefault="0057628D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10) документы (их копии), подтверждающие соответствие участника запроса котировок требованиям законодательства РФ и извещения и извещения о проведении запроса котировок к лицам, которые осуществляют поставки товаров, выполнение работ, оказание услуг;</w:t>
            </w:r>
          </w:p>
          <w:p w14:paraId="5AEDD050" w14:textId="4A0A90CF" w:rsidR="0057628D" w:rsidRDefault="00E81428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11) документы (их копии), подтверждающие соответствие товара, работ, услуг требованиям законодательства РФ к таким товарам, работам, услугам, если законодательством РФ установлены требования к ним и если предоставление указанных документов предусмотрено извещением о проведении запроса котировок. Исключение составляют документы, которые согласно гражданскому законодательству могут быть представлены только вместе с товаром;</w:t>
            </w:r>
          </w:p>
          <w:p w14:paraId="705D7369" w14:textId="2B52B9CF" w:rsidR="00864B36" w:rsidRPr="002639D9" w:rsidRDefault="00864B36" w:rsidP="0057628D">
            <w:pPr>
              <w:widowControl w:val="0"/>
              <w:shd w:val="clear" w:color="auto" w:fill="FFFFFF"/>
              <w:suppressAutoHyphens/>
              <w:spacing w:after="0" w:line="240" w:lineRule="auto"/>
              <w:ind w:firstLine="432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Заявка на участие в запросе котировок должна включать опись входящих в ее состав </w:t>
            </w:r>
            <w:r w:rsidR="003F3DD7"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документов</w:t>
            </w:r>
            <w:r w:rsidR="004D36C0"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  <w:r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быть подписана участником или лицом, им уполномоченным. Соблюдение указанных требований участник запроса котировок подтверждает, что все документы и сведения, входящие </w:t>
            </w:r>
            <w:r w:rsidR="003F3DD7"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состав</w:t>
            </w:r>
            <w:r w:rsidRPr="002639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заявки, поданы от его имени и являются достоверными.</w:t>
            </w:r>
          </w:p>
          <w:p w14:paraId="2A8F2ACD" w14:textId="77777777" w:rsidR="00AB399F" w:rsidRPr="002639D9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участник процедуры закупки вправе подать только одну котировочную заявку. Участник процедуры закупки, подавший котировочную заявку на участие в запросе котировок, вправе изменить или отозвать котировочную заявку на участие в запросе котировок в любое время до истечения срока подачи заявок на участие в таком запросе котировок.</w:t>
            </w:r>
          </w:p>
          <w:p w14:paraId="5169D270" w14:textId="3791021D" w:rsidR="00AB399F" w:rsidRPr="00AB399F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Котировочная заявка подается участником процедуры закупки Заказчику в </w:t>
            </w:r>
            <w:r w:rsidR="004D36C0"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26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в срок, указанный в извещении о запросе котировок, документации о проведении запроса котировок.</w:t>
            </w:r>
          </w:p>
          <w:p w14:paraId="167AF86C" w14:textId="5D3D40B9" w:rsidR="00AB399F" w:rsidRPr="00AB399F" w:rsidRDefault="00AB399F" w:rsidP="00BB2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Котировочная заявка, поданная в срок, указанный в извещении о запросе котировок, документации о проведении запроса котировок регистрируется Заказчиком, по требованию участника процедуры закупки, подавшего котировочную заявку, Заказчик, выдает расписку в получении котировочной заявки с указанием даты и времени ее получения.</w:t>
            </w:r>
          </w:p>
          <w:p w14:paraId="06990C19" w14:textId="77777777" w:rsidR="00AB399F" w:rsidRPr="00AB399F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Котировочные заявки, поданные после дня окончания срока подачи котировочных заявок, указанного в извещении о запросе котировок, документации о проведении запроса котировок не рассматриваются и в день их поступления возвращаются участникам процедуры закупки, подавшим такие заявки. </w:t>
            </w:r>
          </w:p>
          <w:p w14:paraId="3871CBC9" w14:textId="510AE45B" w:rsidR="00AB399F" w:rsidRPr="00AB399F" w:rsidRDefault="00AB399F" w:rsidP="00AB399F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о проведении запроса котировок. Изменения, вносимые в извещение о запросе котировок, документацию о проведении запроса котировок, разъяснения положений документации о проведении запроса котировок размещаются Заказчиком, Специализированной организацией в единой информационной системе не позднее, чем в течение трех дней со дня принятия решения о внесении указанных изменений, предоставления указанных разъяснений. </w:t>
            </w:r>
          </w:p>
          <w:p w14:paraId="00A3BA69" w14:textId="77777777" w:rsidR="00821420" w:rsidRDefault="00AB399F" w:rsidP="008214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Котировочная заявка составляе</w:t>
            </w:r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в соответствии с разделом 9</w:t>
            </w:r>
            <w:r w:rsidR="00B3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извещения </w:t>
            </w:r>
            <w:r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запроса котировок и подается участником процедуры закупки Заказчику в </w:t>
            </w:r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форме через электронную площадку ЭТП РЕГИОН </w:t>
            </w:r>
            <w:hyperlink r:id="rId7" w:history="1">
              <w:r w:rsidR="00821420" w:rsidRPr="0023024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https://etp-region.ru//</w:t>
              </w:r>
            </w:hyperlink>
            <w:r w:rsidR="0082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4330033" w14:textId="77777777" w:rsidR="00AB399F" w:rsidRPr="00AB399F" w:rsidRDefault="00821420" w:rsidP="008214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B399F" w:rsidRPr="00A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тправленная заявка должна быть подписана электронной цифровой подписью, удостоверенной удостоверяющим центром, внесенным в единый государственный реестр в соответствии с Федеральным законом «Об электронной подписи» от 06.04.2011 года № 63-ФЗ) в срок, указанный в извещении о запросе котировок, документации о проведении запроса котировок.</w:t>
            </w:r>
          </w:p>
          <w:p w14:paraId="539B64E4" w14:textId="77777777" w:rsidR="00E60924" w:rsidRPr="00524660" w:rsidRDefault="00AB399F" w:rsidP="00B344BB">
            <w:pPr>
              <w:spacing w:after="0" w:line="240" w:lineRule="auto"/>
              <w:ind w:firstLine="5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4B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  <w:t>Заказчик не несет ответственности, если участник закупки не ознакомился с включенными в извещение и документацию о закупке изменениями, которые размещены надлежащим образом.</w:t>
            </w:r>
          </w:p>
        </w:tc>
      </w:tr>
      <w:tr w:rsidR="00673B09" w:rsidRPr="00524660" w14:paraId="183CA768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CC3F6" w14:textId="77777777" w:rsidR="00E60924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6ACC7" w14:textId="77777777" w:rsidR="00C77C18" w:rsidRDefault="00C77C18" w:rsidP="00C7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Срок подачи,</w:t>
            </w:r>
            <w:r w:rsidRPr="00C77C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дата начала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окончания приема заявок.</w:t>
            </w:r>
          </w:p>
          <w:p w14:paraId="725F243C" w14:textId="77777777" w:rsidR="00E60924" w:rsidRPr="00C77C18" w:rsidRDefault="00E60924" w:rsidP="00C7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FDF8C0" w14:textId="22718FFF" w:rsidR="00C77C18" w:rsidRPr="00450D8E" w:rsidRDefault="00450D8E" w:rsidP="00D93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30 мая 2022г. </w:t>
            </w:r>
            <w:r w:rsidR="00C77C18"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12:00</w:t>
            </w:r>
            <w:r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часов </w:t>
            </w:r>
            <w:r w:rsidRPr="00450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московскому времени по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2F1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</w:t>
            </w:r>
            <w:r w:rsidR="00D93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июня</w:t>
            </w:r>
            <w:r w:rsidR="002F1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2022г. </w:t>
            </w:r>
            <w:r w:rsidR="008958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Pr="00450D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:00  </w:t>
            </w:r>
            <w:r w:rsidR="002F1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часов </w:t>
            </w:r>
            <w:r w:rsidRPr="00450D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московскому времени</w:t>
            </w:r>
          </w:p>
        </w:tc>
      </w:tr>
      <w:tr w:rsidR="00C77C18" w:rsidRPr="00524660" w14:paraId="266E3A46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F0976" w14:textId="77777777" w:rsidR="00C77C18" w:rsidRPr="00450D8E" w:rsidRDefault="00450D8E" w:rsidP="00450D8E">
            <w:pPr>
              <w:tabs>
                <w:tab w:val="left" w:pos="708"/>
              </w:tabs>
              <w:autoSpaceDN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50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11.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AD50D" w14:textId="77777777" w:rsidR="00C77C18" w:rsidRPr="00C77C18" w:rsidRDefault="00C77C18" w:rsidP="00C77C1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77C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C1DC0" w14:textId="3F941D6D" w:rsidR="00C77C18" w:rsidRPr="00450D8E" w:rsidRDefault="00450D8E" w:rsidP="00D930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12:00 по московскому времени 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930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июня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2022 года по адресу: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77C18" w:rsidRPr="003A5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169500, Российская  Федерация, Республика  Коми, г. Сосногорск,  ул. Гоголя,д.10.</w:t>
            </w:r>
            <w:r w:rsidR="00C77C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C77C18" w:rsidRPr="003A55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кабинет директора</w:t>
            </w:r>
            <w:r w:rsidR="00C77C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73B09" w:rsidRPr="00524660" w14:paraId="1D641859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E5C01" w14:textId="77777777" w:rsidR="00FA0989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84A1" w14:textId="77777777" w:rsidR="00FA0989" w:rsidRPr="00286D40" w:rsidRDefault="00FA098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271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8EE7A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Комиссия в срок, не превышающий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документации о проведении запроса котировок в порядке и по основаниям, которые предусмотрены документацией о проведении запроса котировок, и оценивает котировочные заявки в соответствии с документацией о проведении запроса котировок.</w:t>
            </w:r>
          </w:p>
          <w:p w14:paraId="75419DED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Победителем в проведении запроса котировок признается участник процедуры закупки, подавший котировочную заявку, которая отвечает всем требованиям, установленным в извещении о проведении запроса котировок, документации о проведении запроса котировок и в которой указана наиболее низкая цена товаров, работ, услуг.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      </w:r>
          </w:p>
          <w:p w14:paraId="7154849B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14:paraId="527023B8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Участник закупки несет ответственность за представление недостоверных сведений о стране происхождения товаров, указанного в заявке на участие в закупке;</w:t>
            </w:r>
          </w:p>
          <w:p w14:paraId="33173BF6" w14:textId="77777777" w:rsidR="00FA0989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случае отказа победителя в проведении запроса котировок от подписания договора Заказчик вправе предложить подписать договор участнику процедуры закупки, предложение о цене договора которого содержит лучшее условие по цене договора, следующее после предложенного победителем в проведении запроса котировок.</w:t>
            </w:r>
          </w:p>
        </w:tc>
      </w:tr>
      <w:tr w:rsidR="00673B09" w:rsidRPr="00524660" w14:paraId="324BBE56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06C8DA" w14:textId="77777777" w:rsidR="00E60924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5427B7" w14:textId="77777777" w:rsidR="00E60924" w:rsidRPr="00524660" w:rsidRDefault="00673B09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приоритета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846D20" w14:textId="77777777" w:rsidR="00673B09" w:rsidRPr="00673B09" w:rsidRDefault="00673B09" w:rsidP="0067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  <w:t>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лицами»:</w:t>
            </w:r>
          </w:p>
          <w:p w14:paraId="795B2FB3" w14:textId="55A1D5CD" w:rsidR="002F1C76" w:rsidRPr="00524660" w:rsidRDefault="00673B09" w:rsidP="002F1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="002F1C76" w:rsidRPr="002F1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становлены преференции в размере 15% от предложенной цены договора для товаров, российского происхождения, работ, услуг, выполняемых, оказываемых российскими лицами.</w:t>
            </w:r>
          </w:p>
          <w:p w14:paraId="621DF4F8" w14:textId="58A06F0C" w:rsidR="00E60924" w:rsidRPr="00524660" w:rsidRDefault="00E60924" w:rsidP="0067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D40" w:rsidRPr="00524660" w14:paraId="591C1412" w14:textId="77777777" w:rsidTr="00271397">
        <w:trPr>
          <w:trHeight w:val="621"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1C6D4" w14:textId="77777777" w:rsidR="00286D40" w:rsidRPr="00524660" w:rsidRDefault="00450D8E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587D5" w14:textId="77777777" w:rsidR="00286D40" w:rsidRPr="00524660" w:rsidRDefault="00286D40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условия  подписания договора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8E7E5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Срок подписания договора составляет не менее 10 дней, но не более 20 дней, со дня размещения протокола в ЕИС.  </w:t>
            </w:r>
          </w:p>
          <w:p w14:paraId="5F9EF629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исполнении договор по согласованию с Заказчиком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      </w:r>
          </w:p>
          <w:p w14:paraId="705676A8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Заказчик обязан отказаться от заключения договора с победителем по результатам торгов в случае установления факта: </w:t>
            </w:r>
          </w:p>
          <w:p w14:paraId="4012FD39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проведения ликвидации участников торгов, участников процедуры закупки – юридических лиц или принятия арбитражным судом решения о признании участников торгов, участников процедуры закупки – юридических лиц, индивидуальных предпринимателей банкротами и об открытии конкурсного производства;</w:t>
            </w:r>
          </w:p>
          <w:p w14:paraId="338946A7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приостановления деятельности указанных лиц в порядке, предусмотренном Кодексом РФ об административных правонарушениях;</w:t>
            </w:r>
          </w:p>
          <w:p w14:paraId="3468516E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предоставления указанными лицами заведомо ложных сведений, содержащихся в документах и сведениях, предусмотренных заявками, предложениями участников процедуры закупки;</w:t>
            </w:r>
          </w:p>
          <w:p w14:paraId="2108BDDB" w14:textId="77777777" w:rsidR="00286D40" w:rsidRPr="00286D4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нахождения имущества указанных лиц под арестом, наложенным по решению суда, если на момент истечения срока заключения договора балансовая стоимость арестованного имущества превышает 25 % балансовой стоимости активов указанных лиц по данным бухгалтерской отчетности за последний завершенный отчетный период;</w:t>
            </w:r>
          </w:p>
          <w:p w14:paraId="2B7F98F7" w14:textId="5CA4B5CC" w:rsidR="00286D40" w:rsidRPr="00524660" w:rsidRDefault="00286D40" w:rsidP="00286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6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 наличия у указанных лиц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балансовой стоимости активов указанных лиц по данным бухгалтерской отчетности за последний отчетный период.</w:t>
            </w:r>
          </w:p>
        </w:tc>
      </w:tr>
      <w:tr w:rsidR="00673B09" w:rsidRPr="00524660" w14:paraId="539ED583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3AD64D" w14:textId="77777777" w:rsidR="00E60924" w:rsidRPr="00524660" w:rsidRDefault="00E60924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450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3C00B1" w14:textId="77777777" w:rsidR="00E60924" w:rsidRPr="00524660" w:rsidRDefault="00673B09" w:rsidP="00673B09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на участие в закупке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37365" w14:textId="77777777" w:rsidR="00E60924" w:rsidRPr="00524660" w:rsidRDefault="00E60924" w:rsidP="008D3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8D3EA1" w:rsidRPr="00524660" w14:paraId="3F7B9319" w14:textId="77777777" w:rsidTr="00271397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FADC6" w14:textId="54313A99" w:rsidR="008D3EA1" w:rsidRPr="00524660" w:rsidRDefault="008D3EA1" w:rsidP="00E60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A84AF" w14:textId="5D04EC3F" w:rsidR="008D3EA1" w:rsidRPr="00673B09" w:rsidRDefault="008D3EA1" w:rsidP="00673B09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заказчика отказаться от проведения открытого аукциона в электронной форме</w:t>
            </w:r>
          </w:p>
        </w:tc>
        <w:tc>
          <w:tcPr>
            <w:tcW w:w="63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0FBE0" w14:textId="4628CCCD" w:rsidR="008D3EA1" w:rsidRPr="00524660" w:rsidRDefault="008D3EA1" w:rsidP="008D3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Установлены</w:t>
            </w:r>
          </w:p>
        </w:tc>
      </w:tr>
    </w:tbl>
    <w:p w14:paraId="0F71EB0B" w14:textId="77777777" w:rsidR="00816AEA" w:rsidRDefault="00816AEA"/>
    <w:sectPr w:rsidR="00816AEA" w:rsidSect="00E6092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7320"/>
    <w:multiLevelType w:val="hybridMultilevel"/>
    <w:tmpl w:val="D4D0CB68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  <w:rPr>
        <w:rFonts w:cs="Times New Roman"/>
      </w:rPr>
    </w:lvl>
  </w:abstractNum>
  <w:abstractNum w:abstractNumId="1" w15:restartNumberingAfterBreak="0">
    <w:nsid w:val="6D994E47"/>
    <w:multiLevelType w:val="multilevel"/>
    <w:tmpl w:val="ED5C63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24"/>
    <w:rsid w:val="00072A9D"/>
    <w:rsid w:val="00115093"/>
    <w:rsid w:val="00136155"/>
    <w:rsid w:val="001479CC"/>
    <w:rsid w:val="001C309B"/>
    <w:rsid w:val="001F054E"/>
    <w:rsid w:val="00246E20"/>
    <w:rsid w:val="002639D9"/>
    <w:rsid w:val="00271397"/>
    <w:rsid w:val="00286D40"/>
    <w:rsid w:val="002B1690"/>
    <w:rsid w:val="002D3E4D"/>
    <w:rsid w:val="002F1C76"/>
    <w:rsid w:val="00303FAC"/>
    <w:rsid w:val="003A3D6C"/>
    <w:rsid w:val="003A55C1"/>
    <w:rsid w:val="003C6C24"/>
    <w:rsid w:val="003F3DD7"/>
    <w:rsid w:val="0043215E"/>
    <w:rsid w:val="00450D8E"/>
    <w:rsid w:val="00450ECC"/>
    <w:rsid w:val="00467F1E"/>
    <w:rsid w:val="00474E28"/>
    <w:rsid w:val="00497592"/>
    <w:rsid w:val="004D36C0"/>
    <w:rsid w:val="005319CB"/>
    <w:rsid w:val="005463F0"/>
    <w:rsid w:val="0057628D"/>
    <w:rsid w:val="005A482D"/>
    <w:rsid w:val="005B228F"/>
    <w:rsid w:val="005D64A1"/>
    <w:rsid w:val="005F1FA8"/>
    <w:rsid w:val="00616414"/>
    <w:rsid w:val="00621AF8"/>
    <w:rsid w:val="0064730D"/>
    <w:rsid w:val="00673B09"/>
    <w:rsid w:val="006B5C7F"/>
    <w:rsid w:val="006C3F38"/>
    <w:rsid w:val="00754E86"/>
    <w:rsid w:val="007736EF"/>
    <w:rsid w:val="007E5E65"/>
    <w:rsid w:val="00816AEA"/>
    <w:rsid w:val="00821420"/>
    <w:rsid w:val="00856299"/>
    <w:rsid w:val="0086369A"/>
    <w:rsid w:val="00864B36"/>
    <w:rsid w:val="00883926"/>
    <w:rsid w:val="008958BE"/>
    <w:rsid w:val="008A0DCF"/>
    <w:rsid w:val="008D3EA1"/>
    <w:rsid w:val="008F4732"/>
    <w:rsid w:val="009522E8"/>
    <w:rsid w:val="009D157E"/>
    <w:rsid w:val="009E44DE"/>
    <w:rsid w:val="00AB399F"/>
    <w:rsid w:val="00AD31D8"/>
    <w:rsid w:val="00AD728A"/>
    <w:rsid w:val="00B32C75"/>
    <w:rsid w:val="00B344BB"/>
    <w:rsid w:val="00B84329"/>
    <w:rsid w:val="00BA0825"/>
    <w:rsid w:val="00BB27A8"/>
    <w:rsid w:val="00BC57B2"/>
    <w:rsid w:val="00C42AF1"/>
    <w:rsid w:val="00C44579"/>
    <w:rsid w:val="00C76FB7"/>
    <w:rsid w:val="00C77C18"/>
    <w:rsid w:val="00C91420"/>
    <w:rsid w:val="00CC4A70"/>
    <w:rsid w:val="00CE1EFF"/>
    <w:rsid w:val="00CE2517"/>
    <w:rsid w:val="00D217A9"/>
    <w:rsid w:val="00D5278D"/>
    <w:rsid w:val="00D93015"/>
    <w:rsid w:val="00E60924"/>
    <w:rsid w:val="00E81428"/>
    <w:rsid w:val="00EA31F9"/>
    <w:rsid w:val="00EC1F9D"/>
    <w:rsid w:val="00EF12CC"/>
    <w:rsid w:val="00F0120D"/>
    <w:rsid w:val="00F448F9"/>
    <w:rsid w:val="00F619F4"/>
    <w:rsid w:val="00FA0989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7DEC"/>
  <w15:docId w15:val="{DDB33858-5865-4164-92B9-BC58AA2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0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03FA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0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303F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3FAC"/>
  </w:style>
  <w:style w:type="character" w:styleId="a7">
    <w:name w:val="Hyperlink"/>
    <w:basedOn w:val="a0"/>
    <w:uiPriority w:val="99"/>
    <w:unhideWhenUsed/>
    <w:rsid w:val="006B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p-region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mik6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7F5D-62EE-4D61-8412-FE9C17A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XIMIK1</cp:lastModifiedBy>
  <cp:revision>5</cp:revision>
  <cp:lastPrinted>2021-01-18T11:49:00Z</cp:lastPrinted>
  <dcterms:created xsi:type="dcterms:W3CDTF">2022-05-30T08:23:00Z</dcterms:created>
  <dcterms:modified xsi:type="dcterms:W3CDTF">2022-05-30T12:07:00Z</dcterms:modified>
</cp:coreProperties>
</file>