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2"/>
        </w:rPr>
      </w:pPr>
      <w:r>
        <w:rPr>
          <w:b/>
          <w:szCs w:val="22"/>
        </w:rPr>
        <w:t xml:space="preserve">РАЗДЕЛ 4. ПРОЕКТ ДОГОВОРА</w:t>
      </w:r>
      <w:r/>
    </w:p>
    <w:p>
      <w:pPr>
        <w:jc w:val="center"/>
        <w:rPr>
          <w:rFonts w:ascii="Calibri" w:hAnsi="Calibri"/>
          <w:b/>
          <w:color w:val="000000"/>
          <w:szCs w:val="24"/>
        </w:rPr>
      </w:pPr>
      <w:r>
        <w:rPr>
          <w:b/>
          <w:szCs w:val="24"/>
        </w:rPr>
        <w:t xml:space="preserve">Договор № </w:t>
      </w:r>
      <w:r>
        <w:rPr>
          <w:b/>
          <w:color w:val="000000"/>
          <w:szCs w:val="24"/>
        </w:rPr>
        <w:t xml:space="preserve">_______________</w:t>
      </w:r>
      <w:r/>
    </w:p>
    <w:p>
      <w:pPr>
        <w:jc w:val="center"/>
        <w:spacing w:befor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Поставка угля для общеобразовательных учреждений Закаменского района</w:t>
      </w:r>
      <w:r/>
    </w:p>
    <w:p>
      <w:pPr>
        <w:jc w:val="center"/>
        <w:spacing w:before="0"/>
        <w:rPr>
          <w:b/>
          <w:szCs w:val="24"/>
        </w:rPr>
      </w:pPr>
      <w:r>
        <w:rPr>
          <w:b/>
          <w:szCs w:val="24"/>
        </w:rPr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г. Закаменск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__________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г.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8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учреждение "Административно - хозяйственный отдел муниципального учреждения "Закаменское районное управление образования", в  лице    начальника   </w:t>
      </w:r>
      <w:r>
        <w:rPr>
          <w:sz w:val="22"/>
          <w:szCs w:val="22"/>
        </w:rPr>
        <w:t xml:space="preserve">Нохорова Виктора Николаевича</w:t>
      </w:r>
      <w:r>
        <w:rPr>
          <w:sz w:val="22"/>
          <w:szCs w:val="22"/>
        </w:rPr>
        <w:t xml:space="preserve">, действующей на основании Положения, в дальнейшем именуемый «Заказчик», с одной стороны, и </w:t>
      </w: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, действующего на основании</w:t>
      </w:r>
      <w:r>
        <w:rPr>
          <w:sz w:val="22"/>
          <w:szCs w:val="22"/>
        </w:rPr>
        <w:t xml:space="preserve"> Устава </w:t>
      </w:r>
      <w:r>
        <w:rPr>
          <w:sz w:val="22"/>
          <w:szCs w:val="22"/>
        </w:rPr>
        <w:t xml:space="preserve">, в дальнейшем именуемый «Поставщик», с другой стороны, совместно именуемые «Стороны», на основании пр</w:t>
      </w:r>
      <w:r>
        <w:rPr>
          <w:sz w:val="22"/>
          <w:szCs w:val="22"/>
        </w:rPr>
        <w:t xml:space="preserve">отокола о результатах закупки №</w:t>
      </w: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 xml:space="preserve"> от «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г., заключили настоящий договор о нижеследующем:</w:t>
      </w:r>
      <w:r/>
    </w:p>
    <w:p>
      <w:pPr>
        <w:ind w:firstLine="708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15"/>
        <w:numPr>
          <w:ilvl w:val="0"/>
          <w:numId w:val="6"/>
        </w:num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ПРЕДМЕТ ДОГОВОРА</w:t>
      </w:r>
      <w:r/>
    </w:p>
    <w:p>
      <w:pPr>
        <w:pStyle w:val="615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 Поставщик обязуется поставить Заказчику, а Заказчик принять и оплатить за уголь (далее - Товар) в количестве, по цене, качеству и в сроки, в </w:t>
      </w:r>
      <w:r>
        <w:rPr>
          <w:sz w:val="22"/>
          <w:szCs w:val="22"/>
        </w:rPr>
        <w:t xml:space="preserve">соответствии с техническим заданием (</w:t>
      </w:r>
      <w:r>
        <w:rPr>
          <w:i/>
          <w:color w:val="000000"/>
          <w:sz w:val="22"/>
          <w:szCs w:val="22"/>
        </w:rPr>
        <w:t xml:space="preserve">Приложение № 1</w:t>
      </w:r>
      <w:r>
        <w:rPr>
          <w:color w:val="000000"/>
          <w:sz w:val="22"/>
          <w:szCs w:val="22"/>
        </w:rPr>
        <w:t xml:space="preserve">), в порядке и на условиях, определяемых в настоящем Договоре. 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Срок поставки товара: со дня заключения настоящего Договора до </w:t>
      </w:r>
      <w:r>
        <w:rPr>
          <w:color w:val="000000"/>
          <w:sz w:val="22"/>
          <w:szCs w:val="22"/>
        </w:rPr>
        <w:t xml:space="preserve">28.02.202</w:t>
      </w:r>
      <w:r>
        <w:rPr>
          <w:color w:val="000000"/>
          <w:sz w:val="22"/>
          <w:szCs w:val="22"/>
        </w:rPr>
        <w:t xml:space="preserve">3</w:t>
      </w:r>
      <w:r>
        <w:rPr>
          <w:color w:val="000000"/>
          <w:sz w:val="22"/>
          <w:szCs w:val="22"/>
        </w:rPr>
        <w:t xml:space="preserve">. 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1.3. Условия поставки товара: Республика Бурятия, Закаменский район, образовательные учреждения: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2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"Михайловская СОШ"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Михайловка, ул. Школьная, 26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2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"Ехэ-Цакирская СОШ"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у. Ехэ-Цакир, ул. Центральная, 64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2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"Шара-Азаргинская СОШ"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у. Шара-Азарга, ул. Школьная, 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2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"Утатуйская СОШ"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у. Утата, ул. Школьная, 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2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"Санагинская СОШ"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у. Санага ул. Совет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кая, 11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2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Харацайский д/с «Теремок»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Харацай, ул. Школьная,11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2" w:type="dxa"/>
            <w:textDirection w:val="lrTb"/>
            <w:noWrap w:val="false"/>
          </w:tcPr>
          <w:p>
            <w:pPr>
              <w:spacing w:before="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«Енгорбойская СОШ»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spacing w:before="0" w:line="36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у. Енгорбой, ул.Школьная,17</w:t>
            </w:r>
            <w:r/>
          </w:p>
        </w:tc>
      </w:tr>
    </w:tbl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КАЧЕСТВО ТОВАРА</w:t>
      </w:r>
      <w:r/>
    </w:p>
    <w:p>
      <w:pPr>
        <w:jc w:val="center"/>
        <w:spacing w:before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2.1. Поставляемый товар должен соответствовать требованиям ГОСТ 32464-2013 и характеристике указанной в техническом задании (Приложение № 1).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2.2.Поставленный Заказчику т</w:t>
      </w:r>
      <w:r>
        <w:rPr>
          <w:iCs/>
          <w:color w:val="000000"/>
          <w:sz w:val="22"/>
          <w:szCs w:val="22"/>
        </w:rPr>
        <w:t xml:space="preserve">овар,</w:t>
      </w:r>
      <w:r>
        <w:rPr>
          <w:color w:val="000000"/>
          <w:sz w:val="22"/>
          <w:szCs w:val="22"/>
        </w:rPr>
        <w:t xml:space="preserve"> не соответствующий требованиям Договора, считается не поставленным и подлежит возврату за счёт Поставщика, с возмещением всех затрат, связанных с его приёмкой, хранением и возвратом. </w:t>
      </w:r>
      <w:r>
        <w:rPr>
          <w:iCs/>
          <w:color w:val="000000"/>
          <w:sz w:val="22"/>
          <w:szCs w:val="22"/>
        </w:rPr>
        <w:t xml:space="preserve">Данным</w:t>
      </w:r>
      <w:r>
        <w:rPr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товаром </w:t>
      </w:r>
      <w:r>
        <w:rPr>
          <w:color w:val="000000"/>
          <w:sz w:val="22"/>
          <w:szCs w:val="22"/>
        </w:rPr>
        <w:t xml:space="preserve">Поставщик обязан распорядиться в течение 30 дней с момента его уведомления.</w:t>
      </w:r>
      <w:r/>
    </w:p>
    <w:p>
      <w:pPr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ЦЕНЫ И ПОРЯДОК РАСЧЁТОВ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Общая цена Договора составляет </w:t>
      </w:r>
      <w:r>
        <w:rPr>
          <w:color w:val="000000"/>
          <w:sz w:val="22"/>
          <w:szCs w:val="22"/>
        </w:rPr>
        <w:t xml:space="preserve">________________________________________________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Оплата поставляемого товара осуществляется по цене, установленной настоящим Договором.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3.3. Цена Договора является твёрдой и не может изменяться в ходе его исполнения.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>
        <w:rPr>
          <w:sz w:val="22"/>
          <w:szCs w:val="22"/>
        </w:rPr>
        <w:t xml:space="preserve">Цена товара является конечной и включает: НДС, затраты на доставку до места, указанного в п. 1.3. Договора, погрузочные работы, уплату таможенных пошлин, налогов, сборов и прочих расходов.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.5. Оплата производится за счет средств местного бюджета в форме безналичного расчета путем перечисления денежных средств на расчетный счет Поставщика по указанным им банковским реквизитам в следующем порядке: по факту поставки в течение 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семи</w:t>
      </w:r>
      <w:r>
        <w:rPr>
          <w:sz w:val="22"/>
          <w:szCs w:val="22"/>
        </w:rPr>
        <w:t xml:space="preserve">) рабочих дней после </w:t>
      </w:r>
      <w:r>
        <w:rPr>
          <w:sz w:val="22"/>
          <w:szCs w:val="22"/>
        </w:rPr>
        <w:t xml:space="preserve">подписания сторонами товарной накладной и предоставления Поставщиком документов на оплату.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3.6. Расчеты по настоящему  Договору</w:t>
      </w:r>
      <w:r>
        <w:rPr>
          <w:color w:val="000000"/>
          <w:sz w:val="22"/>
          <w:szCs w:val="22"/>
        </w:rPr>
        <w:t xml:space="preserve"> производятся в рублях Российской Федерации.</w:t>
      </w:r>
      <w:r/>
    </w:p>
    <w:p>
      <w:pPr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ОБЯЗАТЕЛЬСТВА СТОРОН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 Поставщик обязан: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4.1.1. Поставить товар </w:t>
      </w:r>
      <w:r>
        <w:rPr>
          <w:color w:val="000000"/>
          <w:sz w:val="22"/>
          <w:szCs w:val="22"/>
        </w:rPr>
        <w:t xml:space="preserve">надлежащего качества, </w:t>
      </w:r>
      <w:r>
        <w:rPr>
          <w:color w:val="000000"/>
          <w:sz w:val="22"/>
          <w:szCs w:val="22"/>
        </w:rPr>
        <w:t xml:space="preserve">в  соответствии  с  условиями  настоящего Договора.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4.1.2. Произвести погрузку товара, доставку до места, указанного в п. 1.3. Договора. 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4.1.3. Предоставить сертификат соответствия качества на поставляемый товар. 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Заказчик обязан: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4.2.1. Принять товар и  оплатить определённую настоящим Договором денежную сумму (цену) за товар  в  соответствии  с  условиями настоящего Договора.  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</w:t>
      </w:r>
      <w:r>
        <w:rPr>
          <w:color w:val="000000"/>
          <w:sz w:val="22"/>
          <w:szCs w:val="22"/>
        </w:rPr>
        <w:t xml:space="preserve">.3. При исполнении Договора не допускается перемена Поставщика, за исключением случаев, если новый поставщик является правопремником поставщика по такому Договору вследствие реорганизации юридического лица в форме преобразования, слияния или присоединения.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ПОРЯДОК ПРИЁМКИ ТОВАРА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spacing w:befor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5.1. Товар по настоящему Договору считается сданным Поставщиком и принятым </w:t>
      </w:r>
      <w:r>
        <w:rPr>
          <w:sz w:val="22"/>
          <w:szCs w:val="22"/>
        </w:rPr>
        <w:t xml:space="preserve">Заказчиком: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5.1.1. по количеству – согласн</w:t>
      </w:r>
      <w:r>
        <w:rPr>
          <w:color w:val="000000"/>
          <w:sz w:val="22"/>
          <w:szCs w:val="22"/>
        </w:rPr>
        <w:t xml:space="preserve">о весу, указанному в  накладной, с соблюдением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 г. № П–6 с изменениями.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Приемка Товара по ко</w:t>
      </w:r>
      <w:r>
        <w:rPr>
          <w:sz w:val="22"/>
          <w:szCs w:val="22"/>
        </w:rPr>
        <w:t xml:space="preserve">личеству производится Заказчиком  на месте (в пункте) назначения. При обнаружении в пункте прибытия Товара несоответствия количеству, указанному в транспортных (отгрузочных) документах, составляется коммерческий акт совместно с представителем перевозчика. 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5.1.2. по качеству – в соответствии с требованиями </w:t>
      </w:r>
      <w:r>
        <w:rPr>
          <w:sz w:val="22"/>
          <w:szCs w:val="22"/>
        </w:rPr>
        <w:t xml:space="preserve">ГОСТ 32464-2013</w:t>
      </w:r>
      <w:r>
        <w:rPr>
          <w:sz w:val="22"/>
          <w:szCs w:val="22"/>
        </w:rPr>
        <w:t xml:space="preserve">, 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 г. № П–7 с изменениями.</w:t>
      </w:r>
      <w:r/>
    </w:p>
    <w:p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в пункте прибытия Товара его не</w:t>
      </w:r>
      <w:r>
        <w:rPr>
          <w:sz w:val="22"/>
          <w:szCs w:val="22"/>
        </w:rPr>
        <w:t xml:space="preserve">соответствия качеству, предусмотренному в настоящем Договоре или Приложениях к нему, Заказчик (грузополучатель) обязан вызвать Поставщика (грузоотправителя) для участия в совместной приемке Товара по качеству, в течение 24 часов с момента получения Товара.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Вызов поставщика осуществляется отправкой в его адрес телеграммы с уведомлением</w:t>
      </w:r>
      <w:r>
        <w:rPr>
          <w:color w:val="000000"/>
          <w:sz w:val="22"/>
          <w:szCs w:val="22"/>
        </w:rPr>
        <w:t xml:space="preserve">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ПОРЯДОК ПОСТАВКИ ТОВАРА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6.1. Осуществив поставку (отгрузку) товара согласно </w:t>
      </w:r>
      <w:r>
        <w:rPr>
          <w:sz w:val="22"/>
          <w:szCs w:val="22"/>
        </w:rPr>
        <w:t xml:space="preserve">графика</w:t>
      </w:r>
      <w:r>
        <w:rPr>
          <w:sz w:val="22"/>
          <w:szCs w:val="22"/>
        </w:rPr>
        <w:t xml:space="preserve"> поставки товара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(приложение №1),</w:t>
      </w:r>
      <w:r>
        <w:rPr>
          <w:color w:val="000000"/>
          <w:sz w:val="22"/>
          <w:szCs w:val="22"/>
        </w:rPr>
        <w:t xml:space="preserve"> Поставщик обязан направить Заказчику по почте (передать нарочным) следующие документы:</w:t>
      </w:r>
      <w:r/>
    </w:p>
    <w:p>
      <w:pPr>
        <w:spacing w:befor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а) счёт на оплату товара, с указанием банковских реквизитов организации;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 счёт-фактуру в 2 экземплярах</w:t>
      </w:r>
      <w:r>
        <w:rPr>
          <w:iCs/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  <w:t xml:space="preserve"> В счёте-фактуре помимо предусмотренных реквизитов должны быть указаны номер, дата Договора;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 товарную (товарно-транспортную) накладную;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копии документов, удостоверяющие качество товара, (в т.ч. сертификат качества).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Документы, представляемые Заказчику, заверяются печатью Поставщика.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6.3. Обязательства Поставщика считаются исполненными, право собственности на товар переходит к Заказчику с даты поставки товара, с обязательным предоставлением документов, подтверждающих фактическую поставку.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6.4. </w:t>
      </w:r>
      <w:r>
        <w:rPr>
          <w:color w:val="000000"/>
          <w:sz w:val="22"/>
          <w:szCs w:val="22"/>
        </w:rPr>
        <w:t xml:space="preserve">Поставщик, не позднее, чем за 10 дней до предполагаемой даты передачи </w:t>
      </w:r>
      <w:r>
        <w:rPr>
          <w:iCs/>
          <w:color w:val="000000"/>
          <w:sz w:val="22"/>
          <w:szCs w:val="22"/>
        </w:rPr>
        <w:t xml:space="preserve">товара</w:t>
      </w:r>
      <w:r>
        <w:rPr>
          <w:color w:val="000000"/>
          <w:sz w:val="22"/>
          <w:szCs w:val="22"/>
        </w:rPr>
        <w:t xml:space="preserve">, уведомляет </w:t>
      </w:r>
      <w:r>
        <w:rPr>
          <w:iCs/>
          <w:color w:val="000000"/>
          <w:sz w:val="22"/>
          <w:szCs w:val="22"/>
        </w:rPr>
        <w:t xml:space="preserve">Заказчика</w:t>
      </w:r>
      <w:r>
        <w:rPr>
          <w:color w:val="000000"/>
          <w:sz w:val="22"/>
          <w:szCs w:val="22"/>
        </w:rPr>
        <w:t xml:space="preserve"> по телефону (факсом, телеграфом) о готовности </w:t>
      </w:r>
      <w:r>
        <w:rPr>
          <w:iCs/>
          <w:color w:val="000000"/>
          <w:sz w:val="22"/>
          <w:szCs w:val="22"/>
        </w:rPr>
        <w:t xml:space="preserve">товара </w:t>
      </w:r>
      <w:r>
        <w:rPr>
          <w:color w:val="000000"/>
          <w:sz w:val="22"/>
          <w:szCs w:val="22"/>
        </w:rPr>
        <w:t xml:space="preserve">к передаче (поставке) с указанием его количества (объёма) и тары (упаковки).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 xml:space="preserve">7. ОБЕСПЕЧЕНИЕ ИСПОЛНЕНИЯ </w:t>
      </w:r>
      <w:r>
        <w:rPr>
          <w:b/>
          <w:sz w:val="22"/>
          <w:szCs w:val="22"/>
        </w:rPr>
        <w:t xml:space="preserve">ДОГОВОРА</w:t>
      </w:r>
      <w:r/>
    </w:p>
    <w:p>
      <w:pPr>
        <w:jc w:val="center"/>
        <w:spacing w:before="0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</w:r>
      <w:r/>
    </w:p>
    <w:p>
      <w:pPr>
        <w:ind w:firstLine="555"/>
        <w:spacing w:before="0" w:line="10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7.1. </w:t>
      </w:r>
      <w:r>
        <w:rPr>
          <w:sz w:val="22"/>
          <w:szCs w:val="22"/>
          <w:shd w:val="clear" w:color="auto" w:fill="ffffff"/>
        </w:rPr>
        <w:t xml:space="preserve">Обеспечение исполнения настоящего </w:t>
      </w:r>
      <w:r>
        <w:rPr>
          <w:sz w:val="22"/>
          <w:szCs w:val="22"/>
        </w:rPr>
        <w:t xml:space="preserve">Договора</w:t>
      </w:r>
      <w:r>
        <w:rPr>
          <w:sz w:val="22"/>
          <w:szCs w:val="22"/>
          <w:shd w:val="clear" w:color="auto" w:fill="ffffff"/>
        </w:rPr>
        <w:t xml:space="preserve"> предоставлено Поставщиком в форме </w:t>
      </w:r>
      <w:r/>
    </w:p>
    <w:p>
      <w:pPr>
        <w:spacing w:before="0" w:line="10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______________</w:t>
      </w:r>
      <w:r>
        <w:rPr>
          <w:sz w:val="22"/>
          <w:szCs w:val="22"/>
          <w:shd w:val="clear" w:color="auto" w:fill="ffffff"/>
        </w:rPr>
        <w:t xml:space="preserve"> на сумму</w:t>
      </w:r>
      <w:r>
        <w:rPr>
          <w:sz w:val="22"/>
          <w:szCs w:val="22"/>
          <w:shd w:val="clear" w:color="auto" w:fill="ffffff"/>
        </w:rPr>
        <w:t xml:space="preserve"> </w:t>
      </w:r>
      <w:r>
        <w:t xml:space="preserve">_______________________________</w:t>
      </w:r>
      <w:r>
        <w:t xml:space="preserve">.</w:t>
      </w:r>
      <w:r>
        <w:t xml:space="preserve"> </w:t>
      </w:r>
      <w:r/>
    </w:p>
    <w:p>
      <w:pPr>
        <w:ind w:firstLine="555"/>
        <w:spacing w:before="0" w:line="10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7.2. Обеспечение должно обеспечивать выполнение всех обязательств Поставщика по Договору.</w:t>
      </w:r>
      <w:r/>
    </w:p>
    <w:p>
      <w:pPr>
        <w:ind w:firstLine="555"/>
        <w:spacing w:before="0" w:line="10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7.3. В случае если Поставщиком в качестве обеспечения исполнения Договора выбрана безотзывная банковская гарантия, данная банковская гарантия должна соответствовать требованиям </w:t>
      </w:r>
      <w:hyperlink r:id="rId10" w:tooltip="consultantplus://offline/ref=E7B0DCAAA1F8CE08D814144AF0FEE74341A420B7200FEECFA51E0279703910E1711039707D2AB47Ai0DFJ" w:history="1">
        <w:r>
          <w:rPr>
            <w:rStyle w:val="624"/>
            <w:sz w:val="22"/>
            <w:szCs w:val="22"/>
          </w:rPr>
          <w:t xml:space="preserve">статьи 45</w:t>
        </w:r>
      </w:hyperlink>
      <w:r>
        <w:rPr>
          <w:sz w:val="22"/>
          <w:szCs w:val="22"/>
        </w:rPr>
        <w:t xml:space="preserve"> Федерального закона № 44-ФЗ.</w:t>
      </w:r>
      <w:r/>
    </w:p>
    <w:p>
      <w:pPr>
        <w:ind w:firstLine="555"/>
        <w:spacing w:before="0" w:line="10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7</w:t>
      </w:r>
      <w:r>
        <w:rPr>
          <w:sz w:val="22"/>
          <w:szCs w:val="22"/>
        </w:rPr>
        <w:t xml:space="preserve">.3.1. Срок действия банковской гарантии должен превышать срок действия Договора не менее чем на один месяц.</w:t>
      </w:r>
      <w:r>
        <w:rPr>
          <w:sz w:val="22"/>
          <w:szCs w:val="22"/>
          <w:lang w:val="en-US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  <w:lang w:val="en-US"/>
        </w:rPr>
        <w:instrText xml:space="preserve">IF</w:instrText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  <w:instrText xml:space="preserve">SYS_EAUCTION </w:instrText>
      </w:r>
      <w:r>
        <w:rPr>
          <w:sz w:val="22"/>
          <w:szCs w:val="22"/>
        </w:rPr>
        <w:instrText xml:space="preserve">="</w:instrText>
      </w:r>
      <w:r>
        <w:rPr>
          <w:sz w:val="22"/>
          <w:szCs w:val="22"/>
          <w:lang w:val="en-US"/>
        </w:rPr>
        <w:instrText xml:space="preserve">SYS</w:instrText>
      </w:r>
      <w:r>
        <w:rPr>
          <w:sz w:val="22"/>
          <w:szCs w:val="22"/>
        </w:rPr>
        <w:instrText xml:space="preserve">_</w:instrText>
      </w:r>
      <w:r>
        <w:rPr>
          <w:sz w:val="22"/>
          <w:szCs w:val="22"/>
          <w:lang w:val="en-US"/>
        </w:rPr>
        <w:instrText xml:space="preserve">EAUCTION</w:instrText>
      </w:r>
      <w:r>
        <w:rPr>
          <w:sz w:val="22"/>
          <w:szCs w:val="22"/>
        </w:rPr>
        <w:instrText xml:space="preserve">" "8.3.2. Подрядчик обязан предоставить Заказчику оригинал безотзывной банковской гарантии в течение пяти дней с момента заключения контракта." </w:instrText>
      </w:r>
      <w:r>
        <w:rPr>
          <w:sz w:val="22"/>
          <w:szCs w:val="22"/>
          <w:lang w:val="en-US"/>
        </w:rPr>
        <w:fldChar w:fldCharType="separate"/>
      </w:r>
      <w:r>
        <w:rPr>
          <w:sz w:val="22"/>
          <w:szCs w:val="22"/>
        </w:rPr>
        <w:t xml:space="preserve"> Поставщик обязан предоставить Заказчику оригинал безотзывной банковской гарантии в течение пяти дней с момента заключения Договора.</w:t>
      </w:r>
      <w:r>
        <w:rPr>
          <w:sz w:val="22"/>
          <w:szCs w:val="22"/>
          <w:lang w:val="en-US"/>
        </w:rPr>
        <w:fldChar w:fldCharType="end"/>
      </w:r>
      <w:r/>
    </w:p>
    <w:p>
      <w:pPr>
        <w:ind w:firstLine="555"/>
        <w:spacing w:before="0" w:line="10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7.4. Денежные средства, внесенные в качестве способа обеспечения исполнения Договора, возвращаются Поставщику при условии надлежащего исполнения им всех своих обязательств по Договору. 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ОТВЕТСТВЕННОСТЬ СТОРОН</w:t>
      </w:r>
      <w:r/>
    </w:p>
    <w:p>
      <w:pPr>
        <w:jc w:val="center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ind w:firstLine="426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8.1. В случае просрочки исполнения Поставщиком обязательств</w:t>
      </w:r>
      <w:r>
        <w:rPr>
          <w:sz w:val="22"/>
          <w:szCs w:val="22"/>
        </w:rPr>
        <w:t xml:space="preserve">, установленных настоящим Договором, Заказчик вправе потребовать уплату неустойки (штрафа, пеней). Неустойка (штраф, пени)  начисляется за каждый день просрочки исполнения обязательств, предусмотренных Договором, начиная со дня, следующего после дня истече</w:t>
      </w:r>
      <w:r>
        <w:rPr>
          <w:sz w:val="22"/>
          <w:szCs w:val="22"/>
        </w:rPr>
        <w:t xml:space="preserve">ния установленного Договором срока исполнения обязательств. Размер неустойки (штрафа, пеней) составляет одна трехсотая, действующей на день уплаты неустойки (штрафа, пеней)  ставки рефинансирования Центрального банка Российской Федерации от суммы Договора.</w:t>
      </w:r>
      <w:r/>
    </w:p>
    <w:p>
      <w:pPr>
        <w:ind w:firstLine="426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8.2. Поставщик несет ответственность за  качество товара в соответствии с действующим законодательством Российской Федерации.</w:t>
      </w:r>
      <w:r/>
    </w:p>
    <w:p>
      <w:pPr>
        <w:ind w:firstLine="426"/>
        <w:spacing w:befor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8.3.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  просрочки исполнения Поставщиком обязательств, установленных настоящим Договором, Заказчик в праве потребовать уплату неустойки (штрафа, пеней). Неустойка (штраф, пени) начисляются за каждый день просрочки исполнения обязательств, предусмотренного</w:t>
      </w:r>
      <w:r>
        <w:rPr>
          <w:color w:val="000000"/>
          <w:sz w:val="22"/>
          <w:szCs w:val="22"/>
        </w:rPr>
        <w:t xml:space="preserve"> Договором, начиная со дня, следующего, после </w:t>
      </w:r>
      <w:r>
        <w:rPr>
          <w:color w:val="000000"/>
          <w:sz w:val="22"/>
          <w:szCs w:val="22"/>
        </w:rPr>
        <w:t xml:space="preserve">дня истечения установленного Договором срока исполнения обязательств. Размер такой неустойки (штрафа, пени) устанавливается Договором в размере одной трехсотой действующей на день уплаты неустойки (штрафа, пеней) ставки рефинансирования Центрального банка </w:t>
      </w:r>
      <w:r>
        <w:rPr>
          <w:color w:val="000000"/>
          <w:sz w:val="22"/>
          <w:szCs w:val="22"/>
        </w:rPr>
        <w:t xml:space="preserve">Российской Федерации</w:t>
      </w:r>
      <w:r>
        <w:rPr>
          <w:color w:val="000000"/>
          <w:sz w:val="22"/>
          <w:szCs w:val="22"/>
        </w:rPr>
        <w:t xml:space="preserve">. Поставщик (исполнитель, подрядчик) освобождается от уплаты неустойки (штрафа, пеней), если докажет, что просрочка исполнителя указанного обязательства произошла вследствие непреодолимой силы или по вине Заказчика.    </w:t>
      </w:r>
      <w:r/>
    </w:p>
    <w:p>
      <w:pPr>
        <w:ind w:firstLine="426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8.4. В случае нарушения сроков оплаты Поставщику предоставляется право взыскания с Заказчика пени в размере одной трехсотой, действующей на день уплаты неустойки ставки рефинансирования Центрального банка </w:t>
      </w:r>
      <w:r>
        <w:rPr>
          <w:color w:val="000000"/>
          <w:sz w:val="22"/>
          <w:szCs w:val="22"/>
        </w:rPr>
        <w:t xml:space="preserve">Российской Федерации,</w:t>
      </w:r>
      <w:r>
        <w:rPr>
          <w:color w:val="000000"/>
          <w:sz w:val="22"/>
          <w:szCs w:val="22"/>
        </w:rPr>
        <w:t xml:space="preserve"> от суммы задолженности.</w:t>
      </w:r>
      <w:r/>
    </w:p>
    <w:p>
      <w:pPr>
        <w:ind w:firstLine="426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8.5. Стороны  освобождаются от уплаты неустойки (штрафа, пеней), если докажут, что просрочка исполнения обязательств произошла вследствие непреодолимой силы  или по вине другой стороны. </w:t>
      </w:r>
      <w:r/>
    </w:p>
    <w:p>
      <w:pPr>
        <w:ind w:firstLine="426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8.6.Ответственность Сторон в иных случаях определяется в соответствии с законодательством Российской Федерации.</w:t>
      </w:r>
      <w:r/>
    </w:p>
    <w:p>
      <w:pPr>
        <w:ind w:firstLine="426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8.7. Уплата неустойки не освобождает Стороны от исполнения обязательств по настоящему Договору.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9. ФОРС-МАЖОРНЫЕ ОБСТОЯТЕЛЬСТВА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9.1. Стороны освобождаются от ответственности друг перед другом за частичное или полное неисполнение обязательств </w:t>
      </w:r>
      <w:r>
        <w:rPr>
          <w:color w:val="000000"/>
          <w:sz w:val="22"/>
          <w:szCs w:val="22"/>
        </w:rPr>
        <w:t xml:space="preserve">по Договору в случаях, установленных законодательством, в частности, при возникновении обстоятельств непреодолимой силы (форс-мажорных), то есть чрезвычайных и непредотвратимых в момент наступления срока исполнения сторонами своих обязательств по Договору.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вышеуказанным</w:t>
      </w:r>
      <w:r>
        <w:rPr>
          <w:color w:val="000000"/>
          <w:sz w:val="22"/>
          <w:szCs w:val="22"/>
        </w:rPr>
        <w:t xml:space="preserve">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т.д.), забастовки, диверсии, запретительные и ограничительные меры органов государственной власти, а </w:t>
      </w:r>
      <w:r>
        <w:rPr>
          <w:color w:val="000000"/>
          <w:sz w:val="22"/>
          <w:szCs w:val="22"/>
        </w:rPr>
        <w:t xml:space="preserve">также другие, признанные таковыми арбитражным судом.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9.2. О наступлении обстоятельств непреодолимой силы Стороны уведомляют друг друга в течение 10-ти дней с момента их возник</w:t>
      </w:r>
      <w:r>
        <w:rPr>
          <w:color w:val="000000"/>
          <w:sz w:val="22"/>
          <w:szCs w:val="22"/>
        </w:rPr>
        <w:t xml:space="preserve">новения. Факт наступления форс-мажорных обстоятельств должен быть документально удостоверен полномочными на то органами государственной власти. Удостоверяющий документ прилагается к письменному уведомлению. При отсутствии уведомления (равно как и при проср</w:t>
      </w:r>
      <w:r>
        <w:rPr>
          <w:color w:val="000000"/>
          <w:sz w:val="22"/>
          <w:szCs w:val="22"/>
        </w:rPr>
        <w:t xml:space="preserve">очке уведомления), удостоверяющего документа, Сторона Договора, их получающая, вправе не принимать во внимание наступление форс-мажорных обстоятельств при предъявлении претензий (исков) к другой Стороне, в связи с ненадлежащим исполнением условий Договора.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этом срок исполнения обязательств по Договору, при отсутствии возражений с другой стороны, может быть перенесён на срок действия обстоятельств непреодолимой силы, но не более 2-х месяцев.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10. ПОРЯДОК РАЗРЕШЕНИЯ СПОРОВ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10.1. Все споры  или  разногласия,  возникающие между Сторонами по настоящему Договору или в связи  с  ним,  разрешаются  путем  переговоров между ними.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10.2. В случае невозможности разрешения разногласий путем переговоров они  подлежат  рассмотрению в арбитражном суде согласно порядку, установленному законодательством Российской Федерации.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 ПОРЯДОК  ИЗМЕНЕИЯ  И  РАСТОРЖЕНИЯ  ДОГОВОРА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11.2. </w:t>
      </w:r>
      <w:r>
        <w:rPr>
          <w:color w:val="000000"/>
          <w:sz w:val="22"/>
          <w:szCs w:val="22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11.3. В случае, если до расторжения Договора Исполнителем частично исполнены об</w:t>
      </w:r>
      <w:r>
        <w:rPr>
          <w:color w:val="000000"/>
          <w:sz w:val="22"/>
          <w:szCs w:val="22"/>
        </w:rPr>
        <w:t xml:space="preserve">язательства по Договору, при заключении нового Договора объём поставленного товара должен быть уменьшен с учётом объёма поставленного товара по настоящему Договору. При этом цена Договора должна быть уменьшена пропорционально объёму поставленного  товара. 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12. ПРОЧИЕ УСЛОВИЯ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12.1. Настоящий Договор вступает в силу с момента его подписания и действует до </w:t>
      </w:r>
      <w:r>
        <w:rPr>
          <w:color w:val="000000"/>
          <w:sz w:val="22"/>
          <w:szCs w:val="22"/>
        </w:rPr>
        <w:t xml:space="preserve">28 февраля</w:t>
      </w:r>
      <w:r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 xml:space="preserve">3</w:t>
      </w:r>
      <w:r>
        <w:rPr>
          <w:color w:val="000000"/>
          <w:sz w:val="22"/>
          <w:szCs w:val="22"/>
        </w:rPr>
        <w:t xml:space="preserve"> года.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12.2. В случае изменения у какой-либо из Сторон местонахождения, названия, банковских реквизитов и  прочего, она  обязана в течение 10 (десяти) дней письменно известить об этом другую Сторону.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12.3. Настоящий Договор составлен в 2 (двух) экземплярах, имеющих одинаковую юридическую силу, по одному для каждой из сторон. 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12.5. Следующие приложения являются неотъемлемой частью настоящего Договора: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Приложение № 1 «Техническое задание».</w:t>
      </w:r>
      <w:r/>
    </w:p>
    <w:p>
      <w:pPr>
        <w:ind w:firstLine="708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12.4. Вопросы, не урегулированные настоящим Договором разрешаются в соответствии с действующим законодательством Российской Федерации.</w:t>
      </w:r>
      <w:r/>
    </w:p>
    <w:p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13. ЮРИДИЧЕСКИЕ АДРЕСА И БАНКОВСКИЕ РЕКВИЗИТЫ СТОРОН</w:t>
      </w:r>
      <w:r/>
    </w:p>
    <w:p>
      <w:pPr>
        <w:jc w:val="center"/>
        <w:spacing w:befor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tbl>
      <w:tblPr>
        <w:tblStyle w:val="62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автономное учреждение «Административно-хозяйственный отдел муниципального учреждения «Закаменское районное управление образования»»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ИНН/КПП  0307035564  /030701001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Банк: ОТДЕЛЕНИЕ-НБ РЕСПУБЛИКА БУРЯТИЯ БАНКА РОССИИ//УФК по Республике Бурятия г. Улан-Удэ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л/с 3</w:t>
            </w:r>
            <w:r>
              <w:rPr>
                <w:color w:val="000000"/>
                <w:sz w:val="22"/>
                <w:szCs w:val="22"/>
              </w:rPr>
              <w:t xml:space="preserve">1</w:t>
            </w:r>
            <w:r>
              <w:rPr>
                <w:color w:val="000000"/>
                <w:sz w:val="22"/>
                <w:szCs w:val="22"/>
              </w:rPr>
              <w:t xml:space="preserve">026Э18520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р/с 03234643816210000200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ИНН/КПП 7702235133/032601001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БИК: 018142016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Юр.адрес: 671950, Респ. Бурятия, 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Закаменский район, 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Закаменск, ул. Ленина, 17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</w:t>
            </w:r>
            <w:r>
              <w:rPr>
                <w:color w:val="000000"/>
                <w:sz w:val="22"/>
                <w:szCs w:val="22"/>
              </w:rPr>
              <w:t xml:space="preserve">-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mail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11" w:tooltip="mailto:zakamnruo@yandex.ru" w:history="1">
              <w:r>
                <w:rPr>
                  <w:rStyle w:val="624"/>
                  <w:sz w:val="22"/>
                  <w:szCs w:val="22"/>
                  <w:lang w:val="en-US"/>
                </w:rPr>
                <w:t xml:space="preserve">zakamnruo</w:t>
              </w:r>
              <w:r>
                <w:rPr>
                  <w:rStyle w:val="624"/>
                  <w:sz w:val="22"/>
                  <w:szCs w:val="22"/>
                </w:rPr>
                <w:t xml:space="preserve">@</w:t>
              </w:r>
              <w:r>
                <w:rPr>
                  <w:rStyle w:val="624"/>
                  <w:sz w:val="22"/>
                  <w:szCs w:val="22"/>
                  <w:lang w:val="en-US"/>
                </w:rPr>
                <w:t xml:space="preserve">yandex</w:t>
              </w:r>
              <w:r>
                <w:rPr>
                  <w:rStyle w:val="624"/>
                  <w:sz w:val="22"/>
                  <w:szCs w:val="22"/>
                </w:rPr>
                <w:t xml:space="preserve">.</w:t>
              </w:r>
              <w:r>
                <w:rPr>
                  <w:rStyle w:val="624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color w:val="000000"/>
                <w:sz w:val="22"/>
                <w:szCs w:val="22"/>
              </w:rPr>
              <w:t xml:space="preserve">   </w:t>
            </w:r>
            <w:r/>
          </w:p>
          <w:p>
            <w:pPr>
              <w:ind w:right="57"/>
              <w:spacing w:before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тел. 8 (30137) 4-46-63</w:t>
            </w:r>
            <w:r/>
          </w:p>
          <w:p>
            <w:pPr>
              <w:pStyle w:val="62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МАУ «Административно-хозяйственный отдел муниципального учреждения «Закаменское районное управление образования»»</w:t>
            </w:r>
            <w:r/>
          </w:p>
          <w:p>
            <w:pPr>
              <w:pStyle w:val="62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В.Н. Нохоров</w:t>
            </w:r>
            <w:r/>
          </w:p>
          <w:p>
            <w:pPr>
              <w:jc w:val="center"/>
              <w:spacing w:befor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6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Поставщик</w:t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______________</w:t>
            </w:r>
            <w:r>
              <w:rPr>
                <w:sz w:val="22"/>
                <w:szCs w:val="22"/>
              </w:rPr>
              <w:t xml:space="preserve">/</w:t>
            </w:r>
            <w:r/>
          </w:p>
          <w:p>
            <w:pPr>
              <w:jc w:val="center"/>
              <w:spacing w:before="0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18"/>
                <w:szCs w:val="18"/>
              </w:rPr>
              <w:t xml:space="preserve">М.П.</w:t>
            </w:r>
            <w:r/>
          </w:p>
        </w:tc>
      </w:tr>
    </w:tbl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договору </w:t>
      </w:r>
      <w:r/>
    </w:p>
    <w:p>
      <w:pPr>
        <w:jc w:val="righ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от "___" _______ 20__ г. № ____</w:t>
      </w:r>
      <w:r/>
    </w:p>
    <w:p>
      <w:pPr>
        <w:jc w:val="center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jc w:val="center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ТЕХНИЧЕСКОЕ ЗАДАНИЕ</w:t>
      </w:r>
      <w:r/>
    </w:p>
    <w:p>
      <w:pPr>
        <w:jc w:val="center"/>
        <w:spacing w:before="0"/>
        <w:rPr>
          <w:b/>
        </w:rPr>
      </w:pPr>
      <w:r>
        <w:rPr>
          <w:b/>
        </w:rPr>
        <w:t xml:space="preserve">на поставку угля марки ЗБР  </w:t>
      </w:r>
      <w:r/>
    </w:p>
    <w:p>
      <w:pPr>
        <w:jc w:val="center"/>
        <w:spacing w:before="0"/>
      </w:pPr>
      <w:r>
        <w:rPr>
          <w:b/>
        </w:rPr>
        <w:t xml:space="preserve">для нужд МАУ "АДМИНИСТРАТИВНО-ХОЗЯЙСТВЕННЫЙ ОТДЕЛ РУО"</w:t>
      </w:r>
      <w:r/>
    </w:p>
    <w:p>
      <w:pPr>
        <w:jc w:val="center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spacing w:before="0"/>
        <w:rPr>
          <w:b/>
        </w:rPr>
      </w:pPr>
      <w:r>
        <w:rPr>
          <w:b/>
        </w:rPr>
        <w:t xml:space="preserve">1. Объект закупки:</w:t>
      </w:r>
      <w:r/>
    </w:p>
    <w:tbl>
      <w:tblPr>
        <w:tblStyle w:val="629"/>
        <w:tblW w:w="9513" w:type="dxa"/>
        <w:tblInd w:w="-508" w:type="dxa"/>
        <w:tblLook w:val="04A0" w:firstRow="1" w:lastRow="0" w:firstColumn="1" w:lastColumn="0" w:noHBand="0" w:noVBand="1"/>
      </w:tblPr>
      <w:tblGrid>
        <w:gridCol w:w="562"/>
        <w:gridCol w:w="2127"/>
        <w:gridCol w:w="4677"/>
        <w:gridCol w:w="1134"/>
        <w:gridCol w:w="1013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before="0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before="0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before="0"/>
              <w:rPr>
                <w:b/>
              </w:rPr>
            </w:pPr>
            <w:r>
              <w:rPr>
                <w:b/>
              </w:rPr>
              <w:t xml:space="preserve">Характеристики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  <w:rPr>
                <w:b/>
              </w:rPr>
            </w:pPr>
            <w:r>
              <w:rPr>
                <w:b/>
              </w:rPr>
              <w:t xml:space="preserve">Ед. изм.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spacing w:before="0"/>
              <w:rPr>
                <w:b/>
              </w:rPr>
            </w:pPr>
            <w:r>
              <w:rPr>
                <w:b/>
              </w:rPr>
              <w:t xml:space="preserve">Кол-во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t xml:space="preserve">Уголь марки ЗБР 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spacing w:before="0"/>
            </w:pPr>
            <w:r>
              <w:t xml:space="preserve">Размеры угля: 0-300 мм. </w:t>
            </w:r>
            <w:r/>
          </w:p>
          <w:p>
            <w:pPr>
              <w:spacing w:before="0"/>
            </w:pPr>
            <w:r>
              <w:t xml:space="preserve">Зольность, %: не более 17 </w:t>
            </w:r>
            <w:r/>
          </w:p>
          <w:p>
            <w:pPr>
              <w:spacing w:befor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Общая влага, %: не более 22</w:t>
            </w:r>
            <w:r/>
          </w:p>
          <w:p>
            <w:pPr>
              <w:spacing w:befor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Сера, %: не более 0,6</w:t>
            </w:r>
            <w:r/>
          </w:p>
          <w:p>
            <w:pPr>
              <w:spacing w:before="0"/>
            </w:pPr>
            <w:r>
              <w:t xml:space="preserve">Высшая теплота сгорания, ккал/кг: не менее 7200</w:t>
            </w:r>
            <w:r/>
          </w:p>
          <w:p>
            <w:pPr>
              <w:spacing w:before="0"/>
            </w:pPr>
            <w:r>
              <w:t xml:space="preserve">Низшая теплота сгорания, ккал/кг: не менее 4500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t xml:space="preserve">тонн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jc w:val="center"/>
              <w:spacing w:before="0"/>
            </w:pPr>
            <w:r>
              <w:rPr>
                <w:highlight w:val="green"/>
              </w:rPr>
              <w:t xml:space="preserve">2 </w:t>
            </w:r>
            <w:r>
              <w:t xml:space="preserve">230</w:t>
            </w:r>
            <w:r/>
          </w:p>
        </w:tc>
      </w:tr>
    </w:tbl>
    <w:p>
      <w:pPr>
        <w:spacing w:before="0"/>
        <w:rPr>
          <w:b/>
        </w:rPr>
      </w:pPr>
      <w:r>
        <w:rPr>
          <w:b/>
        </w:rPr>
      </w:r>
      <w:r/>
    </w:p>
    <w:p>
      <w:pPr>
        <w:spacing w:before="0"/>
      </w:pPr>
      <w:r>
        <w:rPr>
          <w:b/>
        </w:rPr>
        <w:t xml:space="preserve">2. Место и график поставки: </w:t>
      </w:r>
      <w:r/>
    </w:p>
    <w:tbl>
      <w:tblPr>
        <w:tblW w:w="1027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7"/>
        <w:gridCol w:w="1559"/>
        <w:gridCol w:w="1125"/>
        <w:gridCol w:w="1276"/>
        <w:gridCol w:w="1134"/>
        <w:gridCol w:w="1116"/>
        <w:gridCol w:w="1074"/>
        <w:gridCol w:w="1048"/>
      </w:tblGrid>
      <w:tr>
        <w:trPr>
          <w:trHeight w:val="1320"/>
        </w:trPr>
        <w:tc>
          <w:tcPr>
            <w:shd w:val="clear" w:color="auto" w:fill="auto"/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t xml:space="preserve"> Адреса поставок</w:t>
            </w:r>
            <w:r/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</w:pPr>
            <w:r>
              <w:t xml:space="preserve">потребность с учетом остатка</w:t>
            </w:r>
            <w:r/>
          </w:p>
        </w:tc>
        <w:tc>
          <w:tcPr>
            <w:shd w:val="clear" w:color="auto" w:fill="auto"/>
            <w:tcW w:w="1049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сентябрь</w:t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октябрь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ноябрь</w:t>
            </w:r>
            <w:r/>
          </w:p>
        </w:tc>
        <w:tc>
          <w:tcPr>
            <w:shd w:val="clear" w:color="auto" w:fill="auto"/>
            <w:tcW w:w="1052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декабрь</w:t>
            </w:r>
            <w:r/>
          </w:p>
        </w:tc>
        <w:tc>
          <w:tcPr>
            <w:shd w:val="clear" w:color="auto" w:fill="auto"/>
            <w:tcW w:w="1074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январь</w:t>
            </w:r>
            <w:r/>
          </w:p>
          <w:p>
            <w:pPr>
              <w:jc w:val="center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W w:w="1005" w:type="dxa"/>
            <w:vAlign w:val="center"/>
            <w:textDirection w:val="lrTb"/>
            <w:noWrap w:val="false"/>
          </w:tcPr>
          <w:p>
            <w:pPr>
              <w:jc w:val="center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февраль</w:t>
            </w:r>
            <w:r/>
          </w:p>
          <w:p>
            <w:pPr>
              <w:jc w:val="center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before="0"/>
            </w:pPr>
            <w:r>
              <w:t xml:space="preserve">МАОУ "Михайловская СОШ" </w:t>
            </w:r>
            <w:r/>
          </w:p>
          <w:p>
            <w:pPr>
              <w:spacing w:before="0"/>
            </w:pPr>
            <w:r>
              <w:t xml:space="preserve">Михайловка, ул. Школьная, 26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before="0"/>
            </w:pPr>
            <w:r>
              <w:t xml:space="preserve">300,00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37,9000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43,8900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64,7900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65,4200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41,1600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46,8400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МАОУ "Ехэ-Цакирская СОШ"</w:t>
            </w:r>
            <w:r/>
          </w:p>
          <w:p>
            <w:pPr>
              <w:spacing w:before="0"/>
            </w:pPr>
            <w:r>
              <w:t xml:space="preserve">у. Ехэ-Цакир, ул. Центральная, 64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before="0"/>
            </w:pPr>
            <w:r>
              <w:t xml:space="preserve">350,00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44,3000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51,2800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75,7000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75,7200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47,8600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55,1400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before="0"/>
            </w:pPr>
            <w:r>
              <w:rPr>
                <w:color w:val="000000"/>
              </w:rPr>
              <w:t xml:space="preserve">МБОУ "Шара-Азаргинская СОШ" у. Шара-Азарга, ул. Школьная, 1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before="0"/>
            </w:pPr>
            <w:r>
              <w:t xml:space="preserve">350,00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44,3000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51,2800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75,7000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75,7200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47,8600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55,1400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before="0"/>
            </w:pPr>
            <w:r>
              <w:rPr>
                <w:color w:val="000000"/>
              </w:rPr>
              <w:t xml:space="preserve">МАОУ "Утатуйская СОШ"  у. Утата, ул. Школьная, 2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before="0"/>
            </w:pPr>
            <w:r>
              <w:t xml:space="preserve">350,00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44,3000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51,2800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75,7000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75,7200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47,8600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55,1400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МАОУ "Санагинская СОШ"  </w:t>
            </w:r>
            <w:r/>
          </w:p>
          <w:p>
            <w:pPr>
              <w:spacing w:before="0"/>
            </w:pPr>
            <w:r>
              <w:rPr>
                <w:color w:val="000000"/>
              </w:rPr>
              <w:t xml:space="preserve">у. Санага ул. Советская, 11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before="0"/>
            </w:pPr>
            <w:r>
              <w:t xml:space="preserve">550,00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69,6200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80,6400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119,0400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118,7000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75,2600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86,7400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МБДОУ Харацайский д/с «Теремок»  </w:t>
            </w:r>
            <w:r/>
          </w:p>
          <w:p>
            <w:pPr>
              <w:spacing w:before="0"/>
            </w:pPr>
            <w:r>
              <w:rPr>
                <w:color w:val="000000"/>
              </w:rPr>
              <w:t xml:space="preserve">с. Харацай, ул. Школьная,11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before="0"/>
            </w:pPr>
            <w:r>
              <w:t xml:space="preserve">200,00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0,0000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36,7100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54,1900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55,1000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34,2600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19,7400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before="0"/>
            </w:pPr>
            <w:r>
              <w:rPr>
                <w:color w:val="000000"/>
              </w:rPr>
              <w:t xml:space="preserve">МАОУ «Енгорбойская СОШ» у. Енгорбой, ул.Школьная,17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before="0"/>
            </w:pPr>
            <w:r>
              <w:t xml:space="preserve">130,00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0,0000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0,0000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50,0000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34,0000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46,0000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127" w:type="dxa"/>
            <w:vAlign w:val="bottom"/>
            <w:textDirection w:val="lrTb"/>
            <w:noWrap/>
          </w:tcPr>
          <w:p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2 230,00</w:t>
            </w:r>
            <w:r/>
          </w:p>
        </w:tc>
        <w:tc>
          <w:tcPr>
            <w:shd w:val="clear" w:color="auto" w:fill="auto"/>
            <w:tcW w:w="1049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240,42</w:t>
            </w:r>
            <w:r/>
          </w:p>
        </w:tc>
        <w:tc>
          <w:tcPr>
            <w:shd w:val="clear" w:color="auto" w:fill="auto"/>
            <w:tcW w:w="1276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315,08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465,12</w:t>
            </w:r>
            <w:r/>
          </w:p>
        </w:tc>
        <w:tc>
          <w:tcPr>
            <w:shd w:val="clear" w:color="auto" w:fill="auto"/>
            <w:tcW w:w="1052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516,38</w:t>
            </w:r>
            <w:r/>
          </w:p>
        </w:tc>
        <w:tc>
          <w:tcPr>
            <w:shd w:val="clear" w:color="auto" w:fill="auto"/>
            <w:tcW w:w="1074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328,26</w:t>
            </w:r>
            <w:r/>
          </w:p>
        </w:tc>
        <w:tc>
          <w:tcPr>
            <w:shd w:val="clear" w:color="auto" w:fill="auto"/>
            <w:tcW w:w="1005" w:type="dxa"/>
            <w:vAlign w:val="bottom"/>
            <w:textDirection w:val="lrTb"/>
            <w:noWrap/>
          </w:tcPr>
          <w:p>
            <w:pPr>
              <w:jc w:val="right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364,74</w:t>
            </w:r>
            <w:r/>
          </w:p>
        </w:tc>
      </w:tr>
    </w:tbl>
    <w:p>
      <w:pPr>
        <w:spacing w:before="0"/>
        <w:rPr>
          <w:highlight w:val="yellow"/>
        </w:rPr>
      </w:pPr>
      <w:r>
        <w:rPr>
          <w:highlight w:val="yellow"/>
        </w:rPr>
      </w:r>
      <w:r/>
    </w:p>
    <w:p>
      <w:pPr>
        <w:spacing w:before="0"/>
      </w:pPr>
      <w:r>
        <w:rPr>
          <w:highlight w:val="yellow"/>
        </w:rPr>
        <w:t xml:space="preserve">Порядок поставки угля: в течение 5 (пяти) рабочих дней по заявке Заказчика</w:t>
      </w:r>
      <w:r>
        <w:t xml:space="preserve">.</w:t>
      </w:r>
      <w:r/>
    </w:p>
    <w:p>
      <w:pPr>
        <w:spacing w:before="0"/>
      </w:pPr>
      <w:r/>
      <w:r/>
    </w:p>
    <w:p>
      <w:pPr>
        <w:spacing w:before="0"/>
      </w:pPr>
      <w:r>
        <w:t xml:space="preserve">2.1. Стоимость товара включает: расходы, связанные с хранением, доставкой транспортом до указанного места назначения и страховкой товара, расходы на уплату</w:t>
      </w:r>
      <w:r>
        <w:t xml:space="preserve"> налогов, таможенных пошлин и иных обязательных платежей, накладные расходы, требования и условия, сформированные в техническом задании, наличие финансовых, технических, организационных возможностей для выполнения обязательств по договору, доставку товара.</w:t>
      </w:r>
      <w:r/>
    </w:p>
    <w:p>
      <w:pPr>
        <w:spacing w:before="0"/>
      </w:pPr>
      <w:r>
        <w:rPr>
          <w:b/>
          <w:highlight w:val="yellow"/>
        </w:rPr>
        <w:t xml:space="preserve">3. Срок поставки:</w:t>
      </w:r>
      <w:r>
        <w:rPr>
          <w:highlight w:val="yellow"/>
        </w:rPr>
        <w:t xml:space="preserve"> с момента подписания договора по 28 февраля 2023 г. согласно порядку поставки угля.</w:t>
      </w:r>
      <w:r/>
    </w:p>
    <w:p>
      <w:pPr>
        <w:spacing w:before="0"/>
      </w:pPr>
      <w:r>
        <w:t xml:space="preserve">3.1. Поставщик обязан уведомлять Заказчика посредством факсимильной связи (электронной почты) о каждой отгрузке топлива </w:t>
      </w:r>
      <w:r>
        <w:rPr>
          <w:highlight w:val="yellow"/>
        </w:rPr>
        <w:t xml:space="preserve">не позднее 5 суток</w:t>
      </w:r>
      <w:r>
        <w:t xml:space="preserve"> со дня отгрузки. Уведомление должно содержать следующую информацию:</w:t>
      </w:r>
      <w:r/>
    </w:p>
    <w:p>
      <w:pPr>
        <w:spacing w:before="0"/>
      </w:pPr>
      <w:r>
        <w:t xml:space="preserve">- реестр грузового автотранспорта с весом отгруженного топлива; </w:t>
      </w:r>
      <w:r/>
    </w:p>
    <w:p>
      <w:pPr>
        <w:spacing w:before="0"/>
      </w:pPr>
      <w:r>
        <w:t xml:space="preserve">- копии товарно-транспортных накладных или УПД</w:t>
      </w:r>
      <w:r/>
    </w:p>
    <w:p>
      <w:pPr>
        <w:spacing w:before="0"/>
      </w:pPr>
      <w:r>
        <w:t xml:space="preserve">- копии удостоверений (сертификатов) качества на отгруженные партии топлива.</w:t>
      </w:r>
      <w:r/>
    </w:p>
    <w:p>
      <w:pPr>
        <w:spacing w:before="0"/>
      </w:pPr>
      <w:r>
        <w:rPr>
          <w:rFonts w:eastAsia="NSimSun"/>
        </w:rPr>
        <w:t xml:space="preserve">3.2. Поставщик несет ответственность за ненадлежащую транспортировку товара, не обеспечивающую сохранность товара при его хранении и транспортировании.</w:t>
      </w:r>
      <w:r/>
    </w:p>
    <w:p>
      <w:pPr>
        <w:spacing w:before="0"/>
        <w:rPr>
          <w:bCs/>
        </w:rPr>
      </w:pPr>
      <w:r>
        <w:rPr>
          <w:rFonts w:eastAsia="Calibri"/>
          <w:b/>
        </w:rPr>
        <w:t xml:space="preserve">4. Требования, предъявляемые к поставляемой продукции. </w:t>
      </w:r>
      <w:r>
        <w:rPr>
          <w:b/>
          <w:bCs/>
        </w:rPr>
        <w:t xml:space="preserve">Гарантия качества и безопасности.</w:t>
      </w:r>
      <w:r/>
    </w:p>
    <w:p>
      <w:pPr>
        <w:spacing w:before="0"/>
      </w:pPr>
      <w:r>
        <w:t xml:space="preserve">4.1. Поставляемый товар по качеству должен соответствовать государственным стандартам, техническим условиям, докуме</w:t>
      </w:r>
      <w:r>
        <w:t xml:space="preserve">нтам государственного надзора, другой нормативно-технической документации применительно к товару и требованиям, указанным в прилагаемой к Договору спецификации, а в отсутствие последних - признанным стандартам, приемлемым для страны происхождения товаров. </w:t>
      </w:r>
      <w:r/>
    </w:p>
    <w:p>
      <w:pPr>
        <w:spacing w:before="0"/>
      </w:pPr>
      <w:r>
        <w:rPr>
          <w:shd w:val="clear" w:color="auto" w:fill="ffffff"/>
        </w:rPr>
        <w:t xml:space="preserve">4.2. Товар должен быть новым, не бывшем в употреблении, не восстановленным, не содержать в</w:t>
      </w:r>
      <w:r>
        <w:rPr>
          <w:shd w:val="clear" w:color="auto" w:fill="ffffff"/>
        </w:rPr>
        <w:t xml:space="preserve">осстановленных элементов. Товар не должен иметь дефектов,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 </w:t>
      </w:r>
      <w:r/>
    </w:p>
    <w:p>
      <w:pPr>
        <w:spacing w:before="0"/>
      </w:pPr>
      <w:r>
        <w:t xml:space="preserve">4.3. Товар принадлежат Поставщику на законных основаниях, находится в законном обороте, не состоит в залоге и под арестом, а также свободен от требований и претензий третьих лиц.                                                                           </w:t>
      </w:r>
      <w:r/>
    </w:p>
    <w:p>
      <w:pPr>
        <w:spacing w:before="0"/>
      </w:pPr>
      <w:r>
        <w:t xml:space="preserve">4.4. Товар поставляется в комплектности завода-изготовителя, в упаковке, обеспечивающей транспортировку и сохранность на складе. Поставщик гарантирует, что товар, поставленный в рамках договора, является новым, не бывший в эксплуатации, не</w:t>
      </w:r>
      <w:r>
        <w:t xml:space="preserve"> имеет дефектов, соответствует по качеству действующим стандартам ТУ и иной документации, устанавливающей требования по качеству, не имеет дефектов, связанных с материалами или качеством изготовления, если иное не предусмотрено описанием объекта закупки.  </w:t>
      </w:r>
      <w:r/>
    </w:p>
    <w:p>
      <w:pPr>
        <w:spacing w:before="0"/>
      </w:pPr>
      <w:r>
        <w:rPr>
          <w:shd w:val="clear" w:color="auto" w:fill="ffffff"/>
        </w:rPr>
        <w:t xml:space="preserve">4.5. Некаче</w:t>
      </w:r>
      <w:r>
        <w:rPr>
          <w:shd w:val="clear" w:color="auto" w:fill="ffffff"/>
        </w:rPr>
        <w:t xml:space="preserve">ственный товар, признанный таковым Заказчиком, должен быть заменен Поставщиком на такой же Товар в сроки, установленные Договором. При этом доставка Товара, погрузо-разгрузочные работы и его ответственное хранение осуществляются за счет средств Поставщика.</w:t>
      </w:r>
      <w:r/>
    </w:p>
    <w:p>
      <w:pPr>
        <w:spacing w:before="0"/>
      </w:pPr>
      <w:r>
        <w:rPr>
          <w:shd w:val="clear" w:color="auto" w:fill="ffffff"/>
        </w:rPr>
        <w:t xml:space="preserve">4.5. В день поставки товара Поставщик обязан передать Заказчику оригиналы товарно-</w:t>
      </w:r>
      <w:r>
        <w:rPr>
          <w:shd w:val="clear" w:color="auto" w:fill="ffffff"/>
        </w:rPr>
        <w:t xml:space="preserve">транспортных накладных ТОРГ-12 или УПД, подписанные Поставщиком, сертификаты, обязательные для данного вида товара, и иные документы, подтверждающие качество Товара, оформленные в соответствии с действующим законодательством.</w:t>
      </w:r>
      <w:r/>
    </w:p>
    <w:p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4.6. Право собственности на Товар, а также риск случайной гибели или повреждения Товара переходит к Заказчику с момента подписания актов приема передачи Товара и выполненных услуг.</w:t>
      </w:r>
      <w:r/>
    </w:p>
    <w:p>
      <w:pPr>
        <w:spacing w:before="0"/>
        <w:rPr>
          <w:rFonts w:eastAsia="NSimSun"/>
        </w:rPr>
      </w:pPr>
      <w:r>
        <w:rPr>
          <w:b/>
        </w:rPr>
        <w:t xml:space="preserve">5. Требования к гарантийным обязательствам:</w:t>
      </w:r>
      <w:r/>
    </w:p>
    <w:p>
      <w:pPr>
        <w:spacing w:before="0"/>
        <w:rPr>
          <w:rFonts w:eastAsia="NSimSun"/>
        </w:rPr>
      </w:pPr>
      <w:r>
        <w:t xml:space="preserve">7.1. Гарантийный срок исчисляется со дня подписания Сторонами </w:t>
      </w:r>
      <w:r>
        <w:rPr>
          <w:shd w:val="clear" w:color="auto" w:fill="ffffff"/>
        </w:rPr>
        <w:t xml:space="preserve">товарно-транспортных накладных ТОРГ-12 или УПД</w:t>
      </w:r>
      <w:r>
        <w:t xml:space="preserve">. Гарантия должна распространяться на весь поставляемый Товар. </w:t>
      </w:r>
      <w:r>
        <w:rPr>
          <w:highlight w:val="yellow"/>
        </w:rPr>
        <w:t xml:space="preserve">Гарантийный срок на поставляемый Товар составляет не менее 6 месяцев</w:t>
      </w:r>
      <w:r>
        <w:t xml:space="preserve">.</w:t>
      </w:r>
      <w:r/>
    </w:p>
    <w:p>
      <w:pPr>
        <w:spacing w:before="0"/>
        <w:rPr>
          <w:rFonts w:eastAsia="NSimSun"/>
        </w:rPr>
      </w:pPr>
      <w:r>
        <w:t xml:space="preserve">7.2. В случае обнаружения дефектов Товара, в течение гарантийного срока все затраты, связанные с заменой Товара, несет Поставщик;</w:t>
      </w:r>
      <w:r/>
    </w:p>
    <w:p>
      <w:pPr>
        <w:spacing w:before="0"/>
        <w:rPr>
          <w:rFonts w:eastAsia="NSimSun"/>
        </w:rPr>
      </w:pPr>
      <w:r>
        <w:t xml:space="preserve">7.3. Представитель Пос</w:t>
      </w:r>
      <w:r>
        <w:t xml:space="preserve">тавщика обязан произвести проверку дефектного Товара не позднее 3-х рабочих дней с момента получения претензии Заказчика (в случае, если в претензии Заказчика оговорен больший срок, применяется срок, указанный в претензии). По итогам проверки Поставщик обя</w:t>
      </w:r>
      <w:r>
        <w:t xml:space="preserve">зан оформить акт, в котором указываются обнаруженные дефекты Товара и дальнейшие действия Поставщика по устранению дефектов, недостатков. Поставщик в рамках исполнения гарантийных обязательств имеет право заменить дефектный Товар аналогичным новым Товаром.</w:t>
      </w:r>
      <w:r/>
    </w:p>
    <w:p>
      <w:pPr>
        <w:spacing w:before="0"/>
        <w:rPr>
          <w:rFonts w:eastAsia="NSimSun"/>
        </w:rPr>
      </w:pPr>
      <w:r>
        <w:t xml:space="preserve">7.4. Если будет установлено, что качество поставленного Товара изначально не соответствовало критериям качества, установленным в Договоре, то Поставщик по требованию </w:t>
      </w:r>
      <w:r>
        <w:t xml:space="preserve">Заказчика обязан за свой счет заменить поставленный Товар на Товар, соответствующий требованиям документации, в течение 10-ти рабочих дней с момента получения указанного требования Заказчика. По согласованию с Заказчиком указанный срок может быть увеличен.</w:t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tbl>
      <w:tblPr>
        <w:tblStyle w:val="62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2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Начальник МАУ «Административно-хозяйственный отдел муниципального учреждения «Закаменское районное управление образования»»</w:t>
            </w:r>
            <w:r/>
          </w:p>
          <w:p>
            <w:pPr>
              <w:pStyle w:val="62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62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В.Н. Нохоров</w:t>
            </w:r>
            <w:r/>
          </w:p>
          <w:p>
            <w:pPr>
              <w:contextualSpacing/>
              <w:spacing w:before="0"/>
              <w:rPr>
                <w:b/>
                <w:sz w:val="22"/>
                <w:szCs w:val="22"/>
              </w:rPr>
              <w:outlineLvl w:val="0"/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_____________________</w:t>
            </w:r>
            <w:r>
              <w:rPr>
                <w:sz w:val="22"/>
                <w:szCs w:val="22"/>
              </w:rPr>
              <w:t xml:space="preserve">/</w:t>
            </w:r>
            <w:r/>
          </w:p>
          <w:p>
            <w:pPr>
              <w:contextualSpacing/>
              <w:spacing w:before="0"/>
              <w:rPr>
                <w:b/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18"/>
                <w:szCs w:val="18"/>
              </w:rPr>
              <w:t xml:space="preserve">М.П.</w:t>
            </w:r>
            <w:r/>
          </w:p>
        </w:tc>
      </w:tr>
    </w:tbl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p>
      <w:pPr>
        <w:contextualSpacing/>
        <w:spacing w:before="0"/>
        <w:rPr>
          <w:b/>
          <w:sz w:val="22"/>
          <w:szCs w:val="22"/>
        </w:rPr>
        <w:outlineLvl w:val="0"/>
      </w:pPr>
      <w:r>
        <w:rPr>
          <w:b/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ucida Sans Unicode">
    <w:panose1 w:val="020B0603030804020204"/>
  </w:font>
  <w:font w:name="Tahoma">
    <w:panose1 w:val="020B0604030504040204"/>
  </w:font>
  <w:font w:name="Courier New">
    <w:panose1 w:val="02070309020205020404"/>
  </w:font>
  <w:font w:name="font297">
    <w:panose1 w:val="020B0604030504040204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NSimSun">
    <w:panose1 w:val="02020603020101020101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cs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suff w:val="tab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16" w:hanging="1800"/>
      </w:pPr>
      <w:rPr>
        <w:rFonts w:hint="default"/>
        <w:color w:val="00000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pPr>
      <w:jc w:val="both"/>
      <w:spacing w:before="260" w:after="0" w:line="240" w:lineRule="auto"/>
      <w:widowControl w:val="off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 w:customStyle="1">
    <w:name w:val="Обычный1"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15">
    <w:name w:val="List Paragraph"/>
    <w:basedOn w:val="610"/>
    <w:link w:val="619"/>
    <w:uiPriority w:val="34"/>
    <w:qFormat/>
    <w:pPr>
      <w:contextualSpacing/>
      <w:ind w:left="720"/>
    </w:pPr>
  </w:style>
  <w:style w:type="character" w:styleId="616" w:customStyle="1">
    <w:name w:val="Основной текст Знак1"/>
    <w:basedOn w:val="611"/>
    <w:link w:val="617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617">
    <w:name w:val="Body Text"/>
    <w:basedOn w:val="610"/>
    <w:link w:val="616"/>
    <w:uiPriority w:val="99"/>
    <w:pPr>
      <w:ind w:hanging="360"/>
      <w:spacing w:before="300" w:after="60" w:line="240" w:lineRule="atLeast"/>
      <w:shd w:val="clear" w:color="auto" w:fill="ffffff"/>
    </w:pPr>
    <w:rPr>
      <w:rFonts w:eastAsiaTheme="minorHAnsi"/>
      <w:sz w:val="23"/>
      <w:szCs w:val="23"/>
      <w:lang w:eastAsia="en-US"/>
    </w:rPr>
  </w:style>
  <w:style w:type="character" w:styleId="618" w:customStyle="1">
    <w:name w:val="Основной текст Знак"/>
    <w:basedOn w:val="611"/>
    <w:uiPriority w:val="99"/>
    <w:semiHidden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19" w:customStyle="1">
    <w:name w:val="Абзац списка Знак"/>
    <w:link w:val="615"/>
    <w:uiPriority w:val="3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20">
    <w:name w:val="No Spacing"/>
    <w:link w:val="621"/>
    <w:uiPriority w:val="1"/>
    <w:qFormat/>
    <w:pPr>
      <w:spacing w:after="0" w:line="240" w:lineRule="auto"/>
    </w:pPr>
    <w:rPr>
      <w:rFonts w:ascii="Calibri" w:hAnsi="Calibri" w:cs="Times New Roman" w:eastAsia="Calibri"/>
    </w:rPr>
  </w:style>
  <w:style w:type="character" w:styleId="621" w:customStyle="1">
    <w:name w:val="Без интервала Знак"/>
    <w:link w:val="620"/>
    <w:uiPriority w:val="1"/>
    <w:rPr>
      <w:rFonts w:ascii="Calibri" w:hAnsi="Calibri" w:cs="Times New Roman" w:eastAsia="Calibri"/>
    </w:rPr>
  </w:style>
  <w:style w:type="paragraph" w:styleId="622">
    <w:name w:val="Balloon Text"/>
    <w:basedOn w:val="610"/>
    <w:link w:val="623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1"/>
    <w:link w:val="622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624">
    <w:name w:val="Hyperlink"/>
    <w:basedOn w:val="611"/>
    <w:unhideWhenUsed/>
    <w:rPr>
      <w:color w:val="0000FF"/>
      <w:u w:val="single"/>
    </w:rPr>
  </w:style>
  <w:style w:type="character" w:styleId="625">
    <w:name w:val="Strong"/>
    <w:basedOn w:val="611"/>
    <w:qFormat/>
    <w:rPr>
      <w:b/>
      <w:bCs/>
    </w:rPr>
  </w:style>
  <w:style w:type="paragraph" w:styleId="626" w:customStyle="1">
    <w:name w:val="Без интервала1"/>
    <w:link w:val="627"/>
    <w:pPr>
      <w:widowControl w:val="off"/>
    </w:pPr>
    <w:rPr>
      <w:rFonts w:ascii="Calibri" w:hAnsi="Calibri" w:cs="font297" w:eastAsia="Arial Unicode MS"/>
      <w:lang w:eastAsia="ar-SA"/>
    </w:rPr>
  </w:style>
  <w:style w:type="character" w:styleId="627" w:customStyle="1">
    <w:name w:val="No Spacing Char"/>
    <w:link w:val="626"/>
    <w:rPr>
      <w:rFonts w:ascii="Calibri" w:hAnsi="Calibri" w:cs="font297" w:eastAsia="Arial Unicode MS"/>
      <w:lang w:eastAsia="ar-SA"/>
    </w:rPr>
  </w:style>
  <w:style w:type="paragraph" w:styleId="628" w:customStyle="1">
    <w:name w:val="Standard"/>
    <w:qFormat/>
    <w:pPr>
      <w:spacing w:line="276" w:lineRule="atLeast"/>
      <w:tabs>
        <w:tab w:val="left" w:pos="709" w:leader="none"/>
      </w:tabs>
    </w:pPr>
    <w:rPr>
      <w:rFonts w:ascii="Calibri" w:hAnsi="Calibri" w:cs="Tahoma" w:eastAsia="Lucida Sans Unicode"/>
    </w:rPr>
  </w:style>
  <w:style w:type="table" w:styleId="629">
    <w:name w:val="Table Grid"/>
    <w:basedOn w:val="61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E7B0DCAAA1F8CE08D814144AF0FEE74341A420B7200FEECFA51E0279703910E1711039707D2AB47Ai0DFJ" TargetMode="External"/><Relationship Id="rId11" Type="http://schemas.openxmlformats.org/officeDocument/2006/relationships/hyperlink" Target="mailto:zakamnruo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22ED75F-B04B-466D-8A6B-6D7772B3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Гузель Фагитовна</cp:lastModifiedBy>
  <cp:revision>16</cp:revision>
  <dcterms:created xsi:type="dcterms:W3CDTF">2021-09-24T01:27:00Z</dcterms:created>
  <dcterms:modified xsi:type="dcterms:W3CDTF">2022-08-19T07:42:07Z</dcterms:modified>
</cp:coreProperties>
</file>