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Техническое задание на поставку угля марки ЗБР  </w:t>
      </w:r>
      <w:r/>
    </w:p>
    <w:p>
      <w:pPr>
        <w:jc w:val="center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для нужд МАУ "АДМИНИСТРАТИВНО-ХОЗЯЙСТВЕННЫЙ ОТДЕЛ РУО"</w:t>
      </w:r>
      <w:r/>
    </w:p>
    <w:p>
      <w:pPr>
        <w:ind w:left="-567"/>
        <w:spacing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Объект закупки:</w:t>
      </w:r>
      <w:r/>
    </w:p>
    <w:tbl>
      <w:tblPr>
        <w:tblStyle w:val="853"/>
        <w:tblW w:w="9513" w:type="dxa"/>
        <w:tblInd w:w="-508" w:type="dxa"/>
        <w:tblLook w:val="04A0" w:firstRow="1" w:lastRow="0" w:firstColumn="1" w:lastColumn="0" w:noHBand="0" w:noVBand="1"/>
      </w:tblPr>
      <w:tblGrid>
        <w:gridCol w:w="562"/>
        <w:gridCol w:w="2127"/>
        <w:gridCol w:w="4677"/>
        <w:gridCol w:w="1134"/>
        <w:gridCol w:w="1013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№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Наименование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Характеристики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Ед. изм.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Кол-во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Уголь марки ЗБР 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  <w:t xml:space="preserve">Размеры угля: 0-300 мм.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  <w:t xml:space="preserve">Зольность, %: не более 17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Общая влага, %: не более 22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Сера, %: не более 0,6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  <w:t xml:space="preserve">Высшая теплота сгорания, ккал/кг: не менее 7200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  <w:t xml:space="preserve">Низшая теплота сгорания, ккал/кг: не менее 4500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тонн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highlight w:val="green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</w:rPr>
              <w:t xml:space="preserve">230</w:t>
            </w:r>
            <w:r/>
          </w:p>
        </w:tc>
      </w:tr>
    </w:tbl>
    <w:p>
      <w:pPr>
        <w:ind w:left="-567"/>
        <w:jc w:val="both"/>
        <w:spacing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/>
    </w:p>
    <w:p>
      <w:pPr>
        <w:ind w:left="-567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2. Место и график поставки: </w:t>
      </w:r>
      <w:r/>
    </w:p>
    <w:tbl>
      <w:tblPr>
        <w:tblW w:w="1027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7"/>
        <w:gridCol w:w="1559"/>
        <w:gridCol w:w="1049"/>
        <w:gridCol w:w="1276"/>
        <w:gridCol w:w="1134"/>
        <w:gridCol w:w="1052"/>
        <w:gridCol w:w="1074"/>
        <w:gridCol w:w="1005"/>
      </w:tblGrid>
      <w:tr>
        <w:trPr>
          <w:trHeight w:val="1320"/>
        </w:trPr>
        <w:tc>
          <w:tcPr>
            <w:shd w:val="clear" w:color="auto" w:fill="auto"/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 Адреса поставок</w:t>
            </w:r>
            <w:r/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потребность с учетом остатка</w:t>
            </w:r>
            <w:r/>
          </w:p>
        </w:tc>
        <w:tc>
          <w:tcPr>
            <w:shd w:val="clear" w:color="auto" w:fill="auto"/>
            <w:tcW w:w="10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сентябрь</w:t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октябрь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ноябрь</w:t>
            </w:r>
            <w:r/>
          </w:p>
        </w:tc>
        <w:tc>
          <w:tcPr>
            <w:shd w:val="clear" w:color="auto" w:fill="auto"/>
            <w:tcW w:w="10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декабрь</w:t>
            </w:r>
            <w:r/>
          </w:p>
        </w:tc>
        <w:tc>
          <w:tcPr>
            <w:shd w:val="clear" w:color="auto" w:fill="auto"/>
            <w:tcW w:w="10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январь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0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февраль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МАОУ "Михайловская СОШ"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Михайловка, ул. Школьная, 26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300,00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37,9000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43,8900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64,7900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65,4200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41,1600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46,8400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"Ехэ-Цакирская СОШ"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у. Ехэ-Цакир, ул. Центральная, 64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350,00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44,3000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51,2800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75,7000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75,7200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47,8600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55,1400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"Шара-</w:t>
            </w:r>
            <w:r>
              <w:rPr>
                <w:rFonts w:ascii="Times New Roman" w:hAnsi="Times New Roman" w:cs="Times New Roman"/>
                <w:color w:val="000000"/>
              </w:rPr>
              <w:t xml:space="preserve">Азаргинская СОШ" у. Шара-Азарга, ул. Школьная, 1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350,00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44,3000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51,2800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75,7000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75,7200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47,8600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55,1400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"Утатуйская СОШ"  у. Утата, ул. Школьная, 2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350,00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44,3000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51,2800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75,7000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75,7200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47,8600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55,1400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"Санагинская СОШ"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у. Санага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Советская, 11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550,00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69,6200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80,6400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119,0400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118,7000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75,2600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86,7400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МБДОУ Харацайский д/с «Теремок»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Харацай, ул. Школьная,11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200,00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0,0000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36,7100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54,1900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55,1000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34,2600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19,7400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«Енгорбойская СОШ» у. Енгорбой, ул.Школьная,17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eastAsia="ru-RU"/>
              </w:rPr>
              <w:t xml:space="preserve">130,00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0,0000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0,0000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50,0000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34,0000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46,0000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230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42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315,08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465,12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,38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328,26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364,74</w:t>
            </w:r>
            <w:r/>
          </w:p>
        </w:tc>
      </w:tr>
    </w:tbl>
    <w:p>
      <w:pPr>
        <w:ind w:left="-567"/>
        <w:jc w:val="both"/>
        <w:spacing w:after="0"/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-567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highlight w:val="yellow"/>
        </w:rPr>
        <w:t xml:space="preserve">Порядок поставки угля: в течение 5 (пяти) рабочих дней по заявке Заказчика</w:t>
      </w:r>
      <w:r>
        <w:rPr>
          <w:rFonts w:ascii="Times New Roman" w:hAnsi="Times New Roman" w:cs="Times New Roman" w:eastAsia="Times New Roman"/>
        </w:rPr>
        <w:t xml:space="preserve">.</w:t>
      </w:r>
      <w:r/>
    </w:p>
    <w:p>
      <w:pPr>
        <w:ind w:left="-567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left="-567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color w:val="auto"/>
        </w:rPr>
        <w:t xml:space="preserve">2.1. Стоимость товара включает: расходы, связанные с хранением, доставкой транспортом до указанного места назначения и страховкой товара, расходы на уплату налогов, таможенных пошлин и иных </w:t>
      </w:r>
      <w:r>
        <w:rPr>
          <w:rFonts w:ascii="Times New Roman" w:hAnsi="Times New Roman" w:cs="Times New Roman"/>
          <w:color w:val="auto"/>
        </w:rPr>
        <w:t xml:space="preserve">обязательных платежей, накладные расходы, требования и условия, сф</w:t>
      </w:r>
      <w:r>
        <w:rPr>
          <w:rFonts w:ascii="Times New Roman" w:hAnsi="Times New Roman" w:cs="Times New Roman"/>
          <w:color w:val="auto"/>
        </w:rPr>
        <w:t xml:space="preserve">ормированные в техническом задании, наличие финансовых, технических, организационных возможностей для выполнения обязательств по договору, доставку товара.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highlight w:val="yellow"/>
        </w:rPr>
        <w:t xml:space="preserve">3. Срок поставки:</w:t>
      </w:r>
      <w:r>
        <w:rPr>
          <w:rFonts w:ascii="Times New Roman" w:hAnsi="Times New Roman" w:cs="Times New Roman"/>
          <w:color w:val="auto"/>
          <w:highlight w:val="yellow"/>
        </w:rPr>
        <w:t xml:space="preserve"> с момента подписания договора по 28 февраля 2023 г. согласно порядку поставки угля</w:t>
      </w:r>
      <w:r>
        <w:rPr>
          <w:rFonts w:ascii="Times New Roman" w:hAnsi="Times New Roman" w:cs="Times New Roman"/>
          <w:color w:val="auto"/>
          <w:highlight w:val="yellow"/>
        </w:rPr>
        <w:t xml:space="preserve">.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 Поставщик обязан уведомлять Заказчика посредством факсимильной связи (электронной почты) о каждой отгрузке топлива </w:t>
      </w:r>
      <w:r>
        <w:rPr>
          <w:rFonts w:ascii="Times New Roman" w:hAnsi="Times New Roman" w:cs="Times New Roman"/>
          <w:color w:val="auto"/>
          <w:highlight w:val="yellow"/>
        </w:rPr>
        <w:t xml:space="preserve">не позднее 5 суток</w:t>
      </w:r>
      <w:r>
        <w:rPr>
          <w:rFonts w:ascii="Times New Roman" w:hAnsi="Times New Roman" w:cs="Times New Roman"/>
          <w:color w:val="auto"/>
        </w:rPr>
        <w:t xml:space="preserve"> со дня отгрузки. Уведомление должно содержать следующую информацию: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реестр грузового автотранспорта с весом отгру</w:t>
      </w:r>
      <w:r>
        <w:rPr>
          <w:rFonts w:ascii="Times New Roman" w:hAnsi="Times New Roman" w:cs="Times New Roman"/>
          <w:color w:val="auto"/>
        </w:rPr>
        <w:t xml:space="preserve">женного топлива; 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копии товарно-транспортных накладных или УПД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копии удостоверений (сертификатов) качества на отгруженные партии топлива.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eastAsia="NSimSun"/>
          <w:color w:val="auto"/>
        </w:rPr>
        <w:t xml:space="preserve">3.2. Поставщик несет ответственность за ненадлежащую транспортировку товара, не обеспечивающую сохранность товара </w:t>
      </w:r>
      <w:r>
        <w:rPr>
          <w:rFonts w:ascii="Times New Roman" w:hAnsi="Times New Roman" w:cs="Times New Roman" w:eastAsia="NSimSun"/>
          <w:color w:val="auto"/>
        </w:rPr>
        <w:t xml:space="preserve">при его хранении и транспортировании.</w:t>
      </w:r>
      <w:r/>
    </w:p>
    <w:p>
      <w:pPr>
        <w:ind w:left="-567"/>
        <w:jc w:val="both"/>
        <w:spacing w:after="0"/>
        <w:widowControl w:val="off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 w:eastAsia="Calibri"/>
          <w:b/>
          <w:color w:val="auto"/>
        </w:rPr>
        <w:t xml:space="preserve">4. Требования, предъявляемые к поставляемой продукции. </w:t>
      </w:r>
      <w:r>
        <w:rPr>
          <w:rFonts w:ascii="Times New Roman" w:hAnsi="Times New Roman" w:cs="Times New Roman"/>
          <w:b/>
          <w:bCs/>
          <w:color w:val="auto"/>
        </w:rPr>
        <w:t xml:space="preserve">Гарантия качества и безопасности.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4.1. Поставляем</w:t>
      </w:r>
      <w:r>
        <w:rPr>
          <w:rFonts w:ascii="Times New Roman" w:hAnsi="Times New Roman" w:cs="Times New Roman"/>
          <w:color w:val="auto"/>
        </w:rPr>
        <w:t xml:space="preserve">ый товар по качеству должен соответствовать государственным стандартам, техническим условиям, документам государственного надзора, другой нормативно-технической документации применительно к товару и требованиям, указанным в прилагаемой к Договору специфика</w:t>
      </w:r>
      <w:r>
        <w:rPr>
          <w:rFonts w:ascii="Times New Roman" w:hAnsi="Times New Roman" w:cs="Times New Roman"/>
          <w:color w:val="auto"/>
        </w:rPr>
        <w:t xml:space="preserve">ции, а в отсутствие последних - признанным стандартам, приемлемым для страны происхождения товаров. 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4.2. Товар должен быть новым, не бывшем в употреблении, не восстановленным, не содержать восстановленных элементов. Товар не должен иметь дефектов, материа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 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 Товар принадлежат Поставщику на законных основаниях, находи</w:t>
      </w:r>
      <w:r>
        <w:rPr>
          <w:rFonts w:ascii="Times New Roman" w:hAnsi="Times New Roman" w:cs="Times New Roman"/>
          <w:color w:val="auto"/>
        </w:rPr>
        <w:t xml:space="preserve">тся в законном обороте, не состоит в залоге и под арестом, а также свободен от требований и претензий третьих лиц.                                                                           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4.4. Товар поставляется в комплектности завода-изготовителя, в упа</w:t>
      </w:r>
      <w:r>
        <w:rPr>
          <w:rFonts w:ascii="Times New Roman" w:hAnsi="Times New Roman" w:cs="Times New Roman"/>
          <w:color w:val="auto"/>
        </w:rPr>
        <w:t xml:space="preserve">ковке, обеспечивающей транспортировку и сохранность на складе. Поставщик гарантирует, что товар, поставленный в рамках договора, является новым, не бывший в эксплуатации, не имеет дефектов, соответствует по качеству действующим стандартам ТУ и иной докумен</w:t>
      </w:r>
      <w:r>
        <w:rPr>
          <w:rFonts w:ascii="Times New Roman" w:hAnsi="Times New Roman" w:cs="Times New Roman"/>
          <w:color w:val="auto"/>
        </w:rPr>
        <w:t xml:space="preserve">тации, устанавливающей требования по качеству, не имеет дефектов, связанных с материалами или качеством изготовления, если иное не предусмотрено описанием объекта закупки.  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4.5. Некачественный товар, признанный таковым Заказчиком, должен быть заменен Пост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авщиком на такой же Товар в сроки, установленные Договором. При этом доставка Товара, погрузо-разгрузочные работы и его ответственное хранение осуществляются за счет средств Поставщика.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4.5. В день поставки товара Поставщик обязан передать Заказчику оригин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алы товарно-транспортных накладных ТОРГ-12 или УПД, подписанные Поставщиком, сертификаты, обязательные для данного вида товара, и иные документы, подтверждающие качество Товара, оформленные в соответствии с действующим законодательством.</w:t>
      </w:r>
      <w:r/>
    </w:p>
    <w:p>
      <w:pPr>
        <w:ind w:left="-567"/>
        <w:jc w:val="both"/>
        <w:spacing w:after="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4.6. Право собстве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нности на Товар, а также риск случайной гибели или повреждения Товара переходит к Заказчику с момента подписания актов приема передачи Товара и выполненных услуг.</w:t>
      </w:r>
      <w:r/>
    </w:p>
    <w:p>
      <w:pPr>
        <w:ind w:left="-567"/>
        <w:jc w:val="both"/>
        <w:spacing w:after="0"/>
        <w:rPr>
          <w:rFonts w:ascii="Times New Roman" w:hAnsi="Times New Roman" w:cs="Times New Roman" w:eastAsia="NSimSu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Требования к гарантийным обязательствам:</w:t>
      </w:r>
      <w:r/>
    </w:p>
    <w:p>
      <w:pPr>
        <w:ind w:left="-567"/>
        <w:jc w:val="both"/>
        <w:spacing w:after="0"/>
        <w:rPr>
          <w:rFonts w:ascii="Times New Roman" w:hAnsi="Times New Roman" w:cs="Times New Roman" w:eastAsia="NSimSu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7.1. Гарантийный срок исчисляется со дня подписан</w:t>
      </w:r>
      <w:r>
        <w:rPr>
          <w:rFonts w:ascii="Times New Roman" w:hAnsi="Times New Roman" w:cs="Times New Roman"/>
          <w:color w:val="auto"/>
        </w:rPr>
        <w:t xml:space="preserve">ия Сторонами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товарно-транспортных накладных ТОРГ-12 или УПД</w:t>
      </w:r>
      <w:r>
        <w:rPr>
          <w:rFonts w:ascii="Times New Roman" w:hAnsi="Times New Roman" w:cs="Times New Roman"/>
          <w:color w:val="auto"/>
        </w:rPr>
        <w:t xml:space="preserve">. Гарантия должна распространяться на весь поставляемый Товар. </w:t>
      </w:r>
      <w:r>
        <w:rPr>
          <w:rFonts w:ascii="Times New Roman" w:hAnsi="Times New Roman" w:cs="Times New Roman"/>
          <w:color w:val="auto"/>
          <w:highlight w:val="yellow"/>
        </w:rPr>
        <w:t xml:space="preserve">Гарантийный срок на поставляемый Товар составляет не менее 6 месяцев</w:t>
      </w:r>
      <w:r>
        <w:rPr>
          <w:rFonts w:ascii="Times New Roman" w:hAnsi="Times New Roman" w:cs="Times New Roman"/>
          <w:color w:val="auto"/>
        </w:rPr>
        <w:t xml:space="preserve">.</w:t>
      </w:r>
      <w:r/>
    </w:p>
    <w:p>
      <w:pPr>
        <w:ind w:left="-567"/>
        <w:jc w:val="both"/>
        <w:spacing w:after="0"/>
        <w:rPr>
          <w:rFonts w:ascii="Times New Roman" w:hAnsi="Times New Roman" w:cs="Times New Roman" w:eastAsia="NSimSu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7.2. В случае обнаружения дефектов Товара, в течение гарантийног</w:t>
      </w:r>
      <w:r>
        <w:rPr>
          <w:rFonts w:ascii="Times New Roman" w:hAnsi="Times New Roman" w:cs="Times New Roman"/>
          <w:color w:val="auto"/>
        </w:rPr>
        <w:t xml:space="preserve">о срока все затраты, связанные с заменой Товара, несет Поставщик;</w:t>
      </w:r>
      <w:r/>
    </w:p>
    <w:p>
      <w:pPr>
        <w:ind w:left="-567"/>
        <w:jc w:val="both"/>
        <w:spacing w:after="0"/>
        <w:rPr>
          <w:rFonts w:ascii="Times New Roman" w:hAnsi="Times New Roman" w:cs="Times New Roman" w:eastAsia="NSimSu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7.3. Представитель Поставщика обязан произвести проверку дефектного Товара не позднее 3-х рабочих дней с момента получения претензии Заказчика (в случае, если в претензии Заказчика оговорен </w:t>
      </w:r>
      <w:r>
        <w:rPr>
          <w:rFonts w:ascii="Times New Roman" w:hAnsi="Times New Roman" w:cs="Times New Roman"/>
          <w:color w:val="auto"/>
        </w:rPr>
        <w:t xml:space="preserve">больший срок, применяется срок, указанный в претензии). По итогам проверки Поставщик обязан оформить акт, в котором указываются обнаруженные дефекты Товара и дальнейшие действия Поставщика по устранению дефектов, недостатков. Поставщик в рамках исполнения </w:t>
      </w:r>
      <w:r>
        <w:rPr>
          <w:rFonts w:ascii="Times New Roman" w:hAnsi="Times New Roman" w:cs="Times New Roman"/>
          <w:color w:val="auto"/>
        </w:rPr>
        <w:t xml:space="preserve">гарантийных обязательств имеет право заменить дефектный Товар аналогичным новым Товаром.</w:t>
      </w:r>
      <w:r/>
    </w:p>
    <w:p>
      <w:pPr>
        <w:ind w:left="-567"/>
        <w:jc w:val="both"/>
        <w:spacing w:after="0"/>
        <w:rPr>
          <w:rFonts w:ascii="Times New Roman" w:hAnsi="Times New Roman" w:cs="Times New Roman" w:eastAsia="NSimSu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7.4. Если будет установлено, что качество поставленного Товара изначально не соответствовало критериям качества, установленным в Договоре, то Поставщик по требованию З</w:t>
      </w:r>
      <w:r>
        <w:rPr>
          <w:rFonts w:ascii="Times New Roman" w:hAnsi="Times New Roman" w:cs="Times New Roman"/>
          <w:color w:val="auto"/>
        </w:rPr>
        <w:t xml:space="preserve">аказчика обязан за свой счет заменить поставленный Товар на Товар, соответствующий требованиям документации, в течение 10-ти рабочих дней с момента получения указанного требования Заказчика. По согласованию с Заказчиком указанный срок может быть увеличен.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NSimSun">
    <w:panose1 w:val="02020603020101020101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6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1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3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4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5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46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7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8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9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50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54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5" w:default="1">
    <w:name w:val="Normal"/>
    <w:qFormat/>
    <w:pPr>
      <w:spacing w:after="200" w:line="276" w:lineRule="auto"/>
    </w:pPr>
    <w:rPr>
      <w:color w:val="00000A"/>
    </w:rPr>
  </w:style>
  <w:style w:type="paragraph" w:styleId="656">
    <w:name w:val="Heading 1"/>
    <w:basedOn w:val="655"/>
    <w:next w:val="655"/>
    <w:link w:val="68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57">
    <w:name w:val="Heading 2"/>
    <w:basedOn w:val="655"/>
    <w:next w:val="655"/>
    <w:link w:val="68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58">
    <w:name w:val="Heading 3"/>
    <w:basedOn w:val="655"/>
    <w:next w:val="655"/>
    <w:link w:val="687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59">
    <w:name w:val="Heading 4"/>
    <w:basedOn w:val="655"/>
    <w:next w:val="655"/>
    <w:link w:val="688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655"/>
    <w:next w:val="655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1">
    <w:name w:val="Heading 6"/>
    <w:basedOn w:val="655"/>
    <w:next w:val="655"/>
    <w:link w:val="690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62">
    <w:name w:val="Heading 7"/>
    <w:basedOn w:val="655"/>
    <w:next w:val="655"/>
    <w:link w:val="69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63">
    <w:name w:val="Heading 8"/>
    <w:basedOn w:val="655"/>
    <w:next w:val="655"/>
    <w:link w:val="692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64">
    <w:name w:val="Heading 9"/>
    <w:basedOn w:val="655"/>
    <w:next w:val="655"/>
    <w:link w:val="693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Heading 1 Char"/>
    <w:basedOn w:val="665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Heading 2 Char"/>
    <w:basedOn w:val="665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65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65"/>
    <w:uiPriority w:val="10"/>
    <w:rPr>
      <w:sz w:val="48"/>
      <w:szCs w:val="48"/>
    </w:rPr>
  </w:style>
  <w:style w:type="character" w:styleId="678" w:customStyle="1">
    <w:name w:val="Subtitle Char"/>
    <w:basedOn w:val="665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5"/>
    <w:uiPriority w:val="99"/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after="0" w:line="240" w:lineRule="auto"/>
    </w:pPr>
  </w:style>
  <w:style w:type="paragraph" w:styleId="695">
    <w:name w:val="Title"/>
    <w:basedOn w:val="655"/>
    <w:next w:val="655"/>
    <w:link w:val="696"/>
    <w:uiPriority w:val="10"/>
    <w:qFormat/>
    <w:pPr>
      <w:contextualSpacing/>
      <w:spacing w:before="300"/>
    </w:pPr>
    <w:rPr>
      <w:sz w:val="48"/>
      <w:szCs w:val="48"/>
    </w:rPr>
  </w:style>
  <w:style w:type="character" w:styleId="696" w:customStyle="1">
    <w:name w:val="Заголовок Знак"/>
    <w:basedOn w:val="665"/>
    <w:link w:val="695"/>
    <w:uiPriority w:val="10"/>
    <w:rPr>
      <w:sz w:val="48"/>
      <w:szCs w:val="48"/>
    </w:rPr>
  </w:style>
  <w:style w:type="paragraph" w:styleId="697">
    <w:name w:val="Subtitle"/>
    <w:basedOn w:val="655"/>
    <w:next w:val="655"/>
    <w:link w:val="698"/>
    <w:uiPriority w:val="11"/>
    <w:qFormat/>
    <w:pPr>
      <w:spacing w:before="200"/>
    </w:pPr>
    <w:rPr>
      <w:sz w:val="24"/>
      <w:szCs w:val="24"/>
    </w:rPr>
  </w:style>
  <w:style w:type="character" w:styleId="698" w:customStyle="1">
    <w:name w:val="Подзаголовок Знак"/>
    <w:basedOn w:val="665"/>
    <w:link w:val="697"/>
    <w:uiPriority w:val="11"/>
    <w:rPr>
      <w:sz w:val="24"/>
      <w:szCs w:val="24"/>
    </w:rPr>
  </w:style>
  <w:style w:type="paragraph" w:styleId="699">
    <w:name w:val="Quote"/>
    <w:basedOn w:val="655"/>
    <w:next w:val="655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55"/>
    <w:next w:val="655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55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65"/>
    <w:link w:val="703"/>
    <w:uiPriority w:val="99"/>
  </w:style>
  <w:style w:type="paragraph" w:styleId="705">
    <w:name w:val="Footer"/>
    <w:basedOn w:val="655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65"/>
    <w:uiPriority w:val="99"/>
  </w:style>
  <w:style w:type="paragraph" w:styleId="707">
    <w:name w:val="Caption"/>
    <w:basedOn w:val="655"/>
    <w:next w:val="65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 w:customStyle="1">
    <w:name w:val="Table Grid Light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0" w:customStyle="1">
    <w:name w:val="Таблица простая 11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Таблица простая 21"/>
    <w:basedOn w:val="66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3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Таблица простая 4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Таблица простая 5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 w:customStyle="1">
    <w:name w:val="Таблица-сетка 1 светл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а-сетка 2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Таблица-сетка 3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Таблица-сетка 4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 w:customStyle="1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8" w:customStyle="1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9" w:customStyle="1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0" w:customStyle="1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1" w:customStyle="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2" w:customStyle="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3" w:customStyle="1">
    <w:name w:val="Таблица-сетка 5 тем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0" w:customStyle="1">
    <w:name w:val="Таблица-сетка 6 цвет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2" w:customStyle="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Таблица-сетка 7 цвет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Список-таблица 1 светлая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Список-таблица 2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8" w:customStyle="1">
    <w:name w:val="Список-таблица 3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Список-таблица 4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5 тем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Список-таблица 6 цвет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0" w:customStyle="1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1" w:customStyle="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2" w:customStyle="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3" w:customStyle="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4" w:customStyle="1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5" w:customStyle="1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6" w:customStyle="1">
    <w:name w:val="Список-таблица 7 цвет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5" w:customStyle="1">
    <w:name w:val="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6" w:customStyle="1">
    <w:name w:val="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7" w:customStyle="1">
    <w:name w:val="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8" w:customStyle="1">
    <w:name w:val="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9" w:customStyle="1">
    <w:name w:val="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0" w:customStyle="1">
    <w:name w:val="Bordered &amp; 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Bordered &amp; 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2" w:customStyle="1">
    <w:name w:val="Bordered &amp; 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3" w:customStyle="1">
    <w:name w:val="Bordered &amp; 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4" w:customStyle="1">
    <w:name w:val="Bordered &amp; 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5" w:customStyle="1">
    <w:name w:val="Bordered &amp; 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6" w:customStyle="1">
    <w:name w:val="Bordered &amp; 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7" w:customStyle="1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8" w:customStyle="1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9" w:customStyle="1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0" w:customStyle="1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1" w:customStyle="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2" w:customStyle="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3" w:customStyle="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4">
    <w:name w:val="footnote text"/>
    <w:basedOn w:val="655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65"/>
    <w:uiPriority w:val="99"/>
    <w:unhideWhenUsed/>
    <w:rPr>
      <w:vertAlign w:val="superscript"/>
    </w:rPr>
  </w:style>
  <w:style w:type="paragraph" w:styleId="837">
    <w:name w:val="endnote text"/>
    <w:basedOn w:val="655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65"/>
    <w:uiPriority w:val="99"/>
    <w:semiHidden/>
    <w:unhideWhenUsed/>
    <w:rPr>
      <w:vertAlign w:val="superscript"/>
    </w:rPr>
  </w:style>
  <w:style w:type="paragraph" w:styleId="840">
    <w:name w:val="toc 1"/>
    <w:basedOn w:val="655"/>
    <w:next w:val="655"/>
    <w:uiPriority w:val="39"/>
    <w:unhideWhenUsed/>
    <w:pPr>
      <w:spacing w:after="57"/>
    </w:pPr>
  </w:style>
  <w:style w:type="paragraph" w:styleId="841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42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43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44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45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46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47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48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55"/>
    <w:next w:val="655"/>
    <w:uiPriority w:val="99"/>
    <w:unhideWhenUsed/>
    <w:pPr>
      <w:spacing w:after="0"/>
    </w:pPr>
  </w:style>
  <w:style w:type="paragraph" w:styleId="851" w:customStyle="1">
    <w:name w:val="ConsPlusNormal"/>
    <w:qFormat/>
    <w:pPr>
      <w:ind w:firstLine="720"/>
      <w:spacing w:after="0" w:line="240" w:lineRule="auto"/>
    </w:pPr>
    <w:rPr>
      <w:rFonts w:ascii="Arial" w:hAnsi="Arial" w:cs="Arial" w:eastAsia="Times New Roman"/>
      <w:color w:val="00000A"/>
      <w:sz w:val="20"/>
      <w:szCs w:val="20"/>
      <w:lang w:eastAsia="ru-RU"/>
    </w:rPr>
  </w:style>
  <w:style w:type="paragraph" w:styleId="852">
    <w:name w:val="List Paragraph"/>
    <w:basedOn w:val="655"/>
    <w:uiPriority w:val="34"/>
    <w:qFormat/>
    <w:pPr>
      <w:contextualSpacing/>
      <w:ind w:left="720"/>
    </w:pPr>
  </w:style>
  <w:style w:type="table" w:styleId="853">
    <w:name w:val="Table Grid"/>
    <w:basedOn w:val="66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>
    <w:name w:val="Body Text"/>
    <w:basedOn w:val="655"/>
    <w:link w:val="855"/>
    <w:pPr>
      <w:spacing w:after="140"/>
    </w:pPr>
  </w:style>
  <w:style w:type="character" w:styleId="855" w:customStyle="1">
    <w:name w:val="Основной текст Знак"/>
    <w:basedOn w:val="665"/>
    <w:link w:val="854"/>
    <w:rPr>
      <w:color w:val="00000A"/>
    </w:rPr>
  </w:style>
  <w:style w:type="paragraph" w:styleId="856" w:customStyle="1">
    <w:name w:val="Основной текст 21"/>
    <w:basedOn w:val="655"/>
    <w:qFormat/>
    <w:pPr>
      <w:jc w:val="both"/>
      <w:spacing w:after="60"/>
    </w:pPr>
    <w:rPr>
      <w:rFonts w:cs="Calibri"/>
      <w:sz w:val="24"/>
    </w:rPr>
  </w:style>
  <w:style w:type="character" w:styleId="857">
    <w:name w:val="Hyperlink"/>
    <w:basedOn w:val="665"/>
    <w:uiPriority w:val="99"/>
    <w:semiHidden/>
    <w:unhideWhenUsed/>
    <w:rPr>
      <w:color w:val="0000FF"/>
      <w:u w:val="single"/>
    </w:rPr>
  </w:style>
  <w:style w:type="paragraph" w:styleId="858">
    <w:name w:val="Normal (Web)"/>
    <w:basedOn w:val="655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auto"/>
      <w:sz w:val="24"/>
      <w:szCs w:val="24"/>
      <w:lang w:eastAsia="ru-RU"/>
    </w:rPr>
  </w:style>
  <w:style w:type="character" w:styleId="859">
    <w:name w:val="Strong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Гузель Фагитовна</cp:lastModifiedBy>
  <cp:revision>6</cp:revision>
  <dcterms:created xsi:type="dcterms:W3CDTF">2022-08-02T08:13:00Z</dcterms:created>
  <dcterms:modified xsi:type="dcterms:W3CDTF">2022-08-19T07:41:55Z</dcterms:modified>
</cp:coreProperties>
</file>