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tabs>
          <w:tab w:val="clear" w:pos="709"/>
          <w:tab w:val="left" w:pos="426" w:leader="none"/>
        </w:tabs>
        <w:spacing w:lineRule="auto" w:line="240" w:before="0" w:after="0"/>
        <w:ind w:left="0" w:firstLine="709"/>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ListParagraph"/>
        <w:tabs>
          <w:tab w:val="clear" w:pos="709"/>
          <w:tab w:val="left" w:pos="426" w:leader="none"/>
        </w:tabs>
        <w:spacing w:lineRule="auto" w:line="240" w:before="0" w:after="0"/>
        <w:ind w:left="0" w:firstLine="709"/>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ListParagraph"/>
        <w:tabs>
          <w:tab w:val="clear" w:pos="709"/>
          <w:tab w:val="left" w:pos="426" w:leader="none"/>
        </w:tabs>
        <w:spacing w:lineRule="auto" w:line="240" w:before="0" w:after="0"/>
        <w:ind w:left="0" w:firstLine="709"/>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ind w:right="-112" w:hanging="0"/>
        <w:jc w:val="center"/>
        <w:rPr>
          <w:b/>
          <w:b/>
          <w:bCs/>
          <w:sz w:val="28"/>
          <w:szCs w:val="28"/>
          <w:u w:val="single"/>
        </w:rPr>
      </w:pPr>
      <w:r>
        <w:rPr>
          <w:rFonts w:cs="Times New Roman" w:ascii="Times New Roman" w:hAnsi="Times New Roman"/>
          <w:b/>
          <w:bCs/>
          <w:sz w:val="28"/>
          <w:szCs w:val="28"/>
          <w:u w:val="single"/>
        </w:rPr>
        <w:t>Приложение 1. к документации о запросе предложений</w:t>
      </w:r>
      <w:r>
        <w:rPr>
          <w:rFonts w:cs="Times New Roman" w:ascii="Times New Roman" w:hAnsi="Times New Roman"/>
          <w:b/>
          <w:bCs/>
          <w:sz w:val="28"/>
          <w:szCs w:val="28"/>
          <w:u w:val="single"/>
        </w:rPr>
        <w:t xml:space="preserve">                                                                                         </w:t>
      </w:r>
    </w:p>
    <w:p>
      <w:pPr>
        <w:pStyle w:val="Normal"/>
        <w:ind w:right="-112" w:hanging="0"/>
        <w:jc w:val="right"/>
        <w:rPr>
          <w:rFonts w:ascii="Times New Roman" w:hAnsi="Times New Roman" w:cs="Times New Roman"/>
        </w:rPr>
      </w:pPr>
      <w:r>
        <w:rPr>
          <w:rFonts w:cs="Times New Roman" w:ascii="Times New Roman" w:hAnsi="Times New Roman"/>
        </w:rPr>
        <w:t xml:space="preserve"> </w:t>
      </w:r>
    </w:p>
    <w:p>
      <w:pPr>
        <w:pStyle w:val="Normal"/>
        <w:ind w:right="-112" w:hanging="0"/>
        <w:jc w:val="right"/>
        <w:rPr>
          <w:rFonts w:ascii="Times New Roman" w:hAnsi="Times New Roman" w:cs="Times New Roman"/>
        </w:rPr>
      </w:pPr>
      <w:r>
        <w:rPr/>
      </w:r>
    </w:p>
    <w:p>
      <w:pPr>
        <w:pStyle w:val="Normal"/>
        <w:ind w:right="-112" w:hanging="0"/>
        <w:jc w:val="right"/>
        <w:rPr>
          <w:rFonts w:ascii="Times New Roman" w:hAnsi="Times New Roman" w:cs="Times New Roman"/>
        </w:rPr>
      </w:pPr>
      <w:r>
        <w:rPr/>
      </w:r>
    </w:p>
    <w:p>
      <w:pPr>
        <w:pStyle w:val="Normal"/>
        <w:ind w:right="-112" w:hanging="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Приложение № 2 к Договору поставки</w:t>
      </w:r>
    </w:p>
    <w:p>
      <w:pPr>
        <w:pStyle w:val="Normal"/>
        <w:ind w:right="-112" w:hanging="0"/>
        <w:jc w:val="right"/>
        <w:rPr>
          <w:rFonts w:ascii="Times New Roman" w:hAnsi="Times New Roman" w:cs="Times New Roman"/>
        </w:rPr>
      </w:pPr>
      <w:r>
        <w:rPr>
          <w:rFonts w:cs="Times New Roman" w:ascii="Times New Roman" w:hAnsi="Times New Roman"/>
        </w:rPr>
        <w:t xml:space="preserve">                                                                                                № </w:t>
      </w:r>
      <w:r>
        <w:rPr>
          <w:rFonts w:cs="Times New Roman" w:ascii="Times New Roman" w:hAnsi="Times New Roman"/>
        </w:rPr>
        <w:t>_____  от «___» ____________ 2022 г.</w:t>
      </w:r>
    </w:p>
    <w:p>
      <w:pPr>
        <w:pStyle w:val="ListParagraph"/>
        <w:tabs>
          <w:tab w:val="clear" w:pos="709"/>
          <w:tab w:val="left" w:pos="426" w:leader="none"/>
        </w:tabs>
        <w:spacing w:lineRule="auto" w:line="240" w:before="0" w:after="0"/>
        <w:ind w:left="0" w:firstLine="709"/>
        <w:contextualSpacing/>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ListParagraph"/>
        <w:tabs>
          <w:tab w:val="clear" w:pos="709"/>
          <w:tab w:val="left" w:pos="426" w:leader="none"/>
        </w:tabs>
        <w:spacing w:lineRule="auto" w:line="240" w:before="0" w:after="0"/>
        <w:ind w:left="0" w:firstLine="709"/>
        <w:contextualSpacing/>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ListParagraph"/>
        <w:tabs>
          <w:tab w:val="clear" w:pos="709"/>
          <w:tab w:val="left" w:pos="426" w:leader="none"/>
        </w:tabs>
        <w:spacing w:lineRule="auto" w:line="240" w:before="0" w:after="0"/>
        <w:ind w:left="0" w:firstLine="709"/>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ListParagraph"/>
        <w:tabs>
          <w:tab w:val="clear" w:pos="709"/>
          <w:tab w:val="left" w:pos="426" w:leader="none"/>
        </w:tabs>
        <w:spacing w:lineRule="auto" w:line="240" w:before="0" w:after="0"/>
        <w:ind w:left="0" w:firstLine="709"/>
        <w:contextualSpacing/>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ListParagraph"/>
        <w:tabs>
          <w:tab w:val="clear" w:pos="709"/>
          <w:tab w:val="left" w:pos="426" w:leader="none"/>
        </w:tabs>
        <w:spacing w:lineRule="auto" w:line="240" w:before="0" w:after="0"/>
        <w:ind w:left="0" w:firstLine="709"/>
        <w:contextualSpacing/>
        <w:jc w:val="right"/>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0" w:hanging="0"/>
        <w:contextualSpacing/>
        <w:jc w:val="center"/>
        <w:rPr>
          <w:rFonts w:ascii="Times New Roman" w:hAnsi="Times New Roman" w:cs="Times New Roman"/>
          <w:b/>
          <w:b/>
          <w:color w:val="1D1B11" w:themeColor="background2" w:themeShade="1a"/>
          <w:sz w:val="24"/>
          <w:szCs w:val="24"/>
        </w:rPr>
      </w:pPr>
      <w:r>
        <w:rPr>
          <w:rFonts w:cs="Times New Roman" w:ascii="Times New Roman" w:hAnsi="Times New Roman"/>
          <w:b/>
          <w:color w:val="1D1B11" w:themeColor="background2" w:themeShade="1a"/>
          <w:sz w:val="24"/>
          <w:szCs w:val="24"/>
        </w:rPr>
      </w:r>
    </w:p>
    <w:p>
      <w:pPr>
        <w:pStyle w:val="ListParagraph"/>
        <w:spacing w:lineRule="auto" w:line="240" w:before="0" w:after="0"/>
        <w:ind w:left="0" w:hanging="0"/>
        <w:contextualSpacing/>
        <w:jc w:val="center"/>
        <w:rPr>
          <w:rFonts w:ascii="Times New Roman" w:hAnsi="Times New Roman" w:cs="Times New Roman"/>
          <w:b/>
          <w:b/>
          <w:color w:val="1D1B11" w:themeColor="background2" w:themeShade="1a"/>
          <w:sz w:val="24"/>
          <w:szCs w:val="24"/>
        </w:rPr>
      </w:pPr>
      <w:r>
        <w:rPr>
          <w:rFonts w:cs="Times New Roman" w:ascii="Times New Roman" w:hAnsi="Times New Roman"/>
          <w:b/>
          <w:color w:val="1D1B11" w:themeColor="background2" w:themeShade="1a"/>
          <w:sz w:val="24"/>
          <w:szCs w:val="24"/>
        </w:rPr>
      </w:r>
    </w:p>
    <w:p>
      <w:pPr>
        <w:pStyle w:val="ListParagraph"/>
        <w:spacing w:lineRule="auto" w:line="240" w:before="0" w:after="0"/>
        <w:ind w:left="0" w:hanging="0"/>
        <w:contextualSpacing/>
        <w:jc w:val="center"/>
        <w:rPr>
          <w:rFonts w:ascii="Times New Roman" w:hAnsi="Times New Roman" w:cs="Times New Roman"/>
          <w:b/>
          <w:b/>
          <w:color w:val="1D1B11" w:themeColor="background2" w:themeShade="1a"/>
          <w:sz w:val="24"/>
          <w:szCs w:val="24"/>
        </w:rPr>
      </w:pPr>
      <w:r>
        <w:rPr>
          <w:rFonts w:cs="Times New Roman" w:ascii="Times New Roman" w:hAnsi="Times New Roman"/>
          <w:b/>
          <w:color w:val="1D1B11" w:themeColor="background2" w:themeShade="1a"/>
          <w:sz w:val="24"/>
          <w:szCs w:val="24"/>
        </w:rPr>
      </w:r>
    </w:p>
    <w:p>
      <w:pPr>
        <w:pStyle w:val="ListParagraph"/>
        <w:spacing w:lineRule="auto" w:line="240" w:before="0" w:after="0"/>
        <w:ind w:left="0" w:hanging="0"/>
        <w:contextualSpacing/>
        <w:jc w:val="center"/>
        <w:rPr>
          <w:rFonts w:ascii="Times New Roman" w:hAnsi="Times New Roman" w:cs="Times New Roman"/>
          <w:b/>
          <w:b/>
          <w:color w:val="1D1B11" w:themeColor="background2" w:themeShade="1a"/>
          <w:sz w:val="24"/>
          <w:szCs w:val="24"/>
        </w:rPr>
      </w:pPr>
      <w:r>
        <w:rPr>
          <w:rFonts w:cs="Times New Roman" w:ascii="Times New Roman" w:hAnsi="Times New Roman"/>
          <w:b/>
          <w:color w:val="1D1B11" w:themeColor="background2" w:themeShade="1a"/>
          <w:sz w:val="24"/>
          <w:szCs w:val="24"/>
        </w:rPr>
      </w:r>
    </w:p>
    <w:p>
      <w:pPr>
        <w:pStyle w:val="ListParagraph"/>
        <w:spacing w:lineRule="auto" w:line="240" w:before="0" w:after="0"/>
        <w:ind w:left="0" w:hanging="0"/>
        <w:contextualSpacing/>
        <w:jc w:val="center"/>
        <w:rPr>
          <w:rFonts w:ascii="Times New Roman" w:hAnsi="Times New Roman" w:cs="Times New Roman"/>
          <w:b/>
          <w:b/>
          <w:color w:val="1D1B11" w:themeColor="background2" w:themeShade="1a"/>
          <w:sz w:val="24"/>
          <w:szCs w:val="24"/>
        </w:rPr>
      </w:pPr>
      <w:r>
        <w:rPr>
          <w:rFonts w:cs="Times New Roman" w:ascii="Times New Roman" w:hAnsi="Times New Roman"/>
          <w:b/>
          <w:color w:val="1D1B11" w:themeColor="background2" w:themeShade="1a"/>
          <w:sz w:val="24"/>
          <w:szCs w:val="24"/>
        </w:rPr>
      </w:r>
    </w:p>
    <w:p>
      <w:pPr>
        <w:pStyle w:val="ListParagraph"/>
        <w:spacing w:lineRule="auto" w:line="240" w:before="0" w:after="0"/>
        <w:ind w:left="0" w:hanging="0"/>
        <w:contextualSpacing/>
        <w:jc w:val="center"/>
        <w:rPr>
          <w:rFonts w:ascii="Times New Roman" w:hAnsi="Times New Roman" w:cs="Times New Roman"/>
          <w:b/>
          <w:b/>
          <w:color w:val="1D1B11" w:themeColor="background2" w:themeShade="1a"/>
          <w:sz w:val="24"/>
          <w:szCs w:val="24"/>
        </w:rPr>
      </w:pPr>
      <w:r>
        <w:rPr>
          <w:rFonts w:cs="Times New Roman" w:ascii="Times New Roman" w:hAnsi="Times New Roman"/>
          <w:b/>
          <w:color w:val="1D1B11" w:themeColor="background2" w:themeShade="1a"/>
          <w:sz w:val="24"/>
          <w:szCs w:val="24"/>
        </w:rPr>
        <w:t>ТЕХНИЧЕСКОЕ ЗАДАНИЕ</w:t>
      </w:r>
      <w:r>
        <w:rPr>
          <w:rStyle w:val="Style20"/>
          <w:rFonts w:cs="Times New Roman" w:ascii="Times New Roman" w:hAnsi="Times New Roman"/>
          <w:b/>
          <w:sz w:val="24"/>
          <w:szCs w:val="24"/>
        </w:rPr>
        <w:footnoteReference w:id="2"/>
      </w:r>
    </w:p>
    <w:p>
      <w:pPr>
        <w:pStyle w:val="ListParagraph"/>
        <w:spacing w:lineRule="auto" w:line="240" w:before="0" w:after="0"/>
        <w:contextualSpacing/>
        <w:jc w:val="center"/>
        <w:rPr>
          <w:rFonts w:ascii="Times New Roman" w:hAnsi="Times New Roman" w:cs="Times New Roman"/>
          <w:b/>
          <w:b/>
          <w:color w:val="1D1B11" w:themeColor="background2" w:themeShade="1a"/>
          <w:sz w:val="24"/>
          <w:szCs w:val="24"/>
        </w:rPr>
      </w:pPr>
      <w:r>
        <w:rPr>
          <w:rFonts w:cs="Times New Roman" w:ascii="Times New Roman" w:hAnsi="Times New Roman"/>
          <w:b/>
          <w:color w:val="1D1B11" w:themeColor="background2" w:themeShade="1a"/>
          <w:sz w:val="24"/>
          <w:szCs w:val="24"/>
        </w:rPr>
        <w:t>на приобретение  программного комплекса</w:t>
      </w:r>
      <w:bookmarkStart w:id="0" w:name="_GoBack"/>
      <w:bookmarkEnd w:id="0"/>
      <w:r>
        <w:rPr>
          <w:rFonts w:cs="Times New Roman" w:ascii="Times New Roman" w:hAnsi="Times New Roman"/>
          <w:b/>
          <w:color w:val="1D1B11" w:themeColor="background2" w:themeShade="1a"/>
          <w:sz w:val="24"/>
          <w:szCs w:val="24"/>
        </w:rPr>
        <w:t xml:space="preserve"> автоматизированной системы коммерческого учёта электрической энергии (АСКУЭ).</w:t>
      </w:r>
    </w:p>
    <w:p>
      <w:pPr>
        <w:pStyle w:val="ListParagraph"/>
        <w:spacing w:lineRule="auto" w:line="240" w:before="0" w:after="0"/>
        <w:ind w:left="0" w:firstLine="709"/>
        <w:contextualSpacing/>
        <w:jc w:val="center"/>
        <w:rPr>
          <w:rFonts w:ascii="Times New Roman" w:hAnsi="Times New Roman" w:cs="Times New Roman"/>
          <w:b/>
          <w:b/>
          <w:color w:val="1D1B11" w:themeColor="background2" w:themeShade="1a"/>
          <w:sz w:val="24"/>
          <w:szCs w:val="24"/>
        </w:rPr>
      </w:pPr>
      <w:r>
        <w:rPr>
          <w:rFonts w:cs="Times New Roman" w:ascii="Times New Roman" w:hAnsi="Times New Roman"/>
          <w:b/>
          <w:color w:val="1D1B11" w:themeColor="background2" w:themeShade="1a"/>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Екатеринбург 2022 год</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56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0" w:leader="none"/>
        </w:tabs>
        <w:suppressAutoHyphens w:val="true"/>
        <w:spacing w:lineRule="auto" w:line="240" w:before="0" w:after="12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1. Заказчик: </w:t>
      </w:r>
      <w:r>
        <w:rPr>
          <w:rFonts w:eastAsia="Times New Roman" w:cs="Times New Roman" w:ascii="Times New Roman" w:hAnsi="Times New Roman"/>
          <w:sz w:val="24"/>
          <w:szCs w:val="24"/>
          <w:lang w:eastAsia="ru-RU"/>
        </w:rPr>
        <w:t xml:space="preserve">АО «Региональная сетевая компания». </w:t>
      </w:r>
    </w:p>
    <w:p>
      <w:pPr>
        <w:pStyle w:val="Normal"/>
        <w:suppressAutoHyphens w:val="true"/>
        <w:spacing w:lineRule="auto" w:line="240" w:before="0" w:after="120"/>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b/>
          <w:spacing w:val="-1"/>
          <w:sz w:val="24"/>
          <w:szCs w:val="24"/>
          <w:lang w:eastAsia="ru-RU"/>
        </w:rPr>
        <w:t>2. Предмет закупки:</w:t>
      </w:r>
      <w:r>
        <w:rPr>
          <w:rFonts w:eastAsia="Times New Roman" w:cs="Times New Roman" w:ascii="Times New Roman" w:hAnsi="Times New Roman"/>
          <w:spacing w:val="-1"/>
          <w:sz w:val="24"/>
          <w:szCs w:val="24"/>
          <w:lang w:eastAsia="ru-RU"/>
        </w:rPr>
        <w:t xml:space="preserve"> право заключения договора на приобретение  программного комплекса. </w:t>
      </w:r>
    </w:p>
    <w:p>
      <w:pPr>
        <w:pStyle w:val="Normal"/>
        <w:suppressAutoHyphens w:val="true"/>
        <w:spacing w:lineRule="auto" w:line="240" w:before="0" w:after="120"/>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b/>
          <w:spacing w:val="-1"/>
          <w:sz w:val="24"/>
          <w:szCs w:val="24"/>
          <w:lang w:eastAsia="ru-RU"/>
        </w:rPr>
        <w:t xml:space="preserve">3. </w:t>
      </w:r>
      <w:r>
        <w:rPr>
          <w:rFonts w:eastAsia="Times New Roman" w:cs="Times New Roman" w:ascii="Times New Roman" w:hAnsi="Times New Roman"/>
          <w:b/>
          <w:sz w:val="24"/>
          <w:szCs w:val="24"/>
          <w:lang w:eastAsia="ru-RU"/>
        </w:rPr>
        <w:t xml:space="preserve">Условия оплаты: </w:t>
      </w:r>
      <w:r>
        <w:rPr>
          <w:rFonts w:eastAsia="Times New Roman" w:cs="Times New Roman" w:ascii="Times New Roman" w:hAnsi="Times New Roman"/>
          <w:sz w:val="24"/>
          <w:szCs w:val="24"/>
          <w:lang w:eastAsia="ru-RU"/>
        </w:rPr>
        <w:t xml:space="preserve">Оплата в размере 100% стоимости ПО в течении 10 (десяти) рабочих дней с момента выставления счета. </w:t>
      </w:r>
    </w:p>
    <w:p>
      <w:pPr>
        <w:pStyle w:val="Normal"/>
        <w:spacing w:before="0" w:after="120"/>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before="0" w:after="120"/>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4. Требования к ПО АСКУЭ:</w:t>
      </w:r>
    </w:p>
    <w:p>
      <w:pPr>
        <w:pStyle w:val="ListParagraph"/>
        <w:numPr>
          <w:ilvl w:val="0"/>
          <w:numId w:val="2"/>
        </w:numPr>
        <w:tabs>
          <w:tab w:val="clear" w:pos="709"/>
          <w:tab w:val="left" w:pos="0" w:leader="none"/>
        </w:tabs>
        <w:suppressAutoHyphens w:val="true"/>
        <w:spacing w:lineRule="auto" w:line="240" w:before="0" w:after="120"/>
        <w:ind w:left="425" w:hanging="425"/>
        <w:contextualSpacing/>
        <w:jc w:val="both"/>
        <w:rPr>
          <w:rFonts w:ascii="Times New Roman" w:hAnsi="Times New Roman" w:eastAsia="Times New Roman" w:cs="Times New Roman"/>
          <w:sz w:val="24"/>
          <w:szCs w:val="24"/>
          <w:lang w:eastAsia="ru-RU"/>
        </w:rPr>
      </w:pPr>
      <w:r>
        <w:rPr>
          <w:rFonts w:cs="Times New Roman" w:ascii="Times New Roman" w:hAnsi="Times New Roman"/>
          <w:color w:val="000000" w:themeColor="text1"/>
          <w:sz w:val="24"/>
          <w:szCs w:val="24"/>
        </w:rPr>
        <w:t>ПО АСКУЭ, б</w:t>
      </w:r>
      <w:r>
        <w:rPr>
          <w:rFonts w:cs="Times New Roman" w:ascii="Times New Roman" w:hAnsi="Times New Roman"/>
          <w:sz w:val="24"/>
          <w:szCs w:val="24"/>
        </w:rPr>
        <w:t xml:space="preserve">аза данных должны быть установлены на сервере </w:t>
      </w:r>
      <w:r>
        <w:rPr>
          <w:rFonts w:eastAsia="Times New Roman" w:cs="Times New Roman" w:ascii="Times New Roman" w:hAnsi="Times New Roman"/>
          <w:sz w:val="24"/>
          <w:szCs w:val="24"/>
          <w:lang w:eastAsia="ru-RU"/>
        </w:rPr>
        <w:t xml:space="preserve">АО «Региональная сетевая компания». </w:t>
      </w:r>
    </w:p>
    <w:p>
      <w:pPr>
        <w:pStyle w:val="ListParagraph"/>
        <w:numPr>
          <w:ilvl w:val="0"/>
          <w:numId w:val="2"/>
        </w:numPr>
        <w:tabs>
          <w:tab w:val="clear" w:pos="709"/>
          <w:tab w:val="left" w:pos="0" w:leader="none"/>
        </w:tabs>
        <w:suppressAutoHyphens w:val="true"/>
        <w:spacing w:lineRule="auto" w:line="240" w:before="0" w:after="120"/>
        <w:ind w:left="425" w:hanging="425"/>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АРМ администратор ПО - один</w:t>
      </w:r>
    </w:p>
    <w:p>
      <w:pPr>
        <w:pStyle w:val="ListParagraph"/>
        <w:numPr>
          <w:ilvl w:val="0"/>
          <w:numId w:val="2"/>
        </w:numPr>
        <w:tabs>
          <w:tab w:val="clear" w:pos="709"/>
          <w:tab w:val="left" w:pos="0" w:leader="none"/>
        </w:tabs>
        <w:suppressAutoHyphens w:val="true"/>
        <w:spacing w:lineRule="auto" w:line="240" w:before="0" w:after="120"/>
        <w:ind w:left="425" w:hanging="425"/>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Количество АРМ пользователей ПО - 7 </w:t>
      </w:r>
    </w:p>
    <w:p>
      <w:pPr>
        <w:pStyle w:val="ListParagraph"/>
        <w:numPr>
          <w:ilvl w:val="0"/>
          <w:numId w:val="2"/>
        </w:numPr>
        <w:tabs>
          <w:tab w:val="clear" w:pos="709"/>
          <w:tab w:val="left" w:pos="0" w:leader="none"/>
        </w:tabs>
        <w:suppressAutoHyphens w:val="true"/>
        <w:spacing w:lineRule="auto" w:line="240" w:before="0" w:after="120"/>
        <w:ind w:left="425" w:hanging="425"/>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точек (приборов учёта электрической энергии) ПО - 3000, с перспективой будущего увеличения до 40000</w:t>
      </w:r>
    </w:p>
    <w:p>
      <w:pPr>
        <w:pStyle w:val="ListParagraph"/>
        <w:tabs>
          <w:tab w:val="clear" w:pos="709"/>
          <w:tab w:val="left" w:pos="0" w:leader="none"/>
        </w:tabs>
        <w:suppressAutoHyphens w:val="true"/>
        <w:spacing w:lineRule="auto" w:line="240" w:before="0" w:after="120"/>
        <w:ind w:left="426"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120"/>
        <w:jc w:val="both"/>
        <w:rPr>
          <w:rFonts w:ascii="Times New Roman" w:hAnsi="Times New Roman" w:cs="Times New Roman"/>
          <w:b/>
          <w:b/>
          <w:color w:val="000000" w:themeColor="text1"/>
          <w:sz w:val="24"/>
          <w:szCs w:val="24"/>
        </w:rPr>
      </w:pPr>
      <w:r>
        <w:rPr>
          <w:rFonts w:eastAsia="Calibri" w:cs="Times New Roman" w:ascii="Times New Roman" w:hAnsi="Times New Roman"/>
          <w:b/>
          <w:color w:val="000000" w:themeColor="text1"/>
          <w:kern w:val="0"/>
          <w:sz w:val="24"/>
          <w:szCs w:val="24"/>
          <w:lang w:val="ru-RU" w:eastAsia="en-US" w:bidi="ar-SA"/>
        </w:rPr>
        <w:t>5</w:t>
      </w:r>
      <w:r>
        <w:rPr>
          <w:rFonts w:cs="Times New Roman" w:ascii="Times New Roman" w:hAnsi="Times New Roman"/>
          <w:b/>
          <w:color w:val="000000" w:themeColor="text1"/>
          <w:sz w:val="24"/>
          <w:szCs w:val="24"/>
        </w:rPr>
        <w:t xml:space="preserve">. Технические требования к функционалу ПО АСКУЭ: </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 xml:space="preserve">Функциональная схема системы должна включать в себя следующие основные компоненты: </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 База данных системы для долговременного хранения и обработки;</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 сервер приложений на основе стандартного web-сервера;</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 xml:space="preserve">- сервер отчетов  -  генерация отчетов на базе стандартного сервера отчетов; </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 сервисы – специализированное программное обеспечения для интеграции с внешними системами – ГИС-сервисами, классификаторами, биллинг-системами;</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 web-кабинеты пользователей различных ролей – удаленный доступ пользователей по сети Internet к данным системы с помощью web-браузера.</w:t>
      </w:r>
    </w:p>
    <w:p>
      <w:pPr>
        <w:pStyle w:val="Normal"/>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before="0" w:after="12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 АСКУЭ должно обеспечивать решение следующих задач:</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Автоматизированный сбор данных по учету электроэнергии: показания (суточные, месячные, в т.ч., тарифные),  профили нагрузки,  журналы событий, текущие измерения параметров режима электрической сети;</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Контроль достоверности результатов измерений, полученных в результате сбора с ПУ, и замещение результатов измерений за отсутствующие периоды;</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Расчет суммарных показателей энергопотребления по различным группам объектов, анализ балансов (приход/расход/отдача/потери электроэнергии на подстанциях, трансформаторных и распределительных пунктах, участках электросетей и прочих объектах, сравнение фактических небалансов с допустимыми значениями);</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Формирование сводной отчетности (отчеты о потреблении электроэнергии, реестры и перечни ПУ  и прочего оборудования, годовые планы поверок, отчеты о техническом обслуживании, потребительские отчеты и другие);</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Ведение нормативно-справочной информации о точках учета, объектах электросети, электрооборудовании, точках технологического присоединения к электрическим сетям, включая справочники и классификаторы;</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Эксплуатационный мониторинг состояний приборов учета, каналов связи, программного и аппаратного обеспечения, регистрация и обработка критических событий, в том числе: нарушение нормальной схемы электроснабжения, вмешательство в оборудование комплекса (санкционированное и несанкционированное), отклонение от режимов потребления, изменение локальных небалансов свыше порогового значения и т.д.;</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Ведение информации об установках, заменах, техническом обслуживании и ремонтах приборов учета, включая обработку заявок на подключение/отключение;</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Ведение единого астрономического времени в элементах, контролируемых АСКУЭ;</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Администрирование Системы, включая управление пользователями, правами пользователей и их доступом к объектам на основе ролевой модели разграничения прав доступа;</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Возможность опроса подсистем АИИС на разном уровне: опрос счетчиков, </w:t>
      </w:r>
      <w:r>
        <w:rPr>
          <w:rFonts w:cs="Times New Roman" w:ascii="Times New Roman" w:hAnsi="Times New Roman"/>
          <w:color w:val="000000" w:themeColor="text1"/>
          <w:sz w:val="24"/>
          <w:szCs w:val="24"/>
          <w:lang w:val="en-US"/>
        </w:rPr>
        <w:t>RF</w:t>
      </w:r>
      <w:r>
        <w:rPr>
          <w:rFonts w:cs="Times New Roman" w:ascii="Times New Roman" w:hAnsi="Times New Roman"/>
          <w:color w:val="000000" w:themeColor="text1"/>
          <w:sz w:val="24"/>
          <w:szCs w:val="24"/>
        </w:rPr>
        <w:t>/PLC/GPRS-концентраторов (УСПД), АИИС (по предоставляемым интерфейсам);</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Централизованная тарифная политика. Автоматическая рассылка тарифных расписаний из Центра Сбора данных на приборы учета. Регулярная автоматическая сверка фактических тарифов из счетчиков с тарифными расписаниями в БД, заданных для различных категорий потребителей.</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Управление  доступом  к счетчикам. Генерация и централизованное хранение параметров доступа (паролей) к интеллектуальным приборам учета (ПУ) электрической энергии потребителей. </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Удаленное ручное, полуавтоматическое (подготовка заявки по требованиям) ограничение/отключение нагрузки абонента (если это поддерживает счетчик), выдача разрешения на включение нагрузки.</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Информирование абонентов  о предстоящем отключении/ограничении, задолженности, возможной смене тарифа и т.п. </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Групповое администрирование системы. Ведение типовых точек учета, заполнение групп абонентов по шаблонам и из XLS-макетов (адреса, ФИО, зав. номер счетчика и т.п.). Типовые правила наименования/создания узлов дерева объектов. Возможность автоматической привязки счетчиков по заданным правилам. Автопривязка счетчиков. Распределенная обработка данных, отложенные пересчеты. «Заморозка» пересчетов (фиксация коммерческих данных, запрет изменений).</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Web-портал для предоставления отчетности клиентам системы. Единая политика раздачи прав доступа и парольных ограничений. Диалоговый режим работы с клиентом (подача заявок, самостоятельный ввод показаний приборов учета и т.п.).</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Интеграция с внешними системами  (биллинговые системы, классификаторы адресов, ГИС-системы).</w:t>
      </w:r>
    </w:p>
    <w:p>
      <w:pPr>
        <w:pStyle w:val="Normal"/>
        <w:spacing w:lineRule="auto" w:line="240" w:before="0" w:after="120"/>
        <w:ind w:left="360"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Кроме того, учитывая специфику «Верхнего уровня» АСКУЭ необходимо обеспечивать решение следующих задач:</w:t>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расчет потерь в силовых трансформаторах и линиях с помощью встроенных средств (мастера, конфигураторы)</w:t>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расчет технических и коммерческих потерь э/э с помощью сложных многопараметрических формул (редактор формул или др. инструмент)</w:t>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нормативно-справочную информацию (НСИ) по приборам учета</w:t>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графический </w:t>
      </w:r>
      <w:r>
        <w:rPr>
          <w:rFonts w:cs="Times New Roman" w:ascii="Times New Roman" w:hAnsi="Times New Roman"/>
          <w:color w:val="000000" w:themeColor="text1"/>
          <w:sz w:val="24"/>
          <w:szCs w:val="24"/>
          <w:lang w:val="en-US"/>
        </w:rPr>
        <w:t>SCADA</w:t>
      </w:r>
      <w:r>
        <w:rPr>
          <w:rFonts w:cs="Times New Roman" w:ascii="Times New Roman" w:hAnsi="Times New Roman"/>
          <w:color w:val="000000" w:themeColor="text1"/>
          <w:sz w:val="24"/>
          <w:szCs w:val="24"/>
        </w:rPr>
        <w:t>-подобный интерфейс визуализации (анимированные мнемосхемы, масштабирование, векторная графика и тп)</w:t>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создание АРМов пользователя под требования Заказчика своими силами, без привлечения специалистов Разработчика ПТК.</w:t>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создание собственных типов отчетов </w:t>
      </w:r>
      <w:r>
        <w:rPr>
          <w:rFonts w:cs="Times New Roman" w:ascii="Times New Roman" w:hAnsi="Times New Roman"/>
          <w:color w:val="000000" w:themeColor="text1"/>
          <w:sz w:val="24"/>
          <w:szCs w:val="24"/>
          <w:lang w:val="en-US"/>
        </w:rPr>
        <w:t>XLS</w:t>
      </w:r>
      <w:r>
        <w:rPr>
          <w:rFonts w:cs="Times New Roman" w:ascii="Times New Roman" w:hAnsi="Times New Roman"/>
          <w:color w:val="000000" w:themeColor="text1"/>
          <w:sz w:val="24"/>
          <w:szCs w:val="24"/>
        </w:rPr>
        <w:t xml:space="preserve">  требования Заказчика своими силами, без привлечения специалистов Разработчика ПТК.</w:t>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Автоматический оперативный мониторинг и контроль нештатных ситуаций (события  счетчика, пропадание связи, выход параметра за уставки) с оповещением оперативного персонала через АРМы и при помощи </w:t>
      </w:r>
      <w:r>
        <w:rPr>
          <w:rFonts w:cs="Times New Roman" w:ascii="Times New Roman" w:hAnsi="Times New Roman"/>
          <w:color w:val="000000" w:themeColor="text1"/>
          <w:sz w:val="24"/>
          <w:szCs w:val="24"/>
          <w:lang w:val="en-US"/>
        </w:rPr>
        <w:t>SMS</w:t>
      </w:r>
      <w:r>
        <w:rPr>
          <w:rFonts w:cs="Times New Roman" w:ascii="Times New Roman" w:hAnsi="Times New Roman"/>
          <w:color w:val="000000" w:themeColor="text1"/>
          <w:sz w:val="24"/>
          <w:szCs w:val="24"/>
        </w:rPr>
        <w:t>-сообщений.</w:t>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автоматический оперативный поиск небаланса на подстанциях с автоматическим выявлением источника небаланса.</w:t>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обмен данными со смежными ИС в стандартных макетах (</w:t>
      </w:r>
      <w:r>
        <w:rPr>
          <w:rFonts w:cs="Times New Roman" w:ascii="Times New Roman" w:hAnsi="Times New Roman"/>
          <w:color w:val="000000" w:themeColor="text1"/>
          <w:sz w:val="24"/>
          <w:szCs w:val="24"/>
          <w:lang w:val="en-US"/>
        </w:rPr>
        <w:t>KEGOK</w:t>
      </w:r>
      <w:r>
        <w:rPr>
          <w:rFonts w:cs="Times New Roman" w:ascii="Times New Roman" w:hAnsi="Times New Roman"/>
          <w:color w:val="000000" w:themeColor="text1"/>
          <w:sz w:val="24"/>
          <w:szCs w:val="24"/>
        </w:rPr>
        <w:t>,</w:t>
      </w:r>
      <w:r>
        <w:rPr>
          <w:color w:val="000000"/>
        </w:rPr>
        <w:t xml:space="preserve"> </w:t>
      </w:r>
      <w:r>
        <w:rPr>
          <w:rFonts w:cs="Times New Roman" w:ascii="Times New Roman" w:hAnsi="Times New Roman"/>
          <w:color w:val="000000" w:themeColor="text1"/>
          <w:sz w:val="24"/>
          <w:szCs w:val="24"/>
          <w:lang w:val="en-US"/>
        </w:rPr>
        <w:t>XML</w:t>
      </w:r>
      <w:r>
        <w:rPr>
          <w:rFonts w:cs="Times New Roman" w:ascii="Times New Roman" w:hAnsi="Times New Roman"/>
          <w:color w:val="000000" w:themeColor="text1"/>
          <w:sz w:val="24"/>
          <w:szCs w:val="24"/>
        </w:rPr>
        <w:t xml:space="preserve">, АСКП, ФОПД, 63002  итп), в виде </w:t>
      </w:r>
      <w:r>
        <w:rPr>
          <w:rFonts w:cs="Times New Roman" w:ascii="Times New Roman" w:hAnsi="Times New Roman"/>
          <w:color w:val="000000" w:themeColor="text1"/>
          <w:sz w:val="24"/>
          <w:szCs w:val="24"/>
          <w:lang w:val="en-US"/>
        </w:rPr>
        <w:t>XLS</w:t>
      </w:r>
      <w:r>
        <w:rPr>
          <w:rFonts w:cs="Times New Roman" w:ascii="Times New Roman" w:hAnsi="Times New Roman"/>
          <w:color w:val="000000" w:themeColor="text1"/>
          <w:sz w:val="24"/>
          <w:szCs w:val="24"/>
        </w:rPr>
        <w:t xml:space="preserve">-файлов произвольной структуры  как на экспорт (отправка данных), так и на импорт (автоматическая закачка данных через электронную почту или </w:t>
      </w:r>
      <w:r>
        <w:rPr>
          <w:rFonts w:cs="Times New Roman" w:ascii="Times New Roman" w:hAnsi="Times New Roman"/>
          <w:color w:val="000000" w:themeColor="text1"/>
          <w:sz w:val="24"/>
          <w:szCs w:val="24"/>
          <w:lang w:val="en-US"/>
        </w:rPr>
        <w:t>Ftp</w:t>
      </w:r>
      <w:r>
        <w:rPr>
          <w:rFonts w:cs="Times New Roman" w:ascii="Times New Roman" w:hAnsi="Times New Roman"/>
          <w:color w:val="000000" w:themeColor="text1"/>
          <w:sz w:val="24"/>
          <w:szCs w:val="24"/>
        </w:rPr>
        <w:t>).</w:t>
      </w:r>
    </w:p>
    <w:p>
      <w:pPr>
        <w:pStyle w:val="ListParagraph"/>
        <w:numPr>
          <w:ilvl w:val="0"/>
          <w:numId w:val="1"/>
        </w:numPr>
        <w:spacing w:lineRule="auto" w:line="240" w:before="0" w:after="0"/>
        <w:contextualSpacing/>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опрос УСПД и счетчиков э/э разных типов:</w:t>
      </w:r>
    </w:p>
    <w:p>
      <w:pPr>
        <w:pStyle w:val="Normal"/>
        <w:shd w:val="clear" w:color="auto" w:fill="FFFFFF"/>
        <w:spacing w:lineRule="auto" w:line="240" w:before="0" w:after="0"/>
        <w:ind w:firstLine="284"/>
        <w:rPr>
          <w:rFonts w:ascii="Times New Roman" w:hAnsi="Times New Roman" w:cs="Times New Roman"/>
          <w:color w:val="000000"/>
          <w:sz w:val="24"/>
          <w:szCs w:val="24"/>
        </w:rPr>
      </w:pPr>
      <w:r>
        <w:rPr>
          <w:rFonts w:cs="Times New Roman" w:ascii="Times New Roman" w:hAnsi="Times New Roman"/>
          <w:color w:val="000000"/>
          <w:sz w:val="24"/>
          <w:szCs w:val="24"/>
        </w:rPr>
        <w:t xml:space="preserve">Альфа А1Т, А1R, ЕвроАльфа, АльфаПлюс, A1800, А1700 </w:t>
      </w:r>
    </w:p>
    <w:p>
      <w:pPr>
        <w:pStyle w:val="Normal"/>
        <w:shd w:val="clear" w:color="auto" w:fill="FFFFFF"/>
        <w:spacing w:lineRule="auto" w:line="240" w:before="0" w:after="0"/>
        <w:ind w:firstLine="284"/>
        <w:rPr>
          <w:rFonts w:ascii="Times New Roman" w:hAnsi="Times New Roman" w:cs="Times New Roman"/>
          <w:color w:val="000000"/>
          <w:sz w:val="24"/>
          <w:szCs w:val="24"/>
        </w:rPr>
      </w:pPr>
      <w:r>
        <w:rPr>
          <w:rFonts w:cs="Times New Roman" w:ascii="Times New Roman" w:hAnsi="Times New Roman"/>
          <w:color w:val="000000"/>
          <w:sz w:val="24"/>
          <w:szCs w:val="24"/>
        </w:rPr>
        <w:t xml:space="preserve">СЭТ-4ТМ.01, СЭТ-4ТМ.02, СЭТ-4ТМ.03, СЭТ-4ТМ.02М, СЭТ-4ТМ.03М </w:t>
      </w:r>
    </w:p>
    <w:p>
      <w:pPr>
        <w:pStyle w:val="Normal"/>
        <w:shd w:val="clear" w:color="auto" w:fill="FFFFFF"/>
        <w:spacing w:lineRule="auto" w:line="240" w:before="0" w:after="0"/>
        <w:ind w:firstLine="284"/>
        <w:rPr>
          <w:rFonts w:ascii="Times New Roman" w:hAnsi="Times New Roman" w:cs="Times New Roman"/>
          <w:color w:val="000000"/>
          <w:sz w:val="24"/>
          <w:szCs w:val="24"/>
        </w:rPr>
      </w:pPr>
      <w:r>
        <w:rPr>
          <w:rFonts w:cs="Times New Roman" w:ascii="Times New Roman" w:hAnsi="Times New Roman"/>
          <w:color w:val="000000"/>
          <w:sz w:val="24"/>
          <w:szCs w:val="24"/>
        </w:rPr>
        <w:t xml:space="preserve">ПСЧ-3ТМ.05, ПСЧ-4ТМ.05, ПСЧ-3ТМ.05М, ПСЧ-4ТМ.05М, ПСЧ-3ТМ.05Д, </w:t>
      </w:r>
    </w:p>
    <w:p>
      <w:pPr>
        <w:pStyle w:val="Normal"/>
        <w:shd w:val="clear" w:color="auto" w:fill="FFFFFF"/>
        <w:spacing w:lineRule="auto" w:line="240" w:before="0" w:after="0"/>
        <w:ind w:firstLine="284"/>
        <w:rPr>
          <w:rFonts w:ascii="Times New Roman" w:hAnsi="Times New Roman" w:cs="Times New Roman"/>
          <w:color w:val="000000"/>
          <w:sz w:val="24"/>
          <w:szCs w:val="24"/>
        </w:rPr>
      </w:pPr>
      <w:r>
        <w:rPr>
          <w:rFonts w:cs="Times New Roman" w:ascii="Times New Roman" w:hAnsi="Times New Roman"/>
          <w:color w:val="000000"/>
          <w:sz w:val="24"/>
          <w:szCs w:val="24"/>
        </w:rPr>
        <w:t xml:space="preserve">ПСЧ-4ТМ.05Д,  ПСЧ-4ТМ.05МК </w:t>
      </w:r>
    </w:p>
    <w:p>
      <w:pPr>
        <w:pStyle w:val="Normal"/>
        <w:shd w:val="clear" w:color="auto" w:fill="FFFFFF"/>
        <w:spacing w:lineRule="auto" w:line="240" w:before="0" w:after="0"/>
        <w:ind w:firstLine="284"/>
        <w:rPr>
          <w:rFonts w:ascii="Times New Roman" w:hAnsi="Times New Roman" w:cs="Times New Roman"/>
          <w:color w:val="000000"/>
          <w:sz w:val="24"/>
          <w:szCs w:val="24"/>
        </w:rPr>
      </w:pPr>
      <w:r>
        <w:rPr>
          <w:rFonts w:cs="Times New Roman" w:ascii="Times New Roman" w:hAnsi="Times New Roman"/>
          <w:color w:val="000000"/>
          <w:sz w:val="24"/>
          <w:szCs w:val="24"/>
        </w:rPr>
        <w:t xml:space="preserve">ПСЧ-4ТА.03.2, ПСЧ-3ТА.03.2 </w:t>
      </w:r>
    </w:p>
    <w:p>
      <w:pPr>
        <w:pStyle w:val="Normal"/>
        <w:shd w:val="clear" w:color="auto" w:fill="FFFFFF"/>
        <w:spacing w:lineRule="auto" w:line="240" w:before="0" w:after="0"/>
        <w:ind w:firstLine="284"/>
        <w:rPr>
          <w:rFonts w:ascii="Times New Roman" w:hAnsi="Times New Roman" w:cs="Times New Roman"/>
          <w:color w:val="000000"/>
          <w:sz w:val="24"/>
          <w:szCs w:val="24"/>
        </w:rPr>
      </w:pPr>
      <w:r>
        <w:rPr>
          <w:rFonts w:cs="Times New Roman" w:ascii="Times New Roman" w:hAnsi="Times New Roman"/>
          <w:color w:val="000000"/>
          <w:sz w:val="24"/>
          <w:szCs w:val="24"/>
        </w:rPr>
        <w:t xml:space="preserve">ПСЧ-3ТА.07 </w:t>
      </w:r>
    </w:p>
    <w:p>
      <w:pPr>
        <w:pStyle w:val="Normal"/>
        <w:shd w:val="clear" w:color="auto" w:fill="FFFFFF"/>
        <w:spacing w:lineRule="auto" w:line="240" w:before="0" w:after="0"/>
        <w:ind w:firstLine="284"/>
        <w:rPr>
          <w:rFonts w:ascii="Times New Roman" w:hAnsi="Times New Roman" w:cs="Times New Roman"/>
          <w:color w:val="000000"/>
          <w:sz w:val="24"/>
          <w:szCs w:val="24"/>
        </w:rPr>
      </w:pPr>
      <w:r>
        <w:rPr>
          <w:rFonts w:cs="Times New Roman" w:ascii="Times New Roman" w:hAnsi="Times New Roman"/>
          <w:color w:val="000000"/>
          <w:sz w:val="24"/>
          <w:szCs w:val="24"/>
        </w:rPr>
        <w:t xml:space="preserve">ПСЧ-3АРТ.07(Д), ПСЧ-3А.06Т </w:t>
      </w:r>
    </w:p>
    <w:p>
      <w:pPr>
        <w:pStyle w:val="Normal"/>
        <w:shd w:val="clear" w:color="auto" w:fill="FFFFFF"/>
        <w:spacing w:lineRule="auto" w:line="240" w:before="0" w:after="0"/>
        <w:ind w:firstLine="284"/>
        <w:rPr>
          <w:rFonts w:ascii="Times New Roman" w:hAnsi="Times New Roman" w:cs="Times New Roman"/>
          <w:color w:val="000000"/>
          <w:sz w:val="24"/>
          <w:szCs w:val="24"/>
        </w:rPr>
      </w:pPr>
      <w:r>
        <w:rPr>
          <w:rFonts w:cs="Times New Roman" w:ascii="Times New Roman" w:hAnsi="Times New Roman"/>
          <w:color w:val="000000"/>
          <w:sz w:val="24"/>
          <w:szCs w:val="24"/>
        </w:rPr>
        <w:t>СЭБ-1ТМ.02(М), СЭБ-1ТМ.</w:t>
      </w:r>
    </w:p>
    <w:p>
      <w:pPr>
        <w:pStyle w:val="Normal"/>
        <w:shd w:val="clear" w:color="auto" w:fill="FFFFFF"/>
        <w:spacing w:lineRule="auto" w:line="240" w:before="0" w:after="0"/>
        <w:ind w:firstLine="284"/>
        <w:rPr>
          <w:rFonts w:ascii="Times New Roman" w:hAnsi="Times New Roman" w:cs="Times New Roman"/>
          <w:color w:val="000000"/>
          <w:sz w:val="24"/>
          <w:szCs w:val="24"/>
        </w:rPr>
      </w:pPr>
      <w:r>
        <w:rPr>
          <w:rFonts w:cs="Times New Roman" w:ascii="Times New Roman" w:hAnsi="Times New Roman"/>
          <w:color w:val="000000"/>
          <w:sz w:val="24"/>
          <w:szCs w:val="24"/>
        </w:rPr>
        <w:t xml:space="preserve">СЭБ-2А.07 </w:t>
      </w:r>
    </w:p>
    <w:p>
      <w:pPr>
        <w:pStyle w:val="Normal"/>
        <w:shd w:val="clear" w:color="auto" w:fill="FFFFFF"/>
        <w:spacing w:lineRule="auto" w:line="240" w:before="0" w:after="0"/>
        <w:ind w:firstLine="284"/>
        <w:rPr>
          <w:rFonts w:ascii="Times New Roman" w:hAnsi="Times New Roman" w:cs="Times New Roman"/>
          <w:color w:val="000000"/>
          <w:sz w:val="24"/>
          <w:szCs w:val="24"/>
        </w:rPr>
      </w:pPr>
      <w:r>
        <w:rPr>
          <w:rFonts w:cs="Times New Roman" w:ascii="Times New Roman" w:hAnsi="Times New Roman"/>
          <w:color w:val="000000"/>
          <w:sz w:val="24"/>
          <w:szCs w:val="24"/>
        </w:rPr>
        <w:t>Меркурий 230, 233 , 234, 236</w:t>
      </w:r>
    </w:p>
    <w:p>
      <w:pPr>
        <w:pStyle w:val="Normal"/>
        <w:shd w:val="clear" w:color="auto" w:fill="FFFFFF"/>
        <w:spacing w:lineRule="auto" w:line="240" w:before="0" w:after="0"/>
        <w:ind w:firstLine="284"/>
        <w:rPr>
          <w:rFonts w:ascii="Times New Roman" w:hAnsi="Times New Roman" w:cs="Times New Roman"/>
          <w:color w:val="000000"/>
          <w:sz w:val="24"/>
          <w:szCs w:val="24"/>
        </w:rPr>
      </w:pPr>
      <w:r>
        <w:rPr>
          <w:rFonts w:cs="Times New Roman" w:ascii="Times New Roman" w:hAnsi="Times New Roman"/>
          <w:color w:val="000000"/>
          <w:sz w:val="24"/>
          <w:szCs w:val="24"/>
        </w:rPr>
        <w:t xml:space="preserve">Меркурий 230A и 230AT </w:t>
      </w:r>
    </w:p>
    <w:p>
      <w:pPr>
        <w:pStyle w:val="Normal"/>
        <w:spacing w:lineRule="auto" w:line="240" w:before="0" w:after="0"/>
        <w:ind w:firstLine="284"/>
        <w:rPr>
          <w:rFonts w:ascii="Times New Roman" w:hAnsi="Times New Roman" w:cs="Times New Roman"/>
          <w:color w:val="000000" w:themeColor="text1"/>
          <w:sz w:val="24"/>
          <w:szCs w:val="24"/>
        </w:rPr>
      </w:pPr>
      <w:r>
        <w:rPr>
          <w:rFonts w:cs="Times New Roman" w:ascii="Times New Roman" w:hAnsi="Times New Roman"/>
          <w:color w:val="000000"/>
          <w:sz w:val="24"/>
          <w:szCs w:val="24"/>
        </w:rPr>
        <w:t>Меркурий 203.2T,204</w:t>
      </w:r>
    </w:p>
    <w:p>
      <w:pPr>
        <w:pStyle w:val="Normal"/>
        <w:spacing w:lineRule="auto" w:line="240" w:before="0" w:after="0"/>
        <w:ind w:firstLine="284"/>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Милур 107,</w:t>
      </w:r>
      <w:r>
        <w:rPr>
          <w:rFonts w:cs="Times New Roman" w:ascii="Times New Roman" w:hAnsi="Times New Roman"/>
          <w:color w:val="000000" w:themeColor="text1"/>
          <w:sz w:val="24"/>
          <w:szCs w:val="24"/>
          <w:lang w:val="en-US"/>
        </w:rPr>
        <w:t>S</w:t>
      </w:r>
    </w:p>
    <w:p>
      <w:pPr>
        <w:pStyle w:val="Normal"/>
        <w:spacing w:lineRule="auto" w:line="240" w:before="0" w:after="0"/>
        <w:ind w:firstLine="284"/>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Милур 307,</w:t>
      </w:r>
      <w:r>
        <w:rPr>
          <w:rFonts w:cs="Times New Roman" w:ascii="Times New Roman" w:hAnsi="Times New Roman"/>
          <w:color w:val="000000" w:themeColor="text1"/>
          <w:sz w:val="24"/>
          <w:szCs w:val="24"/>
          <w:lang w:val="en-US"/>
        </w:rPr>
        <w:t>S</w:t>
      </w:r>
    </w:p>
    <w:p>
      <w:pPr>
        <w:pStyle w:val="Normal"/>
        <w:spacing w:lineRule="auto" w:line="240" w:before="0" w:after="0"/>
        <w:ind w:firstLine="284"/>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Фобос 1</w:t>
      </w:r>
    </w:p>
    <w:p>
      <w:pPr>
        <w:pStyle w:val="Normal"/>
        <w:spacing w:lineRule="auto" w:line="240" w:before="0" w:after="0"/>
        <w:ind w:firstLine="284"/>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Фобос 3</w:t>
      </w:r>
    </w:p>
    <w:p>
      <w:pPr>
        <w:pStyle w:val="Normal"/>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6.  Перечень обязательных функций ПО АСКУЭ.</w:t>
      </w:r>
    </w:p>
    <w:p>
      <w:pPr>
        <w:pStyle w:val="Normal"/>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 xml:space="preserve">Функция «Учетные данные абонента» должна обеспечивать пользователя удобным инструментом  для контроля и анализа данных  учета электроэнергии и мощности в разрешенной зоне доступа  к приборам учета. </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Учетные  данные должны быть доступны для просмотра и анализа на любом интервале времени. Дополнительно должна быть предусмотрена детализация данных в табличном виде по тарифам и отчетному периоду.</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необходимости должна быть возможность генерации отчета с текущими параметрами просмотра данных и сохранения в требуемом формате (</w:t>
      </w:r>
      <w:r>
        <w:rPr>
          <w:rFonts w:cs="Times New Roman" w:ascii="Times New Roman" w:hAnsi="Times New Roman"/>
          <w:sz w:val="24"/>
          <w:szCs w:val="24"/>
          <w:lang w:val="en-US"/>
        </w:rPr>
        <w:t>pdf</w:t>
      </w:r>
      <w:r>
        <w:rPr>
          <w:rFonts w:cs="Times New Roman" w:ascii="Times New Roman" w:hAnsi="Times New Roman"/>
          <w:sz w:val="24"/>
          <w:szCs w:val="24"/>
        </w:rPr>
        <w:t xml:space="preserve">, </w:t>
      </w:r>
      <w:r>
        <w:rPr>
          <w:rFonts w:cs="Times New Roman" w:ascii="Times New Roman" w:hAnsi="Times New Roman"/>
          <w:sz w:val="24"/>
          <w:szCs w:val="24"/>
          <w:lang w:val="en-US"/>
        </w:rPr>
        <w:t>xls</w:t>
      </w:r>
      <w:r>
        <w:rPr>
          <w:rFonts w:cs="Times New Roman" w:ascii="Times New Roman" w:hAnsi="Times New Roman"/>
          <w:sz w:val="24"/>
          <w:szCs w:val="24"/>
        </w:rPr>
        <w:t xml:space="preserve">, </w:t>
      </w:r>
      <w:r>
        <w:rPr>
          <w:rFonts w:cs="Times New Roman" w:ascii="Times New Roman" w:hAnsi="Times New Roman"/>
          <w:sz w:val="24"/>
          <w:szCs w:val="24"/>
          <w:lang w:val="en-US"/>
        </w:rPr>
        <w:t>doc</w:t>
      </w:r>
      <w:r>
        <w:rPr>
          <w:rFonts w:cs="Times New Roman" w:ascii="Times New Roman" w:hAnsi="Times New Roman"/>
          <w:sz w:val="24"/>
          <w:szCs w:val="24"/>
        </w:rPr>
        <w:t>).</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Функция «Измерительные комплексы» должна предоставлять возможность получения необходимой информации о компонентах измерительных комплексов - счетчиках электрической энергии, измерительных  трансформаторах тока и напряжения,  используемых для формирования  учетных данных.</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 xml:space="preserve">Функция «Контроль отклонений» должна позволять выполнить контроль отклонений фактического потребления электроэнергии  от плановой величины, контроль превышения заданной  мощности, сравнить  потребление на текущем периоде  с аналогичным прошлым периодом. </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Для задания и коррекции планов потребления электроэнергии пользователю должна быть предоставлена дополнительная функция «Редактор планов».</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Функция «Журналы событий» должна позволять проведение детального анализа событий, зарегистрированных прибором учета. По указанной выборке счетчиков должна быть предоставлена общая статистика событий на заданном интервале времени. Должна быть возможность сузить выборку событий, устанавливая  различные фильтры по категориям и статусу (важности) событий.</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 xml:space="preserve">Функция «Отчеты Абонента» должна предоставлять возможность формировать практически любой набор учетных и справочных данных по доступным Абоненту точкам учета.  </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Должна быть возможность сохранения отчетов в р</w:t>
      </w:r>
      <w:r>
        <w:rPr>
          <w:rFonts w:cs="Times New Roman" w:ascii="Times New Roman" w:hAnsi="Times New Roman"/>
          <w:sz w:val="24"/>
          <w:szCs w:val="24"/>
          <w:lang w:val="en-US"/>
        </w:rPr>
        <w:t>df</w:t>
      </w:r>
      <w:r>
        <w:rPr>
          <w:rFonts w:cs="Times New Roman" w:ascii="Times New Roman" w:hAnsi="Times New Roman"/>
          <w:sz w:val="24"/>
          <w:szCs w:val="24"/>
        </w:rPr>
        <w:t xml:space="preserve">-, </w:t>
      </w:r>
      <w:r>
        <w:rPr>
          <w:rFonts w:cs="Times New Roman" w:ascii="Times New Roman" w:hAnsi="Times New Roman"/>
          <w:sz w:val="24"/>
          <w:szCs w:val="24"/>
          <w:lang w:val="en-US"/>
        </w:rPr>
        <w:t>xls</w:t>
      </w:r>
      <w:r>
        <w:rPr>
          <w:rFonts w:cs="Times New Roman" w:ascii="Times New Roman" w:hAnsi="Times New Roman"/>
          <w:sz w:val="24"/>
          <w:szCs w:val="24"/>
        </w:rPr>
        <w:t xml:space="preserve">- или </w:t>
      </w:r>
      <w:r>
        <w:rPr>
          <w:rFonts w:cs="Times New Roman" w:ascii="Times New Roman" w:hAnsi="Times New Roman"/>
          <w:sz w:val="24"/>
          <w:szCs w:val="24"/>
          <w:lang w:val="en-US"/>
        </w:rPr>
        <w:t>doc</w:t>
      </w:r>
      <w:r>
        <w:rPr>
          <w:rFonts w:cs="Times New Roman" w:ascii="Times New Roman" w:hAnsi="Times New Roman"/>
          <w:sz w:val="24"/>
          <w:szCs w:val="24"/>
        </w:rPr>
        <w:t>-формате.</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 xml:space="preserve">Функция «Редактор шаблонов отчетов» должна предоставлять возможность пользователю подготовить необходимый набор учетных и справочных данных в виде шаблона, и использовать его в дальнейшем   для формирования отчетов на заданном периоде времени. </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Дополнительно внешний вид отчета: форматирование текста, табличное представление данных, графики, диаграммы и др. может быть оформлен с помощью программы «Построитель отчетов» (MS SQL Report Builder) и сохранен в том же файле шаблона.</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Функция «Параметры режима электрической сети» должна предоставлять возможность анализа качества потребляемой электрической энергии по данным измерений параметров электрической сети.</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 xml:space="preserve">На заданном периоде времени должны отображаться графики  зарегистрированных параметров режима: мощности, напряжения, токи и др. </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Должно быть возможно, для указанного момента времени получить полную характеристику режима электрической сети в заданной точке учета: текущие значения параметров режима, векторную диаграмму токов и напряжений, характер нагрузки по фазам,  составляющие вектора полной мощности и др.</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Функция «Расчеты» должна обеспечивать решение типовых задач по расчету баланса по любому набору подстанций, а также  должна быть возможность выполнения детального расчета баланса по указанной подстанции или отдельного фидера, питающего группу потребителей на базе поставляемых шаблонов расчетных web-схем.</w:t>
      </w:r>
    </w:p>
    <w:p>
      <w:pPr>
        <w:pStyle w:val="Normal"/>
        <w:spacing w:lineRule="auto" w:line="240" w:before="0" w:after="120"/>
        <w:ind w:firstLine="851"/>
        <w:jc w:val="both"/>
        <w:rPr>
          <w:rFonts w:ascii="Times New Roman" w:hAnsi="Times New Roman" w:cs="Times New Roman"/>
          <w:sz w:val="24"/>
          <w:szCs w:val="24"/>
        </w:rPr>
      </w:pPr>
      <w:r>
        <w:rPr>
          <w:rFonts w:cs="Times New Roman" w:ascii="Times New Roman" w:hAnsi="Times New Roman"/>
          <w:sz w:val="24"/>
          <w:szCs w:val="24"/>
        </w:rPr>
        <w:t>Наборы точек учета, расчетные блоки и расчетные web-схемы, участвующие в расчетах,  должны быть организованы в соответствующие виды справочников и должны иметь возможность модифицироваться пользователем для решения собственных задач.</w:t>
      </w:r>
    </w:p>
    <w:p>
      <w:pPr>
        <w:pStyle w:val="Normal"/>
        <w:spacing w:lineRule="auto" w:line="240" w:before="0" w:after="0"/>
        <w:ind w:firstLine="851"/>
        <w:rPr>
          <w:rFonts w:ascii="Times New Roman" w:hAnsi="Times New Roman" w:cs="Times New Roman"/>
          <w:sz w:val="24"/>
          <w:szCs w:val="24"/>
        </w:rPr>
      </w:pPr>
      <w:r>
        <w:rPr>
          <w:rFonts w:cs="Times New Roman" w:ascii="Times New Roman" w:hAnsi="Times New Roman"/>
          <w:sz w:val="24"/>
          <w:szCs w:val="24"/>
        </w:rPr>
        <w:t xml:space="preserve">В рамках </w:t>
      </w:r>
      <w:r>
        <w:rPr>
          <w:rFonts w:cs="Times New Roman" w:ascii="Times New Roman" w:hAnsi="Times New Roman"/>
          <w:sz w:val="24"/>
          <w:szCs w:val="24"/>
          <w:lang w:val="en-US"/>
        </w:rPr>
        <w:t>web</w:t>
      </w:r>
      <w:r>
        <w:rPr>
          <w:rFonts w:cs="Times New Roman" w:ascii="Times New Roman" w:hAnsi="Times New Roman"/>
          <w:sz w:val="24"/>
          <w:szCs w:val="24"/>
        </w:rPr>
        <w:t>-кабинета Администратора системы должны быть доступны следующие функции:</w:t>
      </w:r>
    </w:p>
    <w:p>
      <w:pPr>
        <w:pStyle w:val="Normal"/>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управление учетными записями пользователей системы (регистрация пользователей системы),</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группы пользователей (описание состава пользователей в группе и разрешений на доступ к функциям кабинета),</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справочник потребителей (описание состава точек и объектов учета потребителя),</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навигация точек и объектов учета по разным критериям:  почтовым адресам, потребителям и др., </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справочник адресов (поиск объектов по адресу, разметка объектов адресами и др.),</w:t>
      </w:r>
    </w:p>
    <w:p>
      <w:pPr>
        <w:pStyle w:val="Normal"/>
        <w:numPr>
          <w:ilvl w:val="0"/>
          <w:numId w:val="1"/>
        </w:numPr>
        <w:spacing w:lineRule="auto" w:line="240" w:before="0" w:after="1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интеграция с внешними системами и управление заданиями (автоматизированный импорт внешних справочников адресов и потребителей, рассылка сообщений и др.)</w:t>
      </w:r>
    </w:p>
    <w:p>
      <w:pPr>
        <w:pStyle w:val="Normal"/>
        <w:spacing w:lineRule="auto" w:line="240" w:before="0" w:after="120"/>
        <w:ind w:left="360" w:firstLine="49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рамках web-кабинета Оператора должны быть доступны следующие функции:</w:t>
      </w:r>
    </w:p>
    <w:p>
      <w:pPr>
        <w:pStyle w:val="ListParagraph"/>
        <w:numPr>
          <w:ilvl w:val="0"/>
          <w:numId w:val="3"/>
        </w:numPr>
        <w:spacing w:lineRule="auto" w:line="240" w:before="0" w:after="120"/>
        <w:ind w:left="425" w:hanging="425"/>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Представление точек учета по разным критериям – объектам учета, потребителям, адресам,  расчетным схемам, учетным записям;</w:t>
      </w:r>
    </w:p>
    <w:p>
      <w:pPr>
        <w:pStyle w:val="ListParagraph"/>
        <w:numPr>
          <w:ilvl w:val="0"/>
          <w:numId w:val="3"/>
        </w:numPr>
        <w:spacing w:lineRule="auto" w:line="240" w:before="0" w:after="120"/>
        <w:ind w:left="425" w:hanging="425"/>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Просмотр и анализ учетных данных; </w:t>
      </w:r>
    </w:p>
    <w:p>
      <w:pPr>
        <w:pStyle w:val="ListParagraph"/>
        <w:numPr>
          <w:ilvl w:val="0"/>
          <w:numId w:val="3"/>
        </w:numPr>
        <w:spacing w:lineRule="auto" w:line="240" w:before="0" w:after="120"/>
        <w:ind w:left="425" w:hanging="425"/>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Просмотр и анализ журналов событий приборов учета; </w:t>
      </w:r>
    </w:p>
    <w:p>
      <w:pPr>
        <w:pStyle w:val="ListParagraph"/>
        <w:numPr>
          <w:ilvl w:val="0"/>
          <w:numId w:val="3"/>
        </w:numPr>
        <w:spacing w:lineRule="auto" w:line="240" w:before="0" w:after="120"/>
        <w:ind w:left="425" w:hanging="425"/>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Просмотр справочных свойств точек учета (измерительных комплексов), объектов учета, потребителей;  </w:t>
      </w:r>
    </w:p>
    <w:p>
      <w:pPr>
        <w:pStyle w:val="ListParagraph"/>
        <w:numPr>
          <w:ilvl w:val="0"/>
          <w:numId w:val="3"/>
        </w:numPr>
        <w:spacing w:lineRule="auto" w:line="240" w:before="0" w:after="120"/>
        <w:ind w:left="425" w:hanging="425"/>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Справочник потребителей (описание состава точек и объектов учета потребителя);</w:t>
      </w:r>
    </w:p>
    <w:p>
      <w:pPr>
        <w:pStyle w:val="ListParagraph"/>
        <w:numPr>
          <w:ilvl w:val="0"/>
          <w:numId w:val="3"/>
        </w:numPr>
        <w:spacing w:lineRule="auto" w:line="240" w:before="0" w:after="120"/>
        <w:ind w:left="425" w:hanging="425"/>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Справочник договоров (субъекты договора, состав собственных точек учета и субабонентов);</w:t>
      </w:r>
    </w:p>
    <w:p>
      <w:pPr>
        <w:pStyle w:val="ListParagraph"/>
        <w:numPr>
          <w:ilvl w:val="0"/>
          <w:numId w:val="3"/>
        </w:numPr>
        <w:spacing w:lineRule="auto" w:line="240" w:before="0" w:after="120"/>
        <w:ind w:left="425" w:hanging="425"/>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Контроль выполнения договоров – контроль отклонений фактического потребления от договорных величин потребителя,</w:t>
      </w:r>
    </w:p>
    <w:p>
      <w:pPr>
        <w:pStyle w:val="ListParagraph"/>
        <w:numPr>
          <w:ilvl w:val="0"/>
          <w:numId w:val="3"/>
        </w:numPr>
        <w:spacing w:lineRule="auto" w:line="240" w:before="0" w:after="120"/>
        <w:ind w:left="425" w:hanging="425"/>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Ввод договорных величин потребления электроэнергии,</w:t>
      </w:r>
    </w:p>
    <w:p>
      <w:pPr>
        <w:pStyle w:val="ListParagraph"/>
        <w:numPr>
          <w:ilvl w:val="0"/>
          <w:numId w:val="3"/>
        </w:numPr>
        <w:spacing w:lineRule="auto" w:line="240" w:before="0" w:after="120"/>
        <w:ind w:left="425" w:hanging="425"/>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Формирование отчетов – Фактическое потребление электроэнергии  с учетом субабонентов и начислений,  Контроль полноты показаний приборов учета, Стек показаний счетчиков и др.;</w:t>
      </w:r>
    </w:p>
    <w:p>
      <w:pPr>
        <w:pStyle w:val="ListParagraph"/>
        <w:numPr>
          <w:ilvl w:val="0"/>
          <w:numId w:val="3"/>
        </w:numPr>
        <w:spacing w:lineRule="auto" w:line="240" w:before="0" w:after="120"/>
        <w:ind w:left="425" w:hanging="425"/>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Расчет типовых задач – Баланс ПС, Баланс фидера и др. по типовым шаблонам расчетных схем, </w:t>
      </w:r>
    </w:p>
    <w:p>
      <w:pPr>
        <w:pStyle w:val="ListParagraph"/>
        <w:numPr>
          <w:ilvl w:val="0"/>
          <w:numId w:val="3"/>
        </w:numPr>
        <w:spacing w:lineRule="auto" w:line="240" w:before="0" w:after="120"/>
        <w:ind w:left="425" w:hanging="425"/>
        <w:contextualSpacing/>
        <w:jc w:val="both"/>
        <w:rPr>
          <w:rFonts w:ascii="Times New Roman" w:hAnsi="Times New Roman" w:cs="Times New Roman"/>
          <w:sz w:val="24"/>
          <w:szCs w:val="24"/>
        </w:rPr>
      </w:pPr>
      <w:r>
        <w:rPr>
          <w:rFonts w:cs="Times New Roman" w:ascii="Times New Roman" w:hAnsi="Times New Roman"/>
          <w:sz w:val="24"/>
          <w:szCs w:val="24"/>
        </w:rPr>
        <w:t>Формирование групп точек учета с помощью фильтров по разным атрибутам – тип учета, тип прибора учета, назначение счетчика,  район  и др., формирование  расчетных блоков и структур (схем) для выполнения расчета типовых задач;</w:t>
      </w:r>
    </w:p>
    <w:p>
      <w:pPr>
        <w:pStyle w:val="ListParagraph"/>
        <w:numPr>
          <w:ilvl w:val="0"/>
          <w:numId w:val="3"/>
        </w:numPr>
        <w:spacing w:lineRule="auto" w:line="240" w:before="0" w:after="120"/>
        <w:ind w:left="425" w:hanging="425"/>
        <w:contextualSpacing/>
        <w:jc w:val="both"/>
        <w:rPr>
          <w:rFonts w:ascii="Times New Roman" w:hAnsi="Times New Roman" w:cs="Times New Roman"/>
          <w:sz w:val="24"/>
          <w:szCs w:val="24"/>
        </w:rPr>
      </w:pPr>
      <w:r>
        <w:rPr>
          <w:rFonts w:cs="Times New Roman" w:ascii="Times New Roman" w:hAnsi="Times New Roman"/>
          <w:sz w:val="24"/>
          <w:szCs w:val="24"/>
        </w:rPr>
        <w:t xml:space="preserve">Ручной ввод  и коррекция показаний счетчиков, не оборудованных автоматическим сбором данных, анализ и утверждение показаний,  </w:t>
      </w:r>
      <w:r>
        <w:rPr>
          <w:rFonts w:cs="Times New Roman" w:ascii="Times New Roman" w:hAnsi="Times New Roman"/>
          <w:color w:val="000000"/>
          <w:sz w:val="24"/>
          <w:szCs w:val="24"/>
          <w:shd w:fill="FFFFFF" w:val="clear"/>
        </w:rPr>
        <w:t>введенных Абонентами;</w:t>
      </w:r>
    </w:p>
    <w:p>
      <w:pPr>
        <w:pStyle w:val="Normal"/>
        <w:suppressAutoHyphens w:val="true"/>
        <w:spacing w:lineRule="auto" w:line="240" w:before="0" w:after="120"/>
        <w:jc w:val="both"/>
        <w:rPr>
          <w:rFonts w:ascii="Times New Roman" w:hAnsi="Times New Roman" w:eastAsia="Times New Roman" w:cs="Times New Roman"/>
          <w:b/>
          <w:b/>
          <w:spacing w:val="-1"/>
          <w:sz w:val="24"/>
          <w:szCs w:val="24"/>
          <w:lang w:eastAsia="ru-RU"/>
        </w:rPr>
      </w:pPr>
      <w:r>
        <w:rPr>
          <w:rFonts w:eastAsia="Times New Roman" w:cs="Times New Roman" w:ascii="Times New Roman" w:hAnsi="Times New Roman"/>
          <w:b/>
          <w:spacing w:val="-1"/>
          <w:sz w:val="24"/>
          <w:szCs w:val="24"/>
          <w:lang w:eastAsia="ru-RU"/>
        </w:rPr>
        <w:t>7. Требования по защите информации, размещаемой в ПО АСКУЭ, от несанкционированного доступа к ней при ее сборе, передаче и хранении:</w:t>
      </w:r>
    </w:p>
    <w:p>
      <w:pPr>
        <w:pStyle w:val="Normal"/>
        <w:suppressAutoHyphens w:val="true"/>
        <w:spacing w:lineRule="auto" w:line="240" w:before="0" w:after="120"/>
        <w:ind w:firstLine="709"/>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t>Защита АСКУЭ и содержащейся в ней информации должна обеспечиваться в соответствии с федеральными законами «О персональных данных» (152-ФЗ), «О безопасности критической информационной инфраструктуры Российской Федерации» (187-ФЗ), «Об информации, информационных технологиях и о защите информации» (149-ФЗ) и актами Федеральной службы безопасности Российской Федерации, разработанными в соответствии с подпунктом "ш" статьи 13 Федерального закона «О федеральной службе безопасности» (40-ФЗ), путем принятия организационных и технических мер, а также в соответствии с Правилами предоставления доступа к минимальному набору функций интеллектуальных систем учета электрической энергии (мощности), определенными постановлением Правительства РФ от 19 июня 2020 г. №890 «О порядке предоставления доступа к минимальному набору функций интеллектуальных систем учета электрической энергии (мощности)».</w:t>
      </w:r>
    </w:p>
    <w:p>
      <w:pPr>
        <w:pStyle w:val="Normal"/>
        <w:suppressAutoHyphens w:val="true"/>
        <w:spacing w:lineRule="auto" w:line="240" w:before="0" w:after="120"/>
        <w:ind w:firstLine="709"/>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r>
    </w:p>
    <w:p>
      <w:pPr>
        <w:pStyle w:val="Normal"/>
        <w:suppressAutoHyphens w:val="true"/>
        <w:spacing w:lineRule="auto" w:line="240" w:before="0" w:after="120"/>
        <w:ind w:firstLine="709"/>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r>
    </w:p>
    <w:p>
      <w:pPr>
        <w:pStyle w:val="Normal"/>
        <w:suppressAutoHyphens w:val="true"/>
        <w:spacing w:lineRule="auto" w:line="240" w:before="0" w:after="120"/>
        <w:ind w:firstLine="709"/>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Приложение №1.     </w:t>
      </w:r>
      <w:r>
        <w:rPr>
          <w:rFonts w:eastAsia="Times New Roman" w:cs="Times New Roman" w:ascii="Times New Roman" w:hAnsi="Times New Roman"/>
          <w:sz w:val="24"/>
          <w:szCs w:val="24"/>
          <w:lang w:eastAsia="ru-RU"/>
        </w:rPr>
        <w:t>Альбом отчетных форм.</w:t>
      </w:r>
    </w:p>
    <w:p>
      <w:pPr>
        <w:pStyle w:val="Normal"/>
        <w:spacing w:lineRule="auto" w:line="240" w:before="0" w:after="0"/>
        <w:jc w:val="both"/>
        <w:rPr>
          <w:rFonts w:ascii="Times New Roman" w:hAnsi="Times New Roman" w:eastAsia="Times New Roman" w:cs="Times New Roman"/>
          <w:b/>
          <w:b/>
          <w:i/>
          <w:i/>
          <w:sz w:val="24"/>
          <w:szCs w:val="28"/>
          <w:lang w:eastAsia="ru-RU"/>
        </w:rPr>
      </w:pPr>
      <w:r>
        <w:rPr>
          <w:rFonts w:eastAsia="Times New Roman" w:cs="Times New Roman" w:ascii="Times New Roman" w:hAnsi="Times New Roman"/>
          <w:b/>
          <w:i/>
          <w:sz w:val="24"/>
          <w:szCs w:val="28"/>
          <w:lang w:eastAsia="ru-RU"/>
        </w:rPr>
      </w:r>
    </w:p>
    <w:p>
      <w:pPr>
        <w:pStyle w:val="Normal"/>
        <w:spacing w:lineRule="auto" w:line="240" w:before="0" w:after="0"/>
        <w:ind w:right="76" w:hanging="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8"/>
          <w:lang w:eastAsia="ru-RU"/>
        </w:rPr>
        <w:t>Приложение к настоящему Техническому заданию является его неотъемлемой частью и изменению не подлежит.</w:t>
      </w:r>
    </w:p>
    <w:p>
      <w:pPr>
        <w:pStyle w:val="Normal"/>
        <w:spacing w:lineRule="auto" w:line="240" w:before="0" w:after="0"/>
        <w:ind w:right="76" w:hanging="0"/>
        <w:jc w:val="both"/>
        <w:rPr>
          <w:rFonts w:ascii="Times New Roman" w:hAnsi="Times New Roman" w:eastAsia="Times New Roman" w:cs="Times New Roman"/>
          <w:b/>
          <w:b/>
          <w:sz w:val="24"/>
          <w:szCs w:val="28"/>
          <w:lang w:eastAsia="ru-RU"/>
        </w:rPr>
      </w:pPr>
      <w:r>
        <w:rPr>
          <w:rFonts w:eastAsia="Times New Roman" w:cs="Times New Roman" w:ascii="Times New Roman" w:hAnsi="Times New Roman"/>
          <w:b/>
          <w:sz w:val="24"/>
          <w:szCs w:val="28"/>
          <w:lang w:eastAsia="ru-RU"/>
        </w:rPr>
      </w:r>
    </w:p>
    <w:p>
      <w:pPr>
        <w:pStyle w:val="Normal"/>
        <w:tabs>
          <w:tab w:val="clear" w:pos="709"/>
          <w:tab w:val="center" w:pos="4677" w:leader="none"/>
          <w:tab w:val="right" w:pos="9355" w:leader="none"/>
        </w:tabs>
        <w:spacing w:lineRule="auto" w:line="240" w:before="0" w:after="0"/>
        <w:ind w:left="4820" w:hanging="0"/>
        <w:rPr>
          <w:rFonts w:ascii="Times New Roman" w:hAnsi="Times New Roman" w:eastAsia="Times New Roman" w:cs="Times New Roman"/>
          <w:iCs/>
          <w:sz w:val="24"/>
          <w:szCs w:val="24"/>
          <w:lang w:eastAsia="x-none"/>
        </w:rPr>
      </w:pPr>
      <w:r>
        <w:rPr>
          <w:rFonts w:eastAsia="Times New Roman" w:cs="Times New Roman" w:ascii="Times New Roman" w:hAnsi="Times New Roman"/>
          <w:iCs/>
          <w:sz w:val="24"/>
          <w:szCs w:val="24"/>
          <w:lang w:eastAsia="x-none"/>
        </w:rPr>
      </w:r>
    </w:p>
    <w:p>
      <w:pPr>
        <w:pStyle w:val="Normal"/>
        <w:suppressAutoHyphens w:val="true"/>
        <w:spacing w:lineRule="auto" w:line="240" w:before="0" w:after="120"/>
        <w:ind w:firstLine="709"/>
        <w:jc w:val="both"/>
        <w:rPr>
          <w:rFonts w:ascii="Times New Roman" w:hAnsi="Times New Roman" w:eastAsia="Times New Roman" w:cs="Times New Roman"/>
          <w:spacing w:val="-1"/>
          <w:sz w:val="24"/>
          <w:szCs w:val="24"/>
          <w:lang w:eastAsia="ru-RU"/>
        </w:rPr>
      </w:pPr>
      <w:r>
        <w:rPr/>
      </w:r>
    </w:p>
    <w:sectPr>
      <w:footnotePr>
        <w:numFmt w:val="decimal"/>
      </w:footnotePr>
      <w:type w:val="nextPage"/>
      <w:pgSz w:w="11906" w:h="16838"/>
      <w:pgMar w:left="1418" w:right="843" w:header="0" w:top="567"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Wingdings">
    <w:charset w:val="02"/>
    <w:family w:val="auto"/>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0"/>
        <w:rPr/>
      </w:pPr>
      <w:r>
        <w:rPr>
          <w:rStyle w:val="Style21"/>
        </w:rPr>
        <w:footnoteRef/>
      </w:r>
      <w:r>
        <w:rPr/>
        <w:t xml:space="preserve"> </w:t>
      </w:r>
      <w:r>
        <w:rPr>
          <w:rFonts w:cs="Times New Roman" w:ascii="Times New Roman" w:hAnsi="Times New Roman"/>
        </w:rPr>
        <w:t>При заключении договора данное Техническое задание будет перенесено в Приложение № 2 к Договору. Сведения, указанные в Техническом задании, необходимые для проведения закупочной процедуры не включаются в договор, заключаемый по ее результатам.</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3"/>
  <w:defaultTabStop w:val="709"/>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1b9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2b45b6"/>
    <w:rPr>
      <w:rFonts w:ascii="Tahoma" w:hAnsi="Tahoma" w:cs="Tahoma"/>
      <w:sz w:val="16"/>
      <w:szCs w:val="16"/>
    </w:rPr>
  </w:style>
  <w:style w:type="character" w:styleId="Annotationreference">
    <w:name w:val="annotation reference"/>
    <w:basedOn w:val="DefaultParagraphFont"/>
    <w:uiPriority w:val="99"/>
    <w:semiHidden/>
    <w:unhideWhenUsed/>
    <w:qFormat/>
    <w:rsid w:val="009d240c"/>
    <w:rPr>
      <w:sz w:val="16"/>
      <w:szCs w:val="16"/>
    </w:rPr>
  </w:style>
  <w:style w:type="character" w:styleId="Style15" w:customStyle="1">
    <w:name w:val="Текст примечания Знак"/>
    <w:basedOn w:val="DefaultParagraphFont"/>
    <w:link w:val="a7"/>
    <w:uiPriority w:val="99"/>
    <w:semiHidden/>
    <w:qFormat/>
    <w:rsid w:val="009d240c"/>
    <w:rPr>
      <w:sz w:val="20"/>
      <w:szCs w:val="20"/>
    </w:rPr>
  </w:style>
  <w:style w:type="character" w:styleId="Style16" w:customStyle="1">
    <w:name w:val="Тема примечания Знак"/>
    <w:basedOn w:val="Style15"/>
    <w:link w:val="a9"/>
    <w:uiPriority w:val="99"/>
    <w:semiHidden/>
    <w:qFormat/>
    <w:rsid w:val="009d240c"/>
    <w:rPr>
      <w:b/>
      <w:bCs/>
      <w:sz w:val="20"/>
      <w:szCs w:val="20"/>
    </w:rPr>
  </w:style>
  <w:style w:type="character" w:styleId="Style17" w:customStyle="1">
    <w:name w:val="Основной текст с отступом Знак"/>
    <w:basedOn w:val="DefaultParagraphFont"/>
    <w:link w:val="ac"/>
    <w:uiPriority w:val="99"/>
    <w:semiHidden/>
    <w:qFormat/>
    <w:rsid w:val="00ca0add"/>
    <w:rPr/>
  </w:style>
  <w:style w:type="character" w:styleId="Style18">
    <w:name w:val="Интернет-ссылка"/>
    <w:basedOn w:val="DefaultParagraphFont"/>
    <w:uiPriority w:val="99"/>
    <w:unhideWhenUsed/>
    <w:rsid w:val="0039657c"/>
    <w:rPr>
      <w:color w:val="0000FF" w:themeColor="hyperlink"/>
      <w:u w:val="single"/>
    </w:rPr>
  </w:style>
  <w:style w:type="character" w:styleId="Style19" w:customStyle="1">
    <w:name w:val="Текст сноски Знак"/>
    <w:basedOn w:val="DefaultParagraphFont"/>
    <w:link w:val="af"/>
    <w:uiPriority w:val="99"/>
    <w:semiHidden/>
    <w:qFormat/>
    <w:rsid w:val="00695989"/>
    <w:rPr>
      <w:sz w:val="20"/>
      <w:szCs w:val="20"/>
    </w:rPr>
  </w:style>
  <w:style w:type="character" w:styleId="Style20">
    <w:name w:val="Привязка сноски"/>
    <w:rPr>
      <w:vertAlign w:val="superscript"/>
    </w:rPr>
  </w:style>
  <w:style w:type="character" w:styleId="FootnoteCharacters">
    <w:name w:val="Footnote Characters"/>
    <w:basedOn w:val="DefaultParagraphFont"/>
    <w:uiPriority w:val="99"/>
    <w:semiHidden/>
    <w:unhideWhenUsed/>
    <w:qFormat/>
    <w:rsid w:val="00695989"/>
    <w:rPr>
      <w:vertAlign w:val="superscript"/>
    </w:rPr>
  </w:style>
  <w:style w:type="character" w:styleId="Style21">
    <w:name w:val="Символ сноски"/>
    <w:qFormat/>
    <w:rPr/>
  </w:style>
  <w:style w:type="character" w:styleId="Style22">
    <w:name w:val="Привязка концевой сноски"/>
    <w:rPr>
      <w:vertAlign w:val="superscript"/>
    </w:rPr>
  </w:style>
  <w:style w:type="character" w:styleId="Style23">
    <w:name w:val="Символ концевой сноски"/>
    <w:qForma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ListParagraph">
    <w:name w:val="List Paragraph"/>
    <w:basedOn w:val="Normal"/>
    <w:uiPriority w:val="34"/>
    <w:qFormat/>
    <w:rsid w:val="00a60a9c"/>
    <w:pPr>
      <w:spacing w:before="0" w:after="200"/>
      <w:ind w:left="720" w:hanging="0"/>
      <w:contextualSpacing/>
    </w:pPr>
    <w:rPr/>
  </w:style>
  <w:style w:type="paragraph" w:styleId="BalloonText">
    <w:name w:val="Balloon Text"/>
    <w:basedOn w:val="Normal"/>
    <w:link w:val="a5"/>
    <w:uiPriority w:val="99"/>
    <w:semiHidden/>
    <w:unhideWhenUsed/>
    <w:qFormat/>
    <w:rsid w:val="002b45b6"/>
    <w:pPr>
      <w:spacing w:lineRule="auto" w:line="240" w:before="0" w:after="0"/>
    </w:pPr>
    <w:rPr>
      <w:rFonts w:ascii="Tahoma" w:hAnsi="Tahoma" w:cs="Tahoma"/>
      <w:sz w:val="16"/>
      <w:szCs w:val="16"/>
    </w:rPr>
  </w:style>
  <w:style w:type="paragraph" w:styleId="Annotationtext">
    <w:name w:val="annotation text"/>
    <w:basedOn w:val="Normal"/>
    <w:link w:val="a8"/>
    <w:uiPriority w:val="99"/>
    <w:semiHidden/>
    <w:unhideWhenUsed/>
    <w:qFormat/>
    <w:rsid w:val="009d240c"/>
    <w:pPr>
      <w:spacing w:lineRule="auto" w:line="240"/>
    </w:pPr>
    <w:rPr>
      <w:sz w:val="20"/>
      <w:szCs w:val="20"/>
    </w:rPr>
  </w:style>
  <w:style w:type="paragraph" w:styleId="Annotationsubject">
    <w:name w:val="annotation subject"/>
    <w:basedOn w:val="Annotationtext"/>
    <w:next w:val="Annotationtext"/>
    <w:link w:val="aa"/>
    <w:uiPriority w:val="99"/>
    <w:semiHidden/>
    <w:unhideWhenUsed/>
    <w:qFormat/>
    <w:rsid w:val="009d240c"/>
    <w:pPr/>
    <w:rPr>
      <w:b/>
      <w:bCs/>
    </w:rPr>
  </w:style>
  <w:style w:type="paragraph" w:styleId="NormalWeb">
    <w:name w:val="Normal (Web)"/>
    <w:basedOn w:val="Normal"/>
    <w:uiPriority w:val="99"/>
    <w:qFormat/>
    <w:rsid w:val="00f301b5"/>
    <w:pPr>
      <w:spacing w:lineRule="auto" w:line="240" w:beforeAutospacing="1" w:afterAutospacing="1"/>
    </w:pPr>
    <w:rPr>
      <w:rFonts w:ascii="Times New Roman" w:hAnsi="Times New Roman" w:eastAsia="Times New Roman" w:cs="Times New Roman"/>
      <w:sz w:val="24"/>
      <w:szCs w:val="24"/>
      <w:lang w:eastAsia="ru-RU"/>
    </w:rPr>
  </w:style>
  <w:style w:type="paragraph" w:styleId="Style29">
    <w:name w:val="Body Text Indent"/>
    <w:basedOn w:val="Normal"/>
    <w:link w:val="ad"/>
    <w:uiPriority w:val="99"/>
    <w:semiHidden/>
    <w:unhideWhenUsed/>
    <w:rsid w:val="00ca0add"/>
    <w:pPr>
      <w:spacing w:before="0" w:after="120"/>
      <w:ind w:left="283" w:hanging="0"/>
    </w:pPr>
    <w:rPr/>
  </w:style>
  <w:style w:type="paragraph" w:styleId="3" w:customStyle="1">
    <w:name w:val="Знак Знак Знак3"/>
    <w:basedOn w:val="Normal"/>
    <w:uiPriority w:val="99"/>
    <w:qFormat/>
    <w:rsid w:val="00cd18b8"/>
    <w:pPr>
      <w:spacing w:lineRule="exact" w:line="240" w:before="0" w:after="160"/>
    </w:pPr>
    <w:rPr>
      <w:rFonts w:ascii="Calibri" w:hAnsi="Calibri" w:eastAsia="Times New Roman" w:cs="Times New Roman"/>
      <w:sz w:val="20"/>
      <w:szCs w:val="20"/>
      <w:lang w:eastAsia="zh-CN"/>
    </w:rPr>
  </w:style>
  <w:style w:type="paragraph" w:styleId="Style30">
    <w:name w:val="Footnote Text"/>
    <w:basedOn w:val="Normal"/>
    <w:link w:val="af0"/>
    <w:uiPriority w:val="99"/>
    <w:semiHidden/>
    <w:unhideWhenUsed/>
    <w:rsid w:val="00695989"/>
    <w:pPr>
      <w:spacing w:lineRule="auto" w:line="240" w:before="0" w:after="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A1B5-A153-4F31-951A-108010B2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LibreOffice/7.1.3.2$Windows_X86_64 LibreOffice_project/47f78053abe362b9384784d31a6e56f8511eb1c1</Application>
  <AppVersion>15.0000</AppVersion>
  <Pages>6</Pages>
  <Words>1679</Words>
  <Characters>12025</Characters>
  <CharactersWithSpaces>13864</CharactersWithSpaces>
  <Paragraphs>109</Paragraphs>
  <Company>РЭП Холдинг</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2022-07-20T05:36:00Z</dcterms:created>
  <dc:creator>Авдошов Денис Дмитриевич</dc:creator>
  <dc:description/>
  <dc:language>ru-RU</dc:language>
  <cp:lastModifiedBy/>
  <cp:lastPrinted>2022-08-08T10:55:00Z</cp:lastPrinted>
  <dcterms:modified xsi:type="dcterms:W3CDTF">2022-09-09T15:41:18Z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