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jc w:val="right"/>
        <w:rPr>
          <w:b/>
          <w:sz w:val="22"/>
          <w:szCs w:val="22"/>
        </w:rPr>
      </w:pPr>
      <w:bookmarkStart w:id="0" w:name="OLE_LINK45"/>
      <w:bookmarkStart w:id="1" w:name="OLE_LINK47"/>
      <w:bookmarkStart w:id="2" w:name="OLE_LINK46"/>
      <w:bookmarkStart w:id="3" w:name="_Hlk485202804"/>
      <w:r>
        <w:rPr>
          <w:b/>
          <w:sz w:val="22"/>
          <w:szCs w:val="22"/>
        </w:rPr>
        <w:t>«Утверждаю»</w:t>
      </w:r>
    </w:p>
    <w:p>
      <w:pPr>
        <w:widowControl w:val="0"/>
        <w:jc w:val="right"/>
        <w:rPr>
          <w:b/>
          <w:sz w:val="22"/>
          <w:szCs w:val="22"/>
        </w:rPr>
      </w:pPr>
      <w:r>
        <w:rPr>
          <w:b/>
          <w:sz w:val="22"/>
          <w:szCs w:val="22"/>
        </w:rPr>
        <w:t xml:space="preserve">Директор </w:t>
      </w:r>
    </w:p>
    <w:p>
      <w:pPr>
        <w:widowControl w:val="0"/>
        <w:jc w:val="right"/>
        <w:rPr>
          <w:b/>
          <w:sz w:val="22"/>
          <w:szCs w:val="22"/>
        </w:rPr>
      </w:pPr>
      <w:r>
        <w:rPr>
          <w:b/>
          <w:sz w:val="22"/>
          <w:szCs w:val="22"/>
        </w:rPr>
        <w:t>ГУП РК «Карелавтотранс-Сервис»</w:t>
      </w:r>
    </w:p>
    <w:p>
      <w:pPr>
        <w:widowControl w:val="0"/>
        <w:jc w:val="right"/>
        <w:rPr>
          <w:b/>
          <w:sz w:val="22"/>
          <w:szCs w:val="22"/>
        </w:rPr>
      </w:pPr>
    </w:p>
    <w:p>
      <w:pPr>
        <w:widowControl w:val="0"/>
        <w:jc w:val="right"/>
        <w:rPr>
          <w:b/>
          <w:sz w:val="22"/>
          <w:szCs w:val="22"/>
        </w:rPr>
      </w:pPr>
    </w:p>
    <w:p>
      <w:pPr>
        <w:widowControl w:val="0"/>
        <w:jc w:val="right"/>
        <w:rPr>
          <w:b/>
          <w:sz w:val="22"/>
          <w:szCs w:val="22"/>
        </w:rPr>
      </w:pPr>
    </w:p>
    <w:p>
      <w:pPr>
        <w:widowControl w:val="0"/>
        <w:jc w:val="right"/>
        <w:rPr>
          <w:b/>
          <w:sz w:val="22"/>
          <w:szCs w:val="22"/>
        </w:rPr>
      </w:pPr>
      <w:r>
        <w:rPr>
          <w:b/>
          <w:sz w:val="22"/>
          <w:szCs w:val="22"/>
        </w:rPr>
        <w:t xml:space="preserve">______________ </w:t>
      </w:r>
      <w:bookmarkEnd w:id="0"/>
      <w:bookmarkEnd w:id="1"/>
      <w:bookmarkEnd w:id="2"/>
      <w:r>
        <w:rPr>
          <w:b/>
          <w:sz w:val="22"/>
          <w:szCs w:val="22"/>
        </w:rPr>
        <w:t>А.Е. Спицын</w:t>
      </w:r>
    </w:p>
    <w:p>
      <w:pPr>
        <w:widowControl w:val="0"/>
        <w:jc w:val="right"/>
        <w:rPr>
          <w:b/>
          <w:sz w:val="22"/>
          <w:szCs w:val="22"/>
        </w:rPr>
      </w:pPr>
      <w:r>
        <w:rPr>
          <w:b/>
          <w:sz w:val="22"/>
          <w:szCs w:val="22"/>
        </w:rPr>
        <w:t>от «26» сентября 2022 г.</w:t>
      </w:r>
    </w:p>
    <w:bookmarkEnd w:id="3"/>
    <w:p>
      <w:pPr>
        <w:widowControl w:val="0"/>
        <w:jc w:val="right"/>
        <w:rPr>
          <w:b/>
          <w:sz w:val="22"/>
          <w:szCs w:val="22"/>
        </w:rPr>
      </w:pPr>
    </w:p>
    <w:p>
      <w:pPr>
        <w:jc w:val="right"/>
        <w:rPr>
          <w:b/>
          <w:sz w:val="22"/>
          <w:szCs w:val="22"/>
        </w:rPr>
      </w:pPr>
    </w:p>
    <w:p>
      <w:pPr>
        <w:jc w:val="center"/>
        <w:rPr>
          <w:b/>
          <w:sz w:val="22"/>
          <w:szCs w:val="22"/>
        </w:rPr>
      </w:pPr>
    </w:p>
    <w:p>
      <w:pPr>
        <w:jc w:val="center"/>
        <w:rPr>
          <w:b/>
          <w:sz w:val="22"/>
          <w:szCs w:val="22"/>
        </w:rPr>
      </w:pPr>
    </w:p>
    <w:p>
      <w:pPr>
        <w:jc w:val="center"/>
        <w:rPr>
          <w:sz w:val="24"/>
          <w:szCs w:val="24"/>
        </w:rPr>
      </w:pPr>
      <w:r>
        <w:rPr>
          <w:sz w:val="24"/>
          <w:szCs w:val="24"/>
        </w:rPr>
        <w:t xml:space="preserve">Государственное унитарное предприятие Республики Карелия «Карелавтотранс - Сервис» </w:t>
      </w:r>
    </w:p>
    <w:p>
      <w:pPr>
        <w:jc w:val="center"/>
        <w:rPr>
          <w:i/>
          <w:iCs/>
          <w:sz w:val="24"/>
          <w:szCs w:val="24"/>
        </w:rPr>
      </w:pPr>
      <w:r>
        <w:rPr>
          <w:sz w:val="24"/>
          <w:szCs w:val="24"/>
        </w:rPr>
        <w:t xml:space="preserve">(сокращенное наименование </w:t>
      </w:r>
      <w:r>
        <w:rPr>
          <w:bCs/>
          <w:sz w:val="24"/>
          <w:szCs w:val="24"/>
        </w:rPr>
        <w:t>ГУП РК «Карелавтотранс-Сервис»</w:t>
      </w:r>
      <w:r>
        <w:rPr>
          <w:sz w:val="24"/>
          <w:szCs w:val="24"/>
        </w:rPr>
        <w:t>, далее также «Заказчик»)</w:t>
      </w:r>
    </w:p>
    <w:p>
      <w:pPr>
        <w:jc w:val="center"/>
        <w:rPr>
          <w:i/>
          <w:iCs/>
          <w:sz w:val="24"/>
          <w:szCs w:val="24"/>
        </w:rPr>
      </w:pPr>
    </w:p>
    <w:p>
      <w:pPr>
        <w:jc w:val="center"/>
        <w:rPr>
          <w:i/>
          <w:iCs/>
          <w:sz w:val="24"/>
          <w:szCs w:val="24"/>
        </w:rPr>
      </w:pPr>
    </w:p>
    <w:p>
      <w:pPr>
        <w:jc w:val="center"/>
        <w:rPr>
          <w:b/>
          <w:bCs/>
          <w:i/>
          <w:iCs/>
          <w:sz w:val="24"/>
          <w:szCs w:val="24"/>
        </w:rPr>
      </w:pPr>
    </w:p>
    <w:p>
      <w:pPr>
        <w:jc w:val="center"/>
        <w:rPr>
          <w:b/>
          <w:bCs/>
          <w:i/>
          <w:iCs/>
          <w:sz w:val="24"/>
          <w:szCs w:val="24"/>
        </w:rPr>
      </w:pPr>
    </w:p>
    <w:p>
      <w:pPr>
        <w:jc w:val="center"/>
        <w:rPr>
          <w:b/>
          <w:bCs/>
          <w:i/>
          <w:iCs/>
          <w:sz w:val="24"/>
          <w:szCs w:val="24"/>
        </w:rPr>
      </w:pPr>
    </w:p>
    <w:p>
      <w:pPr>
        <w:jc w:val="center"/>
        <w:rPr>
          <w:b/>
          <w:bCs/>
          <w:sz w:val="24"/>
          <w:szCs w:val="24"/>
        </w:rPr>
      </w:pPr>
    </w:p>
    <w:p>
      <w:pPr>
        <w:jc w:val="center"/>
        <w:rPr>
          <w:b/>
          <w:bCs/>
          <w:sz w:val="24"/>
          <w:szCs w:val="24"/>
        </w:rPr>
      </w:pPr>
    </w:p>
    <w:p>
      <w:pPr>
        <w:jc w:val="center"/>
        <w:rPr>
          <w:b/>
          <w:bCs/>
          <w:sz w:val="24"/>
          <w:szCs w:val="24"/>
        </w:rPr>
      </w:pPr>
    </w:p>
    <w:p>
      <w:pPr>
        <w:jc w:val="center"/>
        <w:rPr>
          <w:b/>
          <w:bCs/>
          <w:sz w:val="24"/>
          <w:szCs w:val="24"/>
        </w:rPr>
      </w:pPr>
    </w:p>
    <w:p>
      <w:pPr>
        <w:jc w:val="center"/>
        <w:rPr>
          <w:sz w:val="24"/>
          <w:szCs w:val="24"/>
        </w:rPr>
      </w:pPr>
      <w:r>
        <w:rPr>
          <w:bCs/>
          <w:sz w:val="24"/>
          <w:szCs w:val="24"/>
        </w:rPr>
        <w:t xml:space="preserve">Документация об аукционе в электронной форме  (далее также «аукцион») </w:t>
      </w:r>
      <w:r>
        <w:rPr>
          <w:sz w:val="24"/>
          <w:szCs w:val="24"/>
        </w:rPr>
        <w:t>на право заключения договора (далее также «договор») на поставку дизельного топлива</w:t>
      </w:r>
      <w:r>
        <w:rPr>
          <w:sz w:val="24"/>
          <w:szCs w:val="24"/>
          <w:lang w:eastAsia="ru-RU"/>
        </w:rPr>
        <w:t xml:space="preserve"> </w:t>
      </w:r>
      <w:r>
        <w:rPr>
          <w:sz w:val="24"/>
          <w:szCs w:val="24"/>
        </w:rPr>
        <w:t xml:space="preserve">(далее также «товары») </w:t>
      </w:r>
      <w:r>
        <w:rPr>
          <w:color w:val="000000"/>
          <w:sz w:val="24"/>
          <w:szCs w:val="24"/>
        </w:rPr>
        <w:t xml:space="preserve">для нужд </w:t>
      </w:r>
      <w:r>
        <w:rPr>
          <w:sz w:val="24"/>
          <w:szCs w:val="24"/>
        </w:rPr>
        <w:t>Заказчика</w:t>
      </w:r>
      <w:r>
        <w:rPr>
          <w:color w:val="000000"/>
          <w:sz w:val="24"/>
          <w:szCs w:val="24"/>
        </w:rPr>
        <w:t xml:space="preserve"> </w:t>
      </w:r>
      <w:r>
        <w:rPr>
          <w:sz w:val="24"/>
          <w:szCs w:val="24"/>
        </w:rPr>
        <w:t>в соответствии с Техническим заданием и проектом договора</w:t>
      </w:r>
    </w:p>
    <w:p>
      <w:pPr>
        <w:tabs>
          <w:tab w:val="left" w:pos="6555"/>
        </w:tabs>
        <w:jc w:val="both"/>
        <w:rPr>
          <w:b/>
          <w:sz w:val="24"/>
          <w:szCs w:val="24"/>
        </w:rPr>
      </w:pPr>
    </w:p>
    <w:p>
      <w:pPr>
        <w:ind w:left="7080" w:hanging="7080"/>
        <w:jc w:val="center"/>
        <w:rPr>
          <w:b/>
          <w:bCs/>
          <w:sz w:val="24"/>
          <w:szCs w:val="24"/>
        </w:rPr>
      </w:pPr>
    </w:p>
    <w:p>
      <w:pPr>
        <w:ind w:left="7080" w:hanging="7080"/>
        <w:jc w:val="center"/>
        <w:rPr>
          <w:b/>
          <w:bCs/>
          <w:sz w:val="22"/>
          <w:szCs w:val="22"/>
        </w:rPr>
      </w:pPr>
    </w:p>
    <w:p>
      <w:pPr>
        <w:ind w:left="7080" w:hanging="7080"/>
        <w:jc w:val="center"/>
        <w:rPr>
          <w:bCs/>
          <w:sz w:val="22"/>
          <w:szCs w:val="22"/>
        </w:rPr>
      </w:pPr>
    </w:p>
    <w:p>
      <w:pPr>
        <w:ind w:left="7080" w:hanging="7080"/>
        <w:jc w:val="center"/>
        <w:rPr>
          <w:bCs/>
          <w:sz w:val="22"/>
          <w:szCs w:val="22"/>
        </w:rPr>
      </w:pPr>
    </w:p>
    <w:p>
      <w:pPr>
        <w:ind w:left="7080" w:hanging="7080"/>
        <w:jc w:val="center"/>
        <w:rPr>
          <w:bCs/>
          <w:sz w:val="22"/>
          <w:szCs w:val="22"/>
        </w:rPr>
      </w:pPr>
    </w:p>
    <w:p>
      <w:pPr>
        <w:ind w:left="7080" w:hanging="7080"/>
        <w:jc w:val="center"/>
        <w:rPr>
          <w:bCs/>
          <w:sz w:val="22"/>
          <w:szCs w:val="22"/>
        </w:rPr>
      </w:pPr>
    </w:p>
    <w:p>
      <w:pPr>
        <w:ind w:left="7080" w:hanging="7080"/>
        <w:jc w:val="center"/>
        <w:rPr>
          <w:bCs/>
          <w:sz w:val="22"/>
          <w:szCs w:val="22"/>
        </w:rPr>
      </w:pPr>
    </w:p>
    <w:p>
      <w:pPr>
        <w:ind w:left="7080" w:hanging="7080"/>
        <w:jc w:val="center"/>
        <w:rPr>
          <w:bCs/>
          <w:sz w:val="22"/>
          <w:szCs w:val="22"/>
        </w:rPr>
      </w:pPr>
    </w:p>
    <w:p>
      <w:pPr>
        <w:ind w:left="7080" w:hanging="7080"/>
        <w:jc w:val="center"/>
        <w:rPr>
          <w:bCs/>
          <w:sz w:val="22"/>
          <w:szCs w:val="22"/>
        </w:rPr>
      </w:pPr>
    </w:p>
    <w:p>
      <w:pPr>
        <w:ind w:left="7080" w:hanging="7080"/>
        <w:jc w:val="center"/>
        <w:rPr>
          <w:bCs/>
          <w:sz w:val="22"/>
          <w:szCs w:val="22"/>
        </w:rPr>
      </w:pPr>
    </w:p>
    <w:p>
      <w:pPr>
        <w:ind w:left="7080" w:hanging="7080"/>
        <w:jc w:val="center"/>
        <w:rPr>
          <w:bCs/>
          <w:sz w:val="22"/>
          <w:szCs w:val="22"/>
        </w:rPr>
      </w:pPr>
    </w:p>
    <w:p>
      <w:pPr>
        <w:ind w:left="7080" w:hanging="7080"/>
        <w:jc w:val="center"/>
        <w:rPr>
          <w:bCs/>
          <w:sz w:val="22"/>
          <w:szCs w:val="22"/>
        </w:rPr>
      </w:pPr>
    </w:p>
    <w:p>
      <w:pPr>
        <w:ind w:left="7080" w:hanging="7080"/>
        <w:jc w:val="center"/>
        <w:rPr>
          <w:bCs/>
          <w:sz w:val="22"/>
          <w:szCs w:val="22"/>
        </w:rPr>
      </w:pPr>
    </w:p>
    <w:p>
      <w:pPr>
        <w:ind w:left="7080" w:hanging="7080"/>
        <w:jc w:val="center"/>
        <w:rPr>
          <w:bCs/>
          <w:sz w:val="22"/>
          <w:szCs w:val="22"/>
        </w:rPr>
      </w:pPr>
    </w:p>
    <w:p>
      <w:pPr>
        <w:ind w:left="7080" w:hanging="7080"/>
        <w:jc w:val="center"/>
        <w:rPr>
          <w:bCs/>
          <w:sz w:val="22"/>
          <w:szCs w:val="22"/>
        </w:rPr>
      </w:pPr>
    </w:p>
    <w:p>
      <w:pPr>
        <w:ind w:left="7080" w:hanging="7080"/>
        <w:jc w:val="center"/>
        <w:rPr>
          <w:bCs/>
          <w:sz w:val="22"/>
          <w:szCs w:val="22"/>
        </w:rPr>
      </w:pPr>
    </w:p>
    <w:p>
      <w:pPr>
        <w:ind w:left="7080" w:hanging="7080"/>
        <w:jc w:val="center"/>
        <w:rPr>
          <w:bCs/>
          <w:sz w:val="22"/>
          <w:szCs w:val="22"/>
        </w:rPr>
      </w:pPr>
    </w:p>
    <w:p>
      <w:pPr>
        <w:ind w:left="7080" w:hanging="7080"/>
        <w:jc w:val="center"/>
        <w:rPr>
          <w:bCs/>
          <w:sz w:val="22"/>
          <w:szCs w:val="22"/>
        </w:rPr>
      </w:pPr>
    </w:p>
    <w:p>
      <w:pPr>
        <w:ind w:left="7080" w:hanging="7080"/>
        <w:jc w:val="center"/>
        <w:rPr>
          <w:bCs/>
          <w:sz w:val="22"/>
          <w:szCs w:val="22"/>
        </w:rPr>
      </w:pPr>
    </w:p>
    <w:p>
      <w:pPr>
        <w:ind w:left="7080" w:hanging="7080"/>
        <w:jc w:val="center"/>
        <w:rPr>
          <w:bCs/>
          <w:sz w:val="22"/>
          <w:szCs w:val="22"/>
        </w:rPr>
      </w:pPr>
    </w:p>
    <w:p>
      <w:pPr>
        <w:ind w:left="7080" w:hanging="7080"/>
        <w:jc w:val="center"/>
        <w:rPr>
          <w:bCs/>
          <w:sz w:val="22"/>
          <w:szCs w:val="22"/>
        </w:rPr>
      </w:pPr>
    </w:p>
    <w:p>
      <w:pPr>
        <w:ind w:left="7080" w:hanging="7080"/>
        <w:jc w:val="center"/>
        <w:rPr>
          <w:bCs/>
          <w:sz w:val="22"/>
          <w:szCs w:val="22"/>
        </w:rPr>
      </w:pPr>
    </w:p>
    <w:p>
      <w:pPr>
        <w:ind w:left="7080" w:hanging="7080"/>
        <w:jc w:val="center"/>
        <w:rPr>
          <w:bCs/>
          <w:sz w:val="22"/>
          <w:szCs w:val="22"/>
        </w:rPr>
      </w:pPr>
    </w:p>
    <w:p>
      <w:pPr>
        <w:ind w:left="7080" w:hanging="7080"/>
        <w:jc w:val="center"/>
        <w:rPr>
          <w:bCs/>
          <w:sz w:val="22"/>
          <w:szCs w:val="22"/>
        </w:rPr>
      </w:pPr>
    </w:p>
    <w:p>
      <w:pPr>
        <w:ind w:left="7080" w:hanging="7080"/>
        <w:jc w:val="center"/>
        <w:rPr>
          <w:bCs/>
          <w:sz w:val="22"/>
          <w:szCs w:val="22"/>
        </w:rPr>
      </w:pPr>
    </w:p>
    <w:p>
      <w:pPr>
        <w:ind w:left="7080" w:hanging="7080"/>
        <w:jc w:val="center"/>
        <w:rPr>
          <w:bCs/>
          <w:sz w:val="22"/>
          <w:szCs w:val="22"/>
        </w:rPr>
      </w:pPr>
      <w:r>
        <w:rPr>
          <w:bCs/>
          <w:sz w:val="22"/>
          <w:szCs w:val="22"/>
        </w:rPr>
        <w:t>г. Петрозаводск Республика Карелия</w:t>
      </w:r>
    </w:p>
    <w:p>
      <w:pPr>
        <w:ind w:left="7080" w:hanging="7080"/>
        <w:jc w:val="center"/>
        <w:rPr>
          <w:b/>
          <w:caps/>
          <w:sz w:val="22"/>
          <w:szCs w:val="22"/>
        </w:rPr>
      </w:pPr>
      <w:r>
        <w:rPr>
          <w:bCs/>
          <w:sz w:val="22"/>
          <w:szCs w:val="22"/>
        </w:rPr>
        <w:t>202</w:t>
      </w:r>
      <w:r>
        <w:rPr>
          <w:rFonts w:hint="default"/>
          <w:bCs/>
          <w:sz w:val="22"/>
          <w:szCs w:val="22"/>
          <w:lang w:val="ru-RU"/>
        </w:rPr>
        <w:t xml:space="preserve">2 </w:t>
      </w:r>
      <w:r>
        <w:rPr>
          <w:bCs/>
          <w:sz w:val="22"/>
          <w:szCs w:val="22"/>
        </w:rPr>
        <w:t>г.</w:t>
      </w:r>
    </w:p>
    <w:p>
      <w:pPr>
        <w:pageBreakBefore/>
        <w:jc w:val="center"/>
        <w:rPr>
          <w:b/>
          <w:caps/>
          <w:sz w:val="22"/>
          <w:szCs w:val="22"/>
        </w:rPr>
      </w:pPr>
      <w:r>
        <w:rPr>
          <w:b/>
          <w:caps/>
          <w:sz w:val="22"/>
          <w:szCs w:val="22"/>
        </w:rPr>
        <w:t>Оглавление:</w:t>
      </w:r>
    </w:p>
    <w:p>
      <w:pPr>
        <w:rPr>
          <w:b/>
          <w:caps/>
          <w:sz w:val="22"/>
          <w:szCs w:val="22"/>
        </w:rPr>
      </w:pPr>
    </w:p>
    <w:p>
      <w:pPr>
        <w:pStyle w:val="34"/>
        <w:tabs>
          <w:tab w:val="right" w:leader="dot" w:pos="9911"/>
        </w:tabs>
        <w:rPr>
          <w:sz w:val="22"/>
          <w:szCs w:val="22"/>
        </w:rPr>
      </w:pPr>
      <w:r>
        <w:rPr>
          <w:sz w:val="22"/>
          <w:szCs w:val="22"/>
        </w:rPr>
        <w:fldChar w:fldCharType="begin"/>
      </w:r>
      <w:r>
        <w:rPr>
          <w:sz w:val="22"/>
          <w:szCs w:val="22"/>
        </w:rPr>
        <w:instrText xml:space="preserve"> TOC \o "1-3" \h \z \u </w:instrText>
      </w:r>
      <w:r>
        <w:rPr>
          <w:sz w:val="22"/>
          <w:szCs w:val="22"/>
        </w:rPr>
        <w:fldChar w:fldCharType="separate"/>
      </w:r>
      <w:r>
        <w:fldChar w:fldCharType="begin"/>
      </w:r>
      <w:r>
        <w:instrText xml:space="preserve"> HYPERLINK \l "__RefHeading___Toc341251619" </w:instrText>
      </w:r>
      <w:r>
        <w:fldChar w:fldCharType="separate"/>
      </w:r>
      <w:r>
        <w:rPr>
          <w:sz w:val="22"/>
          <w:szCs w:val="22"/>
          <w:lang w:eastAsia="ru-RU"/>
        </w:rPr>
        <w:t>1. ОБЩИЕ ПОЛОЖЕНИЯ. ПОРЯДОК ПОДАЧИ ЗАЯВОК И ТРЕБОВАНИЯ К ПОДАЧЕ ЗАЯВКИ НА УЧАСТИЕ В АУКЦИОНЕ.</w:t>
      </w:r>
      <w:r>
        <w:rPr>
          <w:sz w:val="22"/>
          <w:szCs w:val="22"/>
          <w:lang w:eastAsia="ru-RU"/>
        </w:rPr>
        <w:tab/>
      </w:r>
      <w:r>
        <w:rPr>
          <w:sz w:val="22"/>
          <w:szCs w:val="22"/>
          <w:lang w:eastAsia="ru-RU"/>
        </w:rPr>
        <w:fldChar w:fldCharType="end"/>
      </w:r>
    </w:p>
    <w:p>
      <w:pPr>
        <w:pStyle w:val="34"/>
        <w:tabs>
          <w:tab w:val="right" w:leader="dot" w:pos="9911"/>
        </w:tabs>
        <w:rPr>
          <w:sz w:val="22"/>
          <w:szCs w:val="22"/>
        </w:rPr>
      </w:pPr>
      <w:r>
        <w:fldChar w:fldCharType="begin"/>
      </w:r>
      <w:r>
        <w:instrText xml:space="preserve"> HYPERLINK \l "__RefHeading___Toc341251620" </w:instrText>
      </w:r>
      <w:r>
        <w:fldChar w:fldCharType="separate"/>
      </w:r>
      <w:r>
        <w:rPr>
          <w:caps/>
          <w:sz w:val="22"/>
          <w:szCs w:val="22"/>
          <w:lang w:eastAsia="ru-RU"/>
        </w:rPr>
        <w:t>2. Информационная карта аукциона</w:t>
      </w:r>
      <w:r>
        <w:rPr>
          <w:sz w:val="22"/>
          <w:szCs w:val="22"/>
          <w:lang w:eastAsia="ru-RU"/>
        </w:rPr>
        <w:tab/>
      </w:r>
      <w:r>
        <w:rPr>
          <w:sz w:val="22"/>
          <w:szCs w:val="22"/>
          <w:lang w:eastAsia="ru-RU"/>
        </w:rPr>
        <w:fldChar w:fldCharType="end"/>
      </w:r>
    </w:p>
    <w:p>
      <w:pPr>
        <w:pStyle w:val="34"/>
        <w:tabs>
          <w:tab w:val="right" w:leader="dot" w:pos="9911"/>
        </w:tabs>
        <w:rPr>
          <w:sz w:val="22"/>
          <w:szCs w:val="22"/>
        </w:rPr>
      </w:pPr>
      <w:r>
        <w:fldChar w:fldCharType="begin"/>
      </w:r>
      <w:r>
        <w:instrText xml:space="preserve"> HYPERLINK \l "__RefHeading___Toc341251621" </w:instrText>
      </w:r>
      <w:r>
        <w:fldChar w:fldCharType="separate"/>
      </w:r>
      <w:r>
        <w:rPr>
          <w:caps/>
          <w:sz w:val="22"/>
          <w:szCs w:val="22"/>
          <w:lang w:eastAsia="ru-RU"/>
        </w:rPr>
        <w:t>3. Техническое задание (Техническая часть)</w:t>
      </w:r>
      <w:r>
        <w:rPr>
          <w:sz w:val="22"/>
          <w:szCs w:val="22"/>
          <w:lang w:eastAsia="ru-RU"/>
        </w:rPr>
        <w:tab/>
      </w:r>
      <w:r>
        <w:rPr>
          <w:sz w:val="22"/>
          <w:szCs w:val="22"/>
          <w:lang w:eastAsia="ru-RU"/>
        </w:rPr>
        <w:fldChar w:fldCharType="end"/>
      </w:r>
    </w:p>
    <w:p>
      <w:pPr>
        <w:pStyle w:val="34"/>
        <w:tabs>
          <w:tab w:val="right" w:leader="dot" w:pos="9911"/>
        </w:tabs>
        <w:rPr>
          <w:sz w:val="22"/>
          <w:szCs w:val="22"/>
        </w:rPr>
      </w:pPr>
      <w:r>
        <w:fldChar w:fldCharType="begin"/>
      </w:r>
      <w:r>
        <w:instrText xml:space="preserve"> HYPERLINK \l "__RefHeading___Toc341251622" </w:instrText>
      </w:r>
      <w:r>
        <w:fldChar w:fldCharType="separate"/>
      </w:r>
      <w:r>
        <w:rPr>
          <w:sz w:val="22"/>
          <w:szCs w:val="22"/>
          <w:lang w:eastAsia="ru-RU"/>
        </w:rPr>
        <w:t>4. ПРОЕКТ ДОГОВОРА</w:t>
      </w:r>
      <w:r>
        <w:rPr>
          <w:sz w:val="22"/>
          <w:szCs w:val="22"/>
          <w:lang w:eastAsia="ru-RU"/>
        </w:rPr>
        <w:tab/>
      </w:r>
      <w:r>
        <w:rPr>
          <w:sz w:val="22"/>
          <w:szCs w:val="22"/>
          <w:lang w:eastAsia="ru-RU"/>
        </w:rPr>
        <w:fldChar w:fldCharType="end"/>
      </w:r>
    </w:p>
    <w:p>
      <w:pPr>
        <w:pStyle w:val="34"/>
        <w:tabs>
          <w:tab w:val="right" w:leader="dot" w:pos="9911"/>
        </w:tabs>
        <w:rPr>
          <w:sz w:val="22"/>
          <w:szCs w:val="22"/>
        </w:rPr>
      </w:pPr>
      <w:r>
        <w:fldChar w:fldCharType="begin"/>
      </w:r>
      <w:r>
        <w:instrText xml:space="preserve"> HYPERLINK \l "__RefHeading___Toc341251623" </w:instrText>
      </w:r>
      <w:r>
        <w:fldChar w:fldCharType="separate"/>
      </w:r>
      <w:r>
        <w:rPr>
          <w:sz w:val="22"/>
          <w:szCs w:val="22"/>
          <w:lang w:eastAsia="ru-RU"/>
        </w:rPr>
        <w:t>5</w:t>
      </w:r>
      <w:r>
        <w:rPr>
          <w:bCs/>
          <w:kern w:val="1"/>
          <w:sz w:val="22"/>
          <w:szCs w:val="22"/>
          <w:lang w:eastAsia="ru-RU"/>
        </w:rPr>
        <w:t>. РЕКОМЕНДУЕМЫЕ</w:t>
      </w:r>
      <w:r>
        <w:rPr>
          <w:kern w:val="1"/>
          <w:sz w:val="22"/>
          <w:szCs w:val="22"/>
          <w:lang w:eastAsia="ru-RU"/>
        </w:rPr>
        <w:t xml:space="preserve"> ОБРАЗЦЫ ФОРМ И ДОКУМЕНТОВ ДЛЯ ЗАПОЛНЕНИЯ УЧАСТНИКАМИ ЗАКУПКИ</w:t>
      </w:r>
      <w:r>
        <w:rPr>
          <w:sz w:val="22"/>
          <w:szCs w:val="22"/>
          <w:lang w:eastAsia="ru-RU"/>
        </w:rPr>
        <w:tab/>
      </w:r>
      <w:r>
        <w:rPr>
          <w:sz w:val="22"/>
          <w:szCs w:val="22"/>
          <w:lang w:eastAsia="ru-RU"/>
        </w:rPr>
        <w:fldChar w:fldCharType="end"/>
      </w:r>
    </w:p>
    <w:p>
      <w:pPr>
        <w:tabs>
          <w:tab w:val="left" w:pos="567"/>
        </w:tabs>
        <w:jc w:val="both"/>
        <w:rPr>
          <w:sz w:val="22"/>
          <w:szCs w:val="22"/>
        </w:rPr>
      </w:pPr>
      <w:r>
        <w:rPr>
          <w:sz w:val="22"/>
          <w:szCs w:val="22"/>
        </w:rPr>
        <w:fldChar w:fldCharType="end"/>
      </w:r>
      <w:r>
        <w:rPr>
          <w:sz w:val="22"/>
          <w:szCs w:val="22"/>
        </w:rPr>
        <w:t>6.</w:t>
      </w:r>
      <w:r>
        <w:rPr>
          <w:sz w:val="22"/>
          <w:szCs w:val="22"/>
        </w:rPr>
        <w:tab/>
      </w:r>
      <w:r>
        <w:rPr>
          <w:sz w:val="22"/>
          <w:szCs w:val="22"/>
        </w:rPr>
        <w:t>ПРИЛОЖЕНИЕ. ОБОСНОВАНИЕ НАЧАЛЬНОЙ (МАКСИМАЛЬНОЙ) ЦЕНЫ ДОГОВОРА.</w:t>
      </w:r>
    </w:p>
    <w:p>
      <w:pPr>
        <w:pStyle w:val="2"/>
        <w:tabs>
          <w:tab w:val="clear" w:pos="0"/>
        </w:tabs>
        <w:ind w:left="0" w:right="-2" w:firstLine="0"/>
        <w:jc w:val="both"/>
        <w:rPr>
          <w:sz w:val="22"/>
          <w:szCs w:val="22"/>
          <w:lang w:eastAsia="ru-RU"/>
        </w:rPr>
      </w:pPr>
    </w:p>
    <w:p>
      <w:pPr>
        <w:pStyle w:val="2"/>
        <w:pageBreakBefore/>
        <w:ind w:left="0" w:right="-2" w:firstLine="0"/>
        <w:jc w:val="both"/>
        <w:rPr>
          <w:b/>
          <w:sz w:val="22"/>
          <w:szCs w:val="22"/>
        </w:rPr>
      </w:pPr>
      <w:bookmarkStart w:id="4" w:name="__RefHeading___Toc341251619"/>
      <w:bookmarkEnd w:id="4"/>
      <w:r>
        <w:rPr>
          <w:b/>
          <w:sz w:val="22"/>
          <w:szCs w:val="22"/>
        </w:rPr>
        <w:t>1. ОБЩИЕ ПОЛОЖЕНИЯ. ПОРЯДОК ПОДАЧИ ЗАЯВОК И ТРЕБОВАНИЯ К ПОДАЧЕ ЗАЯВКИ НА УЧАСТИЕ В АУКЦИОНЕ.</w:t>
      </w:r>
    </w:p>
    <w:p>
      <w:pPr>
        <w:rPr>
          <w:b/>
          <w:sz w:val="22"/>
          <w:szCs w:val="22"/>
        </w:rPr>
      </w:pPr>
    </w:p>
    <w:p>
      <w:pPr>
        <w:pStyle w:val="355"/>
        <w:tabs>
          <w:tab w:val="clear" w:pos="1307"/>
        </w:tabs>
        <w:ind w:left="0" w:firstLine="709"/>
        <w:rPr>
          <w:sz w:val="22"/>
          <w:szCs w:val="22"/>
        </w:rPr>
      </w:pPr>
      <w:r>
        <w:rPr>
          <w:sz w:val="22"/>
          <w:szCs w:val="22"/>
        </w:rPr>
        <w:t>Аукцион проводится в соответствии с положениями Гражданского кодекса Российской Федерации, Бюджетного кодекса Российской Федерации, Федерального закона от 18.07.2011 N 223-ФЗ «О закупках товаров, работ, услуг отдельными видами юридических лиц» (далее – Закон), Федерального закона от 26 июля 2006 г. № 135-ФЗ «О защите конкуренции», а также регламентом электронной площадки, на которой проводится аукцион.</w:t>
      </w:r>
    </w:p>
    <w:p>
      <w:pPr>
        <w:pStyle w:val="355"/>
        <w:tabs>
          <w:tab w:val="clear" w:pos="1307"/>
        </w:tabs>
        <w:ind w:left="0" w:firstLine="709"/>
        <w:rPr>
          <w:sz w:val="22"/>
          <w:szCs w:val="22"/>
        </w:rPr>
      </w:pPr>
      <w:r>
        <w:rPr>
          <w:sz w:val="22"/>
          <w:szCs w:val="22"/>
        </w:rPr>
        <w:t>В части, прямо не урегулированной законодательством Российской Федерации, проведение аукциона регулируется настоящей документацией об аукционе.</w:t>
      </w:r>
    </w:p>
    <w:p>
      <w:pPr>
        <w:tabs>
          <w:tab w:val="left" w:pos="5586"/>
        </w:tabs>
        <w:ind w:firstLine="709"/>
        <w:jc w:val="both"/>
        <w:rPr>
          <w:sz w:val="22"/>
          <w:szCs w:val="22"/>
        </w:rPr>
      </w:pPr>
      <w:r>
        <w:rPr>
          <w:sz w:val="22"/>
          <w:szCs w:val="22"/>
        </w:rPr>
        <w:t>Указанные выше документы, регулирующие порядок и условия проведения настоящего аукциона, а также исполнения договора, который будет заключен по результатам проведения настоящего аукциона, изучаются участником закупки самостоятельно.</w:t>
      </w:r>
    </w:p>
    <w:p>
      <w:pPr>
        <w:pStyle w:val="365"/>
        <w:widowControl/>
        <w:ind w:firstLine="709"/>
        <w:jc w:val="both"/>
        <w:rPr>
          <w:rFonts w:ascii="Times New Roman" w:hAnsi="Times New Roman" w:cs="Times New Roman"/>
          <w:sz w:val="22"/>
          <w:szCs w:val="22"/>
        </w:rPr>
      </w:pPr>
      <w:r>
        <w:rPr>
          <w:rFonts w:ascii="Times New Roman" w:hAnsi="Times New Roman" w:cs="Times New Roman"/>
          <w:sz w:val="22"/>
          <w:szCs w:val="22"/>
        </w:rPr>
        <w:t>Подавая заявку на участие в аукционе, участник закупки тем самым подтверждает, что он ознакомлен с настоящей документацией, включая прилагаемый к ней проект договора, и изложенными в них условиями проведения аукциона и исполнения договора, который будет заключен по результатам закупки.</w:t>
      </w:r>
    </w:p>
    <w:p>
      <w:pPr>
        <w:pStyle w:val="365"/>
        <w:widowControl/>
        <w:ind w:firstLine="540"/>
        <w:jc w:val="both"/>
        <w:rPr>
          <w:rFonts w:ascii="Times New Roman" w:hAnsi="Times New Roman" w:cs="Times New Roman"/>
          <w:sz w:val="22"/>
          <w:szCs w:val="22"/>
        </w:rPr>
      </w:pPr>
    </w:p>
    <w:p>
      <w:pPr>
        <w:pStyle w:val="365"/>
        <w:widowControl/>
        <w:ind w:firstLine="540"/>
        <w:jc w:val="both"/>
        <w:rPr>
          <w:rFonts w:ascii="Times New Roman" w:hAnsi="Times New Roman" w:cs="Times New Roman"/>
          <w:sz w:val="22"/>
          <w:szCs w:val="22"/>
        </w:rPr>
      </w:pPr>
      <w:r>
        <w:rPr>
          <w:rFonts w:ascii="Times New Roman" w:hAnsi="Times New Roman" w:cs="Times New Roman"/>
          <w:sz w:val="22"/>
          <w:szCs w:val="22"/>
        </w:rPr>
        <w:t>1. Первая часть заявки на участие в аукционе должна содержать следующие сведения:</w:t>
      </w:r>
    </w:p>
    <w:p>
      <w:pPr>
        <w:pStyle w:val="365"/>
        <w:widowControl/>
        <w:ind w:firstLine="540"/>
        <w:jc w:val="both"/>
        <w:rPr>
          <w:rFonts w:ascii="Times New Roman" w:hAnsi="Times New Roman" w:cs="Times New Roman"/>
          <w:sz w:val="22"/>
          <w:szCs w:val="22"/>
        </w:rPr>
      </w:pPr>
      <w:r>
        <w:rPr>
          <w:rFonts w:ascii="Times New Roman" w:hAnsi="Times New Roman" w:cs="Times New Roman"/>
          <w:sz w:val="22"/>
          <w:szCs w:val="22"/>
        </w:rPr>
        <w:t>1) согласие участника закупки на поставку товара в случае, если участник закупки предлагает для поставки товар, указание на товарный знак которого содержится в документации об аукционе, или указание на товарный знак (его словесное обозначение) предлагаемого для поставки товара и конкретные показатели этого товара, соответствующие значениям эквивалентности, установленным документацией об аукционе (значения эквивалентности (показатели) указаны в Техническом задании (Технической части документации об аукционе), рекомендуется их указать по Форме 1 документации об аукционе (рекомендуемая форма), участник закупки вправе указать их в форме по своему усмотрению, а также вправе указать иные показатели), если участник закупки предлагает для поставки товар, который является эквивалентным товару, указанному в документации об аукционе, при условии содержания в документации об аукционе в электронной форме указания на товарный знак;</w:t>
      </w:r>
    </w:p>
    <w:p>
      <w:pPr>
        <w:pStyle w:val="365"/>
        <w:widowControl/>
        <w:ind w:firstLine="540"/>
        <w:jc w:val="both"/>
        <w:rPr>
          <w:rFonts w:ascii="Times New Roman" w:hAnsi="Times New Roman" w:cs="Times New Roman"/>
          <w:sz w:val="22"/>
          <w:szCs w:val="22"/>
        </w:rPr>
      </w:pPr>
      <w:r>
        <w:rPr>
          <w:rFonts w:ascii="Times New Roman" w:hAnsi="Times New Roman" w:cs="Times New Roman"/>
          <w:sz w:val="22"/>
          <w:szCs w:val="22"/>
        </w:rPr>
        <w:t>2) конкретные показатели, соответствующие значениям, установленным документацией об аукционе (значения эквивалентности (показатели) указаны в Техническом задании (Технической части документации об аукционе), рекомендуется их указать по Форме 1 документации об аукционе (рекомендуемая форма), участник закупки вправе указать их в форме по своему усмотрению, а также вправе указать иные показатели), и товарный знак (его словесное обозначение) (при его наличии) предлагаемого для поставки товара при условии отсутствия в документации об аукционе указания на товарный знак.</w:t>
      </w:r>
    </w:p>
    <w:p>
      <w:pPr>
        <w:pStyle w:val="365"/>
        <w:widowControl/>
        <w:ind w:firstLine="540"/>
        <w:jc w:val="both"/>
        <w:rPr>
          <w:rFonts w:ascii="Times New Roman" w:hAnsi="Times New Roman" w:cs="Times New Roman"/>
          <w:sz w:val="22"/>
          <w:szCs w:val="22"/>
        </w:rPr>
      </w:pPr>
    </w:p>
    <w:p>
      <w:pPr>
        <w:pStyle w:val="365"/>
        <w:widowControl/>
        <w:ind w:firstLine="540"/>
        <w:jc w:val="both"/>
        <w:rPr>
          <w:rFonts w:ascii="Times New Roman" w:hAnsi="Times New Roman" w:cs="Times New Roman"/>
          <w:sz w:val="22"/>
          <w:szCs w:val="22"/>
        </w:rPr>
      </w:pPr>
      <w:r>
        <w:rPr>
          <w:rFonts w:ascii="Times New Roman" w:hAnsi="Times New Roman" w:cs="Times New Roman"/>
          <w:sz w:val="22"/>
          <w:szCs w:val="22"/>
        </w:rPr>
        <w:t>2. Вторая часть заявки на участие в аукционе должна содержать следующие документы и сведения:</w:t>
      </w:r>
    </w:p>
    <w:p>
      <w:pPr>
        <w:pStyle w:val="365"/>
        <w:widowControl/>
        <w:ind w:firstLine="540"/>
        <w:jc w:val="both"/>
        <w:rPr>
          <w:rFonts w:ascii="Times New Roman" w:hAnsi="Times New Roman" w:cs="Times New Roman"/>
          <w:sz w:val="22"/>
          <w:szCs w:val="22"/>
        </w:rPr>
      </w:pPr>
      <w:r>
        <w:rPr>
          <w:rFonts w:ascii="Times New Roman" w:hAnsi="Times New Roman" w:cs="Times New Roman"/>
          <w:sz w:val="22"/>
          <w:szCs w:val="22"/>
        </w:rPr>
        <w:t>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pPr>
        <w:pStyle w:val="365"/>
        <w:widowControl/>
        <w:ind w:firstLine="540"/>
        <w:jc w:val="both"/>
        <w:rPr>
          <w:rFonts w:ascii="Times New Roman" w:hAnsi="Times New Roman" w:cs="Times New Roman"/>
          <w:sz w:val="22"/>
          <w:szCs w:val="22"/>
        </w:rPr>
      </w:pPr>
      <w:r>
        <w:rPr>
          <w:rFonts w:ascii="Times New Roman" w:hAnsi="Times New Roman" w:cs="Times New Roman"/>
          <w:sz w:val="22"/>
          <w:szCs w:val="22"/>
        </w:rPr>
        <w:t>2)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закупки поставка товаров, являющихся предметом договора (аукциона), или внесение денежных средств в качестве обеспечения заявки на участие в аукционе,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закупки на электронной площадке.</w:t>
      </w:r>
    </w:p>
    <w:p>
      <w:pPr>
        <w:pStyle w:val="365"/>
        <w:widowControl/>
        <w:ind w:firstLine="540"/>
        <w:jc w:val="both"/>
        <w:rPr>
          <w:rFonts w:ascii="Times New Roman" w:hAnsi="Times New Roman" w:cs="Times New Roman"/>
          <w:sz w:val="22"/>
          <w:szCs w:val="22"/>
        </w:rPr>
      </w:pPr>
      <w:r>
        <w:rPr>
          <w:rFonts w:ascii="Times New Roman" w:hAnsi="Times New Roman" w:cs="Times New Roman"/>
          <w:sz w:val="22"/>
          <w:szCs w:val="22"/>
        </w:rPr>
        <w:t>3) декларация о соответствии участника аукциона требованиям, установленным в п.24 Информационной карты аукциона.</w:t>
      </w:r>
    </w:p>
    <w:p>
      <w:pPr>
        <w:pStyle w:val="365"/>
        <w:widowControl/>
        <w:ind w:firstLine="567"/>
        <w:jc w:val="both"/>
        <w:rPr>
          <w:rFonts w:ascii="Times New Roman" w:hAnsi="Times New Roman" w:cs="Times New Roman"/>
          <w:sz w:val="22"/>
          <w:szCs w:val="22"/>
        </w:rPr>
      </w:pPr>
      <w:r>
        <w:rPr>
          <w:rFonts w:ascii="Times New Roman" w:hAnsi="Times New Roman" w:cs="Times New Roman"/>
          <w:sz w:val="22"/>
          <w:szCs w:val="22"/>
        </w:rPr>
        <w:t>Вместе со вторыми частями заявок на участие в аукционе оператором электронной площадки, на котором проводится аукцион, направляются Заказчику документы участников закупки:</w:t>
      </w:r>
    </w:p>
    <w:p>
      <w:pPr>
        <w:numPr>
          <w:ilvl w:val="0"/>
          <w:numId w:val="5"/>
        </w:numPr>
        <w:ind w:left="0" w:firstLine="567"/>
        <w:jc w:val="both"/>
        <w:rPr>
          <w:sz w:val="22"/>
          <w:szCs w:val="22"/>
        </w:rPr>
      </w:pPr>
      <w:r>
        <w:rPr>
          <w:sz w:val="22"/>
          <w:szCs w:val="22"/>
        </w:rPr>
        <w:t>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размещения на сайте электронной площадки извещения о проведении аукциона,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pPr>
        <w:numPr>
          <w:ilvl w:val="0"/>
          <w:numId w:val="5"/>
        </w:numPr>
        <w:ind w:left="0" w:firstLine="567"/>
        <w:jc w:val="both"/>
        <w:rPr>
          <w:kern w:val="1"/>
          <w:sz w:val="22"/>
          <w:szCs w:val="22"/>
        </w:rPr>
      </w:pPr>
      <w:r>
        <w:rPr>
          <w:sz w:val="22"/>
          <w:szCs w:val="22"/>
        </w:rPr>
        <w:t>копия учредительных документов участника закупки (для юридических лиц), копии документов, удостоверяющих личность (для физических лиц);</w:t>
      </w:r>
    </w:p>
    <w:p>
      <w:pPr>
        <w:numPr>
          <w:ilvl w:val="0"/>
          <w:numId w:val="5"/>
        </w:numPr>
        <w:ind w:left="0" w:firstLine="567"/>
        <w:jc w:val="both"/>
        <w:rPr>
          <w:sz w:val="22"/>
          <w:szCs w:val="22"/>
        </w:rPr>
      </w:pPr>
      <w:r>
        <w:rPr>
          <w:kern w:val="1"/>
          <w:sz w:val="22"/>
          <w:szCs w:val="22"/>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при наличии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аукционе должна содержать также документ, подтверждающий полномочия такого лица.</w:t>
      </w:r>
    </w:p>
    <w:p>
      <w:pPr>
        <w:pStyle w:val="365"/>
        <w:widowControl/>
        <w:ind w:firstLine="567"/>
        <w:jc w:val="both"/>
        <w:rPr>
          <w:rFonts w:ascii="Times New Roman" w:hAnsi="Times New Roman" w:cs="Times New Roman"/>
          <w:sz w:val="22"/>
          <w:szCs w:val="22"/>
        </w:rPr>
      </w:pPr>
      <w:r>
        <w:rPr>
          <w:rFonts w:ascii="Times New Roman" w:hAnsi="Times New Roman" w:cs="Times New Roman"/>
          <w:sz w:val="22"/>
          <w:szCs w:val="22"/>
        </w:rPr>
        <w:t xml:space="preserve">Отсутствие документов, предусмотренных подпунктами </w:t>
      </w:r>
      <w:r>
        <w:rPr>
          <w:rFonts w:ascii="Times New Roman" w:hAnsi="Times New Roman" w:cs="Times New Roman"/>
          <w:sz w:val="22"/>
          <w:szCs w:val="22"/>
          <w:lang w:val="en-US"/>
        </w:rPr>
        <w:t>a</w:t>
      </w:r>
      <w:r>
        <w:rPr>
          <w:rFonts w:ascii="Times New Roman" w:hAnsi="Times New Roman" w:cs="Times New Roman"/>
          <w:sz w:val="22"/>
          <w:szCs w:val="22"/>
        </w:rPr>
        <w:t xml:space="preserve">), </w:t>
      </w:r>
      <w:r>
        <w:rPr>
          <w:rFonts w:ascii="Times New Roman" w:hAnsi="Times New Roman" w:cs="Times New Roman"/>
          <w:sz w:val="22"/>
          <w:szCs w:val="22"/>
          <w:lang w:val="en-US"/>
        </w:rPr>
        <w:t>b</w:t>
      </w:r>
      <w:r>
        <w:rPr>
          <w:rFonts w:ascii="Times New Roman" w:hAnsi="Times New Roman" w:cs="Times New Roman"/>
          <w:sz w:val="22"/>
          <w:szCs w:val="22"/>
        </w:rPr>
        <w:t xml:space="preserve">), </w:t>
      </w:r>
      <w:r>
        <w:rPr>
          <w:rFonts w:ascii="Times New Roman" w:hAnsi="Times New Roman" w:cs="Times New Roman"/>
          <w:sz w:val="22"/>
          <w:szCs w:val="22"/>
          <w:lang w:val="en-US"/>
        </w:rPr>
        <w:t>c</w:t>
      </w:r>
      <w:r>
        <w:rPr>
          <w:rFonts w:ascii="Times New Roman" w:hAnsi="Times New Roman" w:cs="Times New Roman"/>
          <w:sz w:val="22"/>
          <w:szCs w:val="22"/>
        </w:rPr>
        <w:t>) или их несоответствие требованиям документации об аукционе, а также наличие в таких документах недостоверных сведений об участнике закупки является основанием для отказа в допуске к участию в аукционе и определяется на дату и время окончания срока подачи заявок на участие в аукционе.</w:t>
      </w:r>
    </w:p>
    <w:p>
      <w:pPr>
        <w:pStyle w:val="365"/>
        <w:widowControl/>
        <w:ind w:firstLine="540"/>
        <w:jc w:val="both"/>
        <w:rPr>
          <w:rFonts w:ascii="Times New Roman" w:hAnsi="Times New Roman" w:cs="Times New Roman"/>
          <w:sz w:val="22"/>
          <w:szCs w:val="22"/>
        </w:rPr>
      </w:pPr>
    </w:p>
    <w:p>
      <w:pPr>
        <w:autoSpaceDE w:val="0"/>
        <w:ind w:firstLine="540"/>
        <w:jc w:val="both"/>
        <w:rPr>
          <w:sz w:val="22"/>
          <w:szCs w:val="22"/>
        </w:rPr>
      </w:pPr>
      <w:r>
        <w:rPr>
          <w:sz w:val="22"/>
          <w:szCs w:val="22"/>
        </w:rPr>
        <w:t>3. Инструкция по заполнению заявки на участие в аукционе:</w:t>
      </w:r>
    </w:p>
    <w:p>
      <w:pPr>
        <w:ind w:firstLine="567"/>
        <w:jc w:val="both"/>
        <w:rPr>
          <w:sz w:val="22"/>
          <w:szCs w:val="22"/>
        </w:rPr>
      </w:pPr>
      <w:r>
        <w:rPr>
          <w:sz w:val="22"/>
          <w:szCs w:val="22"/>
        </w:rPr>
        <w:t xml:space="preserve">В аукционе могут принимать участие 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 </w:t>
      </w:r>
    </w:p>
    <w:p>
      <w:pPr>
        <w:widowControl w:val="0"/>
        <w:autoSpaceDE w:val="0"/>
        <w:ind w:firstLine="540"/>
        <w:jc w:val="both"/>
        <w:rPr>
          <w:sz w:val="22"/>
          <w:szCs w:val="22"/>
        </w:rPr>
      </w:pPr>
      <w:r>
        <w:rPr>
          <w:sz w:val="22"/>
          <w:szCs w:val="22"/>
        </w:rPr>
        <w:t>Заявка на участие в аукционе подается в соответствии с документацией об аукционе.</w:t>
      </w:r>
    </w:p>
    <w:p>
      <w:pPr>
        <w:widowControl w:val="0"/>
        <w:autoSpaceDE w:val="0"/>
        <w:ind w:firstLine="540"/>
        <w:jc w:val="both"/>
        <w:rPr>
          <w:sz w:val="22"/>
          <w:szCs w:val="22"/>
        </w:rPr>
      </w:pPr>
      <w:r>
        <w:rPr>
          <w:sz w:val="22"/>
          <w:szCs w:val="22"/>
        </w:rPr>
        <w:t>Участник закупки вправе подать заявку на участие в аукционе в любой момент с момента размещения на официальном сайте извещения о проведении аукциона до предусмотренных документацией об аукционе даты и времени окончания срока подачи заявок на участие в аукционе.</w:t>
      </w:r>
    </w:p>
    <w:p>
      <w:pPr>
        <w:widowControl w:val="0"/>
        <w:autoSpaceDE w:val="0"/>
        <w:ind w:firstLine="540"/>
        <w:jc w:val="both"/>
        <w:rPr>
          <w:sz w:val="22"/>
          <w:szCs w:val="22"/>
        </w:rPr>
      </w:pPr>
      <w:bookmarkStart w:id="5" w:name="p527"/>
      <w:bookmarkEnd w:id="5"/>
      <w:r>
        <w:rPr>
          <w:sz w:val="22"/>
          <w:szCs w:val="22"/>
        </w:rPr>
        <w:t>Заявка на участие в аукционе направляется участником закупки, получившим аккредитацию на соответствующей электронной площадке, оператору электронной площадки в форме двух электронных документов. Указанные электронные документы подаются одновременно. В первой части заявки не допускается указание неконкретных значений конкретных показателей товаров, предлагаемых к поставке, в части значений конкретных показателей товаров предлагаемых для поставки товаров не допускается содержание слов «должен», «должно», «должна», «должны», «или», «не более», «не менее», «или эквивалент». Для значений неконкретных показателей по своей сущности, указанные в настоящем абзаце требования не распространяются.</w:t>
      </w:r>
    </w:p>
    <w:p>
      <w:pPr>
        <w:widowControl w:val="0"/>
        <w:autoSpaceDE w:val="0"/>
        <w:ind w:firstLine="540"/>
        <w:jc w:val="both"/>
        <w:rPr>
          <w:sz w:val="22"/>
          <w:szCs w:val="22"/>
        </w:rPr>
      </w:pPr>
      <w:r>
        <w:rPr>
          <w:sz w:val="22"/>
          <w:szCs w:val="22"/>
        </w:rPr>
        <w:t>Участник закупки вправе подать только одну заявку на участие в аукционе.</w:t>
      </w:r>
    </w:p>
    <w:p>
      <w:pPr>
        <w:widowControl w:val="0"/>
        <w:autoSpaceDE w:val="0"/>
        <w:ind w:firstLine="540"/>
        <w:jc w:val="both"/>
        <w:rPr>
          <w:sz w:val="22"/>
          <w:szCs w:val="22"/>
        </w:rPr>
      </w:pPr>
      <w:r>
        <w:rPr>
          <w:sz w:val="22"/>
          <w:szCs w:val="22"/>
        </w:rPr>
        <w:t>Участие в аукционе возможно при наличии на счете участника закупки, открытом для проведения операций по обеспечению участия в аукционах на соответствующей электронной площадке, денежных средств в размере не менее чем размер обеспечения заявки на участие в аукционе, предусмотренный настоящей документацией об аукционе.</w:t>
      </w:r>
    </w:p>
    <w:p>
      <w:pPr>
        <w:widowControl w:val="0"/>
        <w:autoSpaceDE w:val="0"/>
        <w:ind w:firstLine="540"/>
        <w:jc w:val="both"/>
        <w:rPr>
          <w:sz w:val="22"/>
          <w:szCs w:val="22"/>
        </w:rPr>
      </w:pPr>
      <w:r>
        <w:rPr>
          <w:sz w:val="22"/>
          <w:szCs w:val="22"/>
        </w:rPr>
        <w:t>Рекомендуется:</w:t>
      </w:r>
    </w:p>
    <w:p>
      <w:pPr>
        <w:widowControl w:val="0"/>
        <w:autoSpaceDE w:val="0"/>
        <w:ind w:firstLine="540"/>
        <w:jc w:val="both"/>
        <w:rPr>
          <w:sz w:val="22"/>
          <w:szCs w:val="22"/>
        </w:rPr>
      </w:pPr>
      <w:r>
        <w:rPr>
          <w:sz w:val="22"/>
          <w:szCs w:val="22"/>
        </w:rPr>
        <w:t>Использовать общепринятые обозначения и наименования в соответствии с требованиями действующих нормативных документов.</w:t>
      </w:r>
    </w:p>
    <w:p>
      <w:pPr>
        <w:ind w:firstLine="567"/>
        <w:jc w:val="both"/>
        <w:rPr>
          <w:sz w:val="22"/>
          <w:szCs w:val="22"/>
        </w:rPr>
      </w:pPr>
      <w:r>
        <w:rPr>
          <w:sz w:val="22"/>
          <w:szCs w:val="22"/>
        </w:rPr>
        <w:t>Заявка на участие в аукционе, представленная участником закупки, а также вся корреспонденция и документация, связанные с указанной заявкой, которой обменялись участник и заказчик, должны быть написаны на русском языке.</w:t>
      </w:r>
    </w:p>
    <w:p>
      <w:pPr>
        <w:ind w:firstLine="567"/>
        <w:jc w:val="both"/>
        <w:rPr>
          <w:bCs/>
          <w:sz w:val="22"/>
          <w:szCs w:val="22"/>
        </w:rPr>
      </w:pPr>
      <w:r>
        <w:rPr>
          <w:sz w:val="22"/>
          <w:szCs w:val="22"/>
        </w:rPr>
        <w:t>При проведении аукциона в электронной форме какие-либо переговоры Заказчика, специализированной организации или аукционной (единой) комиссии по размещению заказов с УЧАСТНИКАМИ ЗАКУПКИ не допускаются.</w:t>
      </w:r>
    </w:p>
    <w:p>
      <w:pPr>
        <w:tabs>
          <w:tab w:val="left" w:pos="5586"/>
        </w:tabs>
        <w:autoSpaceDE w:val="0"/>
        <w:ind w:firstLine="567"/>
        <w:jc w:val="both"/>
        <w:rPr>
          <w:bCs/>
          <w:sz w:val="22"/>
          <w:szCs w:val="22"/>
        </w:rPr>
      </w:pPr>
    </w:p>
    <w:p>
      <w:pPr>
        <w:widowControl w:val="0"/>
        <w:autoSpaceDE w:val="0"/>
        <w:ind w:firstLine="540"/>
        <w:jc w:val="both"/>
        <w:rPr>
          <w:kern w:val="1"/>
          <w:sz w:val="22"/>
          <w:szCs w:val="22"/>
        </w:rPr>
      </w:pPr>
      <w:r>
        <w:rPr>
          <w:bCs/>
          <w:sz w:val="22"/>
          <w:szCs w:val="22"/>
        </w:rPr>
        <w:t xml:space="preserve">4. Рассмотрения заявок на участие в аукционе. </w:t>
      </w:r>
    </w:p>
    <w:p>
      <w:pPr>
        <w:widowControl w:val="0"/>
        <w:autoSpaceDE w:val="0"/>
        <w:ind w:firstLine="540"/>
        <w:jc w:val="both"/>
        <w:rPr>
          <w:sz w:val="22"/>
          <w:szCs w:val="22"/>
        </w:rPr>
      </w:pPr>
      <w:r>
        <w:rPr>
          <w:kern w:val="1"/>
          <w:sz w:val="22"/>
          <w:szCs w:val="22"/>
        </w:rPr>
        <w:t>Аукционная комиссия (Единая) (далее – комиссия) рассматривает заявки на участие в аукционе на соответствие требованиям, установленным документацией об аукционе.</w:t>
      </w:r>
    </w:p>
    <w:p>
      <w:pPr>
        <w:ind w:firstLine="540"/>
        <w:jc w:val="both"/>
        <w:rPr>
          <w:sz w:val="22"/>
          <w:szCs w:val="22"/>
        </w:rPr>
      </w:pPr>
      <w:r>
        <w:rPr>
          <w:sz w:val="22"/>
          <w:szCs w:val="22"/>
        </w:rPr>
        <w:t>Комиссия при рассмотрении заявок:</w:t>
      </w:r>
    </w:p>
    <w:p>
      <w:pPr>
        <w:ind w:firstLine="540"/>
        <w:jc w:val="both"/>
        <w:rPr>
          <w:sz w:val="22"/>
          <w:szCs w:val="22"/>
        </w:rPr>
      </w:pPr>
      <w:r>
        <w:rPr>
          <w:sz w:val="22"/>
          <w:szCs w:val="22"/>
        </w:rPr>
        <w:t>проверяет заявки на соответствие требованиям документации об аукционе;</w:t>
      </w:r>
    </w:p>
    <w:p>
      <w:pPr>
        <w:ind w:firstLine="540"/>
        <w:jc w:val="both"/>
        <w:rPr>
          <w:sz w:val="22"/>
          <w:szCs w:val="22"/>
        </w:rPr>
      </w:pPr>
      <w:r>
        <w:rPr>
          <w:sz w:val="22"/>
          <w:szCs w:val="22"/>
        </w:rPr>
        <w:t>проверяет в заявках наличие документов, предусмотренных законодательством и документацией об аукционе, правильность и полноту их оформления, и достоверность сведений, содержащихся в указанных документах;</w:t>
      </w:r>
    </w:p>
    <w:p>
      <w:pPr>
        <w:ind w:firstLine="540"/>
        <w:jc w:val="both"/>
        <w:rPr>
          <w:sz w:val="22"/>
          <w:szCs w:val="22"/>
        </w:rPr>
      </w:pPr>
      <w:r>
        <w:rPr>
          <w:sz w:val="22"/>
          <w:szCs w:val="22"/>
        </w:rPr>
        <w:t>На основании результатов рассмотрения заявок комиссией принимается решение о допуске к участию в аукционе участника и о признании участника, подавшего заявку, участником аукциона или об отказе в допуске такому участнику к участию в аукционе.</w:t>
      </w:r>
    </w:p>
    <w:p>
      <w:pPr>
        <w:ind w:firstLine="540"/>
        <w:jc w:val="both"/>
        <w:rPr>
          <w:sz w:val="22"/>
          <w:szCs w:val="22"/>
        </w:rPr>
      </w:pPr>
      <w:r>
        <w:rPr>
          <w:sz w:val="22"/>
          <w:szCs w:val="22"/>
        </w:rPr>
        <w:t xml:space="preserve">Заказчик вправе запросить у соответствующих органов и организаций сведения об участнике, подавшем заявку: </w:t>
      </w:r>
    </w:p>
    <w:p>
      <w:pPr>
        <w:ind w:firstLine="540"/>
        <w:jc w:val="both"/>
        <w:rPr>
          <w:sz w:val="22"/>
          <w:szCs w:val="22"/>
        </w:rPr>
      </w:pPr>
      <w:r>
        <w:rPr>
          <w:sz w:val="22"/>
          <w:szCs w:val="22"/>
        </w:rPr>
        <w:t xml:space="preserve">о проведении ликвидации участника закупки - юридического лица, </w:t>
      </w:r>
    </w:p>
    <w:p>
      <w:pPr>
        <w:ind w:firstLine="540"/>
        <w:jc w:val="both"/>
        <w:rPr>
          <w:sz w:val="22"/>
          <w:szCs w:val="22"/>
        </w:rPr>
      </w:pPr>
      <w:r>
        <w:rPr>
          <w:sz w:val="22"/>
          <w:szCs w:val="22"/>
        </w:rPr>
        <w:t>о проведении в отношении участника - юридического лица, индивидуального предпринимателя процедуры банкротства,</w:t>
      </w:r>
    </w:p>
    <w:p>
      <w:pPr>
        <w:ind w:firstLine="540"/>
        <w:jc w:val="both"/>
        <w:rPr>
          <w:sz w:val="22"/>
          <w:szCs w:val="22"/>
        </w:rPr>
      </w:pPr>
      <w:r>
        <w:rPr>
          <w:sz w:val="22"/>
          <w:szCs w:val="22"/>
        </w:rPr>
        <w:t xml:space="preserve">о приостановлении деятельности участника в порядке, предусмотренном Кодексом Российской Федерации об административных правонарушениях, </w:t>
      </w:r>
    </w:p>
    <w:p>
      <w:pPr>
        <w:ind w:firstLine="540"/>
        <w:jc w:val="both"/>
        <w:rPr>
          <w:sz w:val="22"/>
          <w:szCs w:val="22"/>
        </w:rPr>
      </w:pPr>
      <w:r>
        <w:rPr>
          <w:sz w:val="22"/>
          <w:szCs w:val="22"/>
        </w:rPr>
        <w:t>о наличии задолженностей участника по начисленным налогам, сборам и иным обязательным платежам в бюджеты любого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w:t>
      </w:r>
    </w:p>
    <w:p>
      <w:pPr>
        <w:ind w:firstLine="540"/>
        <w:jc w:val="both"/>
        <w:rPr>
          <w:sz w:val="22"/>
          <w:szCs w:val="22"/>
        </w:rPr>
      </w:pPr>
      <w:r>
        <w:rPr>
          <w:sz w:val="22"/>
          <w:szCs w:val="22"/>
        </w:rPr>
        <w:t>В случае установления:</w:t>
      </w:r>
    </w:p>
    <w:p>
      <w:pPr>
        <w:widowControl w:val="0"/>
        <w:numPr>
          <w:ilvl w:val="0"/>
          <w:numId w:val="6"/>
        </w:numPr>
        <w:autoSpaceDE w:val="0"/>
        <w:ind w:left="0" w:firstLine="540"/>
        <w:jc w:val="both"/>
        <w:rPr>
          <w:sz w:val="22"/>
          <w:szCs w:val="22"/>
        </w:rPr>
      </w:pPr>
      <w:r>
        <w:rPr>
          <w:sz w:val="22"/>
          <w:szCs w:val="22"/>
        </w:rPr>
        <w:t>недостоверности сведений, содержащихся в документах, представленных участником;</w:t>
      </w:r>
    </w:p>
    <w:p>
      <w:pPr>
        <w:widowControl w:val="0"/>
        <w:numPr>
          <w:ilvl w:val="0"/>
          <w:numId w:val="6"/>
        </w:numPr>
        <w:autoSpaceDE w:val="0"/>
        <w:ind w:left="0" w:firstLine="540"/>
        <w:jc w:val="both"/>
        <w:rPr>
          <w:sz w:val="22"/>
          <w:szCs w:val="22"/>
        </w:rPr>
      </w:pPr>
      <w:r>
        <w:rPr>
          <w:sz w:val="22"/>
          <w:szCs w:val="22"/>
        </w:rPr>
        <w:t>факта проведения ликвидации участника - юридического лица или проведения в отношении участника - юридического лица, индивидуального предпринимателя процедуры банкротства;</w:t>
      </w:r>
    </w:p>
    <w:p>
      <w:pPr>
        <w:widowControl w:val="0"/>
        <w:numPr>
          <w:ilvl w:val="0"/>
          <w:numId w:val="6"/>
        </w:numPr>
        <w:autoSpaceDE w:val="0"/>
        <w:ind w:left="0" w:firstLine="540"/>
        <w:jc w:val="both"/>
        <w:rPr>
          <w:sz w:val="22"/>
          <w:szCs w:val="22"/>
        </w:rPr>
      </w:pPr>
      <w:r>
        <w:rPr>
          <w:sz w:val="22"/>
          <w:szCs w:val="22"/>
        </w:rPr>
        <w:t>факта приостановления деятельности участника в порядке, предусмотренном Кодексом Российской Федерации об административных правонарушениях;</w:t>
      </w:r>
    </w:p>
    <w:p>
      <w:pPr>
        <w:widowControl w:val="0"/>
        <w:numPr>
          <w:ilvl w:val="0"/>
          <w:numId w:val="6"/>
        </w:numPr>
        <w:autoSpaceDE w:val="0"/>
        <w:ind w:left="0" w:firstLine="540"/>
        <w:jc w:val="both"/>
        <w:rPr>
          <w:sz w:val="22"/>
          <w:szCs w:val="22"/>
        </w:rPr>
      </w:pPr>
      <w:r>
        <w:rPr>
          <w:sz w:val="22"/>
          <w:szCs w:val="22"/>
        </w:rPr>
        <w:t>факта наличия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 -</w:t>
      </w:r>
    </w:p>
    <w:p>
      <w:pPr>
        <w:ind w:firstLine="540"/>
        <w:jc w:val="both"/>
        <w:rPr>
          <w:sz w:val="22"/>
          <w:szCs w:val="22"/>
        </w:rPr>
      </w:pPr>
      <w:r>
        <w:rPr>
          <w:sz w:val="22"/>
          <w:szCs w:val="22"/>
        </w:rPr>
        <w:t xml:space="preserve">Заказчик, комиссия обязаны отстранить такого участника от участия в аукционе на </w:t>
      </w:r>
      <w:r>
        <w:rPr>
          <w:b/>
          <w:sz w:val="22"/>
          <w:szCs w:val="22"/>
        </w:rPr>
        <w:t>любом этапе</w:t>
      </w:r>
      <w:r>
        <w:rPr>
          <w:sz w:val="22"/>
          <w:szCs w:val="22"/>
        </w:rPr>
        <w:t xml:space="preserve"> его проведения.</w:t>
      </w:r>
    </w:p>
    <w:p>
      <w:pPr>
        <w:ind w:firstLine="540"/>
        <w:jc w:val="both"/>
        <w:rPr>
          <w:sz w:val="22"/>
          <w:szCs w:val="22"/>
        </w:rPr>
      </w:pPr>
    </w:p>
    <w:p>
      <w:pPr>
        <w:ind w:firstLine="540"/>
        <w:jc w:val="both"/>
        <w:rPr>
          <w:sz w:val="22"/>
          <w:szCs w:val="22"/>
        </w:rPr>
      </w:pPr>
      <w:r>
        <w:rPr>
          <w:sz w:val="22"/>
          <w:szCs w:val="22"/>
        </w:rPr>
        <w:t>При рассмотрении заявок участник не допускается комиссией к участию в аукционе в случае:</w:t>
      </w:r>
    </w:p>
    <w:p>
      <w:pPr>
        <w:ind w:firstLine="540"/>
        <w:jc w:val="both"/>
        <w:rPr>
          <w:sz w:val="22"/>
          <w:szCs w:val="22"/>
        </w:rPr>
      </w:pPr>
      <w:r>
        <w:rPr>
          <w:sz w:val="22"/>
          <w:szCs w:val="22"/>
        </w:rPr>
        <w:t>- заявка оформлена не в соответствии с требованиями документации об аукционе и законодательства РФ;</w:t>
      </w:r>
    </w:p>
    <w:p>
      <w:pPr>
        <w:ind w:firstLine="540"/>
        <w:jc w:val="both"/>
        <w:rPr>
          <w:sz w:val="22"/>
          <w:szCs w:val="22"/>
        </w:rPr>
      </w:pPr>
      <w:r>
        <w:rPr>
          <w:sz w:val="22"/>
          <w:szCs w:val="22"/>
        </w:rPr>
        <w:t>- отсутствует, не надлежаще или неполно оформлен, или представлен какой-либо документ (копия документа), предусмотренный документацией об аукционе, либо выявлена недостоверность сведений, содержащихся в документах;</w:t>
      </w:r>
    </w:p>
    <w:p>
      <w:pPr>
        <w:ind w:firstLine="540"/>
        <w:jc w:val="both"/>
        <w:rPr>
          <w:sz w:val="22"/>
          <w:szCs w:val="22"/>
        </w:rPr>
      </w:pPr>
      <w:r>
        <w:rPr>
          <w:sz w:val="22"/>
          <w:szCs w:val="22"/>
        </w:rPr>
        <w:t>- участник не соответствует требованиям:</w:t>
      </w:r>
    </w:p>
    <w:p>
      <w:pPr>
        <w:ind w:firstLine="540"/>
        <w:jc w:val="both"/>
        <w:rPr>
          <w:sz w:val="22"/>
          <w:szCs w:val="22"/>
        </w:rPr>
      </w:pPr>
      <w:r>
        <w:rPr>
          <w:sz w:val="22"/>
          <w:szCs w:val="22"/>
        </w:rPr>
        <w:t>а) проводится ликвидация участника - юридического лица или проводится в отношении участника - юридического лица, индивидуального предпринимателя процедура банкротства;</w:t>
      </w:r>
    </w:p>
    <w:p>
      <w:pPr>
        <w:ind w:firstLine="540"/>
        <w:jc w:val="both"/>
        <w:rPr>
          <w:sz w:val="22"/>
          <w:szCs w:val="22"/>
        </w:rPr>
      </w:pPr>
      <w:r>
        <w:rPr>
          <w:sz w:val="22"/>
          <w:szCs w:val="22"/>
        </w:rPr>
        <w:t>б) приостановлена деятельность участника в порядке, предусмотренном Кодексом Российской Федерации об административных правонарушениях на день подачи заявки на участие в аукционе;</w:t>
      </w:r>
    </w:p>
    <w:p>
      <w:pPr>
        <w:ind w:firstLine="540"/>
        <w:jc w:val="both"/>
        <w:rPr>
          <w:sz w:val="22"/>
          <w:szCs w:val="22"/>
        </w:rPr>
      </w:pPr>
      <w:r>
        <w:rPr>
          <w:sz w:val="22"/>
          <w:szCs w:val="22"/>
        </w:rPr>
        <w:t>в) у участника есть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pPr>
        <w:widowControl w:val="0"/>
        <w:autoSpaceDE w:val="0"/>
        <w:ind w:firstLine="540"/>
        <w:jc w:val="both"/>
        <w:rPr>
          <w:bCs/>
          <w:sz w:val="22"/>
          <w:szCs w:val="22"/>
        </w:rPr>
      </w:pPr>
      <w:r>
        <w:rPr>
          <w:sz w:val="22"/>
          <w:szCs w:val="22"/>
        </w:rPr>
        <w:t xml:space="preserve">г) в предусмотренном Законом реестре недобросовестных поставщиков содержатся сведения об участнике. </w:t>
      </w:r>
    </w:p>
    <w:p>
      <w:pPr>
        <w:tabs>
          <w:tab w:val="left" w:pos="5586"/>
        </w:tabs>
        <w:autoSpaceDE w:val="0"/>
        <w:ind w:firstLine="567"/>
        <w:jc w:val="both"/>
        <w:rPr>
          <w:bCs/>
          <w:sz w:val="22"/>
          <w:szCs w:val="22"/>
        </w:rPr>
      </w:pPr>
    </w:p>
    <w:p>
      <w:pPr>
        <w:tabs>
          <w:tab w:val="left" w:pos="5586"/>
        </w:tabs>
        <w:autoSpaceDE w:val="0"/>
        <w:ind w:firstLine="567"/>
        <w:jc w:val="both"/>
        <w:rPr>
          <w:sz w:val="22"/>
          <w:szCs w:val="22"/>
        </w:rPr>
      </w:pPr>
      <w:r>
        <w:rPr>
          <w:bCs/>
          <w:sz w:val="22"/>
          <w:szCs w:val="22"/>
        </w:rPr>
        <w:t>5. Проведение аукциона.</w:t>
      </w:r>
    </w:p>
    <w:p>
      <w:pPr>
        <w:tabs>
          <w:tab w:val="left" w:pos="5586"/>
        </w:tabs>
        <w:autoSpaceDE w:val="0"/>
        <w:ind w:firstLine="567"/>
        <w:jc w:val="both"/>
        <w:rPr>
          <w:sz w:val="22"/>
          <w:szCs w:val="22"/>
        </w:rPr>
      </w:pPr>
      <w:r>
        <w:rPr>
          <w:sz w:val="22"/>
          <w:szCs w:val="22"/>
        </w:rPr>
        <w:t>5.1. Аукцион проводится на электронной площадке в день и время, указанные в извещении о проведении аукциона. Дата и время проведения аукциона указаны также в разделе 2</w:t>
      </w:r>
      <w:r>
        <w:rPr>
          <w:b/>
          <w:bCs/>
          <w:i/>
          <w:iCs/>
          <w:sz w:val="22"/>
          <w:szCs w:val="22"/>
        </w:rPr>
        <w:t xml:space="preserve"> </w:t>
      </w:r>
      <w:r>
        <w:rPr>
          <w:bCs/>
          <w:iCs/>
          <w:sz w:val="22"/>
          <w:szCs w:val="22"/>
        </w:rPr>
        <w:t>«ИНФОРМАЦИОННАЯ КАРТА АУКЦИОНА»</w:t>
      </w:r>
      <w:r>
        <w:rPr>
          <w:sz w:val="22"/>
          <w:szCs w:val="22"/>
        </w:rPr>
        <w:t xml:space="preserve"> настоящей документации.</w:t>
      </w:r>
    </w:p>
    <w:p>
      <w:pPr>
        <w:tabs>
          <w:tab w:val="left" w:pos="5586"/>
        </w:tabs>
        <w:autoSpaceDE w:val="0"/>
        <w:ind w:firstLine="567"/>
        <w:jc w:val="both"/>
        <w:rPr>
          <w:sz w:val="22"/>
          <w:szCs w:val="22"/>
        </w:rPr>
      </w:pPr>
      <w:r>
        <w:rPr>
          <w:sz w:val="22"/>
          <w:szCs w:val="22"/>
        </w:rPr>
        <w:t>5.2. Аукцион проводится оператором электронной площадки в порядке, установленном регламентом электронной площадки.</w:t>
      </w:r>
    </w:p>
    <w:p>
      <w:pPr>
        <w:tabs>
          <w:tab w:val="left" w:pos="5586"/>
        </w:tabs>
        <w:autoSpaceDE w:val="0"/>
        <w:ind w:firstLine="567"/>
        <w:jc w:val="both"/>
        <w:rPr>
          <w:sz w:val="22"/>
          <w:szCs w:val="22"/>
        </w:rPr>
      </w:pPr>
      <w:r>
        <w:rPr>
          <w:sz w:val="22"/>
          <w:szCs w:val="22"/>
        </w:rPr>
        <w:t xml:space="preserve">5.3. «Шаг аукциона» составляет от 0,5 процента до 5 процентов от начальной (максимальной) цены договора (цены лота), указанной в разделе 2 </w:t>
      </w:r>
      <w:r>
        <w:rPr>
          <w:bCs/>
          <w:iCs/>
          <w:sz w:val="22"/>
          <w:szCs w:val="22"/>
        </w:rPr>
        <w:t>«ИНФОРМАЦИОННАЯ КАРТА АУКЦИОНА»</w:t>
      </w:r>
      <w:r>
        <w:rPr>
          <w:sz w:val="22"/>
          <w:szCs w:val="22"/>
        </w:rPr>
        <w:t>.</w:t>
      </w:r>
    </w:p>
    <w:p>
      <w:pPr>
        <w:ind w:firstLine="567"/>
        <w:jc w:val="both"/>
        <w:rPr>
          <w:b/>
          <w:caps/>
          <w:sz w:val="22"/>
          <w:szCs w:val="22"/>
        </w:rPr>
      </w:pPr>
      <w:r>
        <w:rPr>
          <w:sz w:val="22"/>
          <w:szCs w:val="22"/>
        </w:rPr>
        <w:t xml:space="preserve">5.4. Величина понижения начальной цены договора («шаг аукциона») указана в разделе 2 </w:t>
      </w:r>
      <w:r>
        <w:rPr>
          <w:bCs/>
          <w:iCs/>
          <w:sz w:val="22"/>
          <w:szCs w:val="22"/>
        </w:rPr>
        <w:t>«ИНФОРМАЦИОННАЯ КАРТА АУКЦИОНА».</w:t>
      </w:r>
    </w:p>
    <w:p>
      <w:pPr>
        <w:pageBreakBefore/>
        <w:jc w:val="both"/>
        <w:rPr>
          <w:b/>
          <w:bCs/>
          <w:sz w:val="22"/>
          <w:szCs w:val="22"/>
        </w:rPr>
      </w:pPr>
      <w:bookmarkStart w:id="6" w:name="__RefHeading___Toc341251620"/>
      <w:bookmarkEnd w:id="6"/>
      <w:r>
        <w:rPr>
          <w:b/>
          <w:caps/>
          <w:sz w:val="22"/>
          <w:szCs w:val="22"/>
        </w:rPr>
        <w:t>2. Информационная карта аукциона</w:t>
      </w:r>
    </w:p>
    <w:tbl>
      <w:tblPr>
        <w:tblStyle w:val="12"/>
        <w:tblW w:w="10521" w:type="dxa"/>
        <w:tblInd w:w="-49" w:type="dxa"/>
        <w:tblLayout w:type="fixed"/>
        <w:tblCellMar>
          <w:top w:w="0" w:type="dxa"/>
          <w:left w:w="108" w:type="dxa"/>
          <w:bottom w:w="0" w:type="dxa"/>
          <w:right w:w="108" w:type="dxa"/>
        </w:tblCellMar>
      </w:tblPr>
      <w:tblGrid>
        <w:gridCol w:w="575"/>
        <w:gridCol w:w="4496"/>
        <w:gridCol w:w="5450"/>
      </w:tblGrid>
      <w:tr>
        <w:tblPrEx>
          <w:tblCellMar>
            <w:top w:w="0" w:type="dxa"/>
            <w:left w:w="108" w:type="dxa"/>
            <w:bottom w:w="0" w:type="dxa"/>
            <w:right w:w="108" w:type="dxa"/>
          </w:tblCellMar>
        </w:tblPrEx>
        <w:trPr>
          <w:cantSplit/>
        </w:trPr>
        <w:tc>
          <w:tcPr>
            <w:tcW w:w="575" w:type="dxa"/>
            <w:vMerge w:val="restart"/>
            <w:tcBorders>
              <w:top w:val="single" w:color="000000" w:sz="4" w:space="0"/>
              <w:left w:val="single" w:color="000000" w:sz="4" w:space="0"/>
              <w:bottom w:val="single" w:color="000000" w:sz="4" w:space="0"/>
            </w:tcBorders>
            <w:shd w:val="clear" w:color="auto" w:fill="C0C0C0"/>
          </w:tcPr>
          <w:p>
            <w:pPr>
              <w:pStyle w:val="32"/>
              <w:widowControl w:val="0"/>
              <w:ind w:left="-180" w:right="-108"/>
              <w:jc w:val="center"/>
              <w:rPr>
                <w:b/>
                <w:bCs/>
                <w:sz w:val="22"/>
                <w:szCs w:val="22"/>
              </w:rPr>
            </w:pPr>
            <w:r>
              <w:rPr>
                <w:b/>
                <w:bCs/>
                <w:sz w:val="22"/>
                <w:szCs w:val="22"/>
              </w:rPr>
              <w:t>№</w:t>
            </w:r>
          </w:p>
          <w:p>
            <w:pPr>
              <w:pStyle w:val="32"/>
              <w:widowControl w:val="0"/>
              <w:ind w:left="-180" w:right="-108"/>
              <w:jc w:val="center"/>
              <w:rPr>
                <w:sz w:val="22"/>
                <w:szCs w:val="22"/>
              </w:rPr>
            </w:pPr>
            <w:r>
              <w:rPr>
                <w:b/>
                <w:bCs/>
                <w:sz w:val="22"/>
                <w:szCs w:val="22"/>
              </w:rPr>
              <w:t>п/п</w:t>
            </w:r>
          </w:p>
        </w:tc>
        <w:tc>
          <w:tcPr>
            <w:tcW w:w="9946" w:type="dxa"/>
            <w:gridSpan w:val="2"/>
            <w:tcBorders>
              <w:top w:val="single" w:color="000000" w:sz="4" w:space="0"/>
              <w:left w:val="single" w:color="000000" w:sz="4" w:space="0"/>
              <w:bottom w:val="single" w:color="000000" w:sz="4" w:space="0"/>
              <w:right w:val="single" w:color="000000" w:sz="4" w:space="0"/>
            </w:tcBorders>
            <w:shd w:val="clear" w:color="auto" w:fill="C0C0C0"/>
          </w:tcPr>
          <w:p>
            <w:pPr>
              <w:pStyle w:val="32"/>
              <w:widowControl w:val="0"/>
              <w:jc w:val="center"/>
              <w:rPr>
                <w:sz w:val="22"/>
                <w:szCs w:val="22"/>
              </w:rPr>
            </w:pPr>
            <w:r>
              <w:rPr>
                <w:b/>
                <w:bCs/>
                <w:sz w:val="22"/>
                <w:szCs w:val="22"/>
              </w:rPr>
              <w:t>СОДЕРЖАНИЕ</w:t>
            </w:r>
          </w:p>
        </w:tc>
      </w:tr>
      <w:tr>
        <w:tblPrEx>
          <w:tblCellMar>
            <w:top w:w="0" w:type="dxa"/>
            <w:left w:w="108" w:type="dxa"/>
            <w:bottom w:w="0" w:type="dxa"/>
            <w:right w:w="108" w:type="dxa"/>
          </w:tblCellMar>
        </w:tblPrEx>
        <w:trPr>
          <w:cantSplit/>
        </w:trPr>
        <w:tc>
          <w:tcPr>
            <w:tcW w:w="575" w:type="dxa"/>
            <w:vMerge w:val="continue"/>
            <w:tcBorders>
              <w:top w:val="single" w:color="000000" w:sz="4" w:space="0"/>
              <w:left w:val="single" w:color="000000" w:sz="4" w:space="0"/>
              <w:bottom w:val="single" w:color="000000" w:sz="4" w:space="0"/>
            </w:tcBorders>
            <w:shd w:val="clear" w:color="auto" w:fill="C0C0C0"/>
          </w:tcPr>
          <w:p>
            <w:pPr>
              <w:pStyle w:val="32"/>
              <w:widowControl w:val="0"/>
              <w:snapToGrid w:val="0"/>
              <w:ind w:left="-180" w:right="-108"/>
              <w:jc w:val="center"/>
              <w:rPr>
                <w:sz w:val="22"/>
                <w:szCs w:val="22"/>
              </w:rPr>
            </w:pPr>
          </w:p>
        </w:tc>
        <w:tc>
          <w:tcPr>
            <w:tcW w:w="9946" w:type="dxa"/>
            <w:gridSpan w:val="2"/>
            <w:tcBorders>
              <w:top w:val="single" w:color="000000" w:sz="4" w:space="0"/>
              <w:left w:val="single" w:color="000000" w:sz="4" w:space="0"/>
              <w:bottom w:val="single" w:color="000000" w:sz="4" w:space="0"/>
              <w:right w:val="single" w:color="000000" w:sz="4" w:space="0"/>
            </w:tcBorders>
            <w:shd w:val="clear" w:color="auto" w:fill="C0C0C0"/>
          </w:tcPr>
          <w:p>
            <w:pPr>
              <w:pStyle w:val="32"/>
              <w:widowControl w:val="0"/>
              <w:snapToGrid w:val="0"/>
              <w:jc w:val="center"/>
              <w:rPr>
                <w:sz w:val="22"/>
                <w:szCs w:val="22"/>
              </w:rPr>
            </w:pPr>
            <w:r>
              <w:rPr>
                <w:bCs/>
                <w:sz w:val="22"/>
                <w:szCs w:val="22"/>
              </w:rPr>
              <w:t>Нижеследующие условия проведения аукциона в электронной форме – информационная карта аукциона – является неотъемлемой частью настоящей документации и дополнением к инструкции по подготовке заявок для участия в аукционе в электронной форме.</w:t>
            </w:r>
          </w:p>
        </w:tc>
      </w:tr>
      <w:tr>
        <w:tblPrEx>
          <w:tblCellMar>
            <w:top w:w="0" w:type="dxa"/>
            <w:left w:w="108" w:type="dxa"/>
            <w:bottom w:w="0" w:type="dxa"/>
            <w:right w:w="108" w:type="dxa"/>
          </w:tblCellMar>
        </w:tblPrEx>
        <w:trPr>
          <w:cantSplit/>
          <w:trHeight w:val="5084" w:hRule="atLeast"/>
        </w:trPr>
        <w:tc>
          <w:tcPr>
            <w:tcW w:w="575" w:type="dxa"/>
            <w:tcBorders>
              <w:top w:val="single" w:color="000000" w:sz="4" w:space="0"/>
              <w:left w:val="single" w:color="000000" w:sz="4" w:space="0"/>
              <w:bottom w:val="single" w:color="000000" w:sz="4" w:space="0"/>
            </w:tcBorders>
            <w:shd w:val="clear" w:color="auto" w:fill="auto"/>
          </w:tcPr>
          <w:p>
            <w:pPr>
              <w:pStyle w:val="32"/>
              <w:widowControl w:val="0"/>
              <w:numPr>
                <w:ilvl w:val="0"/>
                <w:numId w:val="7"/>
              </w:numPr>
              <w:tabs>
                <w:tab w:val="left" w:pos="180"/>
              </w:tabs>
              <w:snapToGrid w:val="0"/>
              <w:jc w:val="center"/>
              <w:rPr>
                <w:sz w:val="22"/>
                <w:szCs w:val="22"/>
              </w:rPr>
            </w:pPr>
          </w:p>
        </w:tc>
        <w:tc>
          <w:tcPr>
            <w:tcW w:w="4496" w:type="dxa"/>
            <w:tcBorders>
              <w:top w:val="single" w:color="000000" w:sz="4" w:space="0"/>
              <w:left w:val="single" w:color="000000" w:sz="4" w:space="0"/>
              <w:bottom w:val="single" w:color="000000" w:sz="4" w:space="0"/>
            </w:tcBorders>
            <w:shd w:val="clear" w:color="auto" w:fill="auto"/>
          </w:tcPr>
          <w:p>
            <w:pPr>
              <w:rPr>
                <w:sz w:val="22"/>
                <w:szCs w:val="22"/>
              </w:rPr>
            </w:pPr>
            <w:r>
              <w:rPr>
                <w:b/>
                <w:sz w:val="22"/>
                <w:szCs w:val="22"/>
              </w:rPr>
              <w:t>Заказчик, специализированная организация (организатор торгов)</w:t>
            </w:r>
          </w:p>
        </w:tc>
        <w:tc>
          <w:tcPr>
            <w:tcW w:w="5450"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526"/>
              </w:tabs>
              <w:jc w:val="both"/>
              <w:rPr>
                <w:rFonts w:eastAsia="Calibri"/>
                <w:b/>
                <w:sz w:val="22"/>
                <w:szCs w:val="22"/>
                <w:lang w:eastAsia="en-US"/>
              </w:rPr>
            </w:pPr>
            <w:r>
              <w:rPr>
                <w:b/>
                <w:sz w:val="22"/>
                <w:szCs w:val="22"/>
              </w:rPr>
              <w:t>1.1.</w:t>
            </w:r>
            <w:r>
              <w:rPr>
                <w:b/>
                <w:sz w:val="22"/>
                <w:szCs w:val="22"/>
              </w:rPr>
              <w:tab/>
            </w:r>
            <w:r>
              <w:rPr>
                <w:b/>
                <w:sz w:val="22"/>
                <w:szCs w:val="22"/>
              </w:rPr>
              <w:t>Наименование:</w:t>
            </w:r>
            <w:r>
              <w:rPr>
                <w:sz w:val="22"/>
                <w:szCs w:val="22"/>
              </w:rPr>
              <w:t xml:space="preserve"> Государственное унитарное предприятие Республики Карелия «Карелавтотранс-Сервис» </w:t>
            </w:r>
            <w:r>
              <w:rPr>
                <w:bCs/>
                <w:sz w:val="22"/>
                <w:szCs w:val="22"/>
              </w:rPr>
              <w:t>(сокращенное наименование ГУП РК «Карелавтотранс-Сервис»).</w:t>
            </w:r>
          </w:p>
          <w:p>
            <w:pPr>
              <w:tabs>
                <w:tab w:val="left" w:pos="526"/>
              </w:tabs>
              <w:jc w:val="both"/>
              <w:rPr>
                <w:rFonts w:eastAsia="Calibri"/>
                <w:b/>
                <w:sz w:val="22"/>
                <w:szCs w:val="22"/>
                <w:lang w:eastAsia="en-US"/>
              </w:rPr>
            </w:pPr>
            <w:r>
              <w:rPr>
                <w:rFonts w:eastAsia="Calibri"/>
                <w:b/>
                <w:sz w:val="22"/>
                <w:szCs w:val="22"/>
                <w:lang w:eastAsia="en-US"/>
              </w:rPr>
              <w:t>2.</w:t>
            </w:r>
            <w:r>
              <w:rPr>
                <w:rFonts w:eastAsia="Calibri"/>
                <w:b/>
                <w:sz w:val="22"/>
                <w:szCs w:val="22"/>
                <w:lang w:eastAsia="en-US"/>
              </w:rPr>
              <w:tab/>
            </w:r>
            <w:r>
              <w:rPr>
                <w:rFonts w:eastAsia="Calibri"/>
                <w:b/>
                <w:sz w:val="22"/>
                <w:szCs w:val="22"/>
                <w:lang w:eastAsia="en-US"/>
              </w:rPr>
              <w:t xml:space="preserve">Адрес электронной площадки в сети Интернет (сайт): ЭТП РЕГИОН </w:t>
            </w:r>
            <w:r>
              <w:fldChar w:fldCharType="begin"/>
            </w:r>
            <w:r>
              <w:instrText xml:space="preserve"> HYPERLINK "http://etp-region.ru/" </w:instrText>
            </w:r>
            <w:r>
              <w:fldChar w:fldCharType="separate"/>
            </w:r>
            <w:r>
              <w:rPr>
                <w:rStyle w:val="17"/>
                <w:sz w:val="22"/>
                <w:szCs w:val="22"/>
              </w:rPr>
              <w:t>http://etp-region.ru/</w:t>
            </w:r>
            <w:r>
              <w:rPr>
                <w:rStyle w:val="17"/>
                <w:sz w:val="22"/>
                <w:szCs w:val="22"/>
              </w:rPr>
              <w:fldChar w:fldCharType="end"/>
            </w:r>
            <w:r>
              <w:rPr>
                <w:sz w:val="22"/>
              </w:rPr>
              <w:t xml:space="preserve"> </w:t>
            </w:r>
          </w:p>
          <w:p>
            <w:pPr>
              <w:tabs>
                <w:tab w:val="left" w:pos="526"/>
              </w:tabs>
              <w:jc w:val="both"/>
              <w:rPr>
                <w:rFonts w:eastAsia="Calibri"/>
                <w:bCs/>
                <w:sz w:val="22"/>
                <w:szCs w:val="22"/>
                <w:lang w:eastAsia="en-US"/>
              </w:rPr>
            </w:pPr>
            <w:r>
              <w:rPr>
                <w:rFonts w:eastAsia="Calibri"/>
                <w:b/>
                <w:sz w:val="22"/>
                <w:szCs w:val="22"/>
                <w:lang w:eastAsia="en-US"/>
              </w:rPr>
              <w:t>3.</w:t>
            </w:r>
            <w:r>
              <w:rPr>
                <w:rFonts w:eastAsia="Calibri"/>
                <w:sz w:val="22"/>
                <w:szCs w:val="22"/>
                <w:lang w:eastAsia="en-US"/>
              </w:rPr>
              <w:tab/>
            </w:r>
            <w:r>
              <w:rPr>
                <w:rFonts w:eastAsia="Calibri"/>
                <w:b/>
                <w:sz w:val="22"/>
                <w:szCs w:val="22"/>
                <w:lang w:eastAsia="en-US"/>
              </w:rPr>
              <w:t>Заказчик:</w:t>
            </w:r>
            <w:r>
              <w:rPr>
                <w:rFonts w:eastAsia="Calibri"/>
                <w:sz w:val="22"/>
                <w:szCs w:val="22"/>
                <w:lang w:eastAsia="en-US"/>
              </w:rPr>
              <w:t xml:space="preserve"> </w:t>
            </w:r>
          </w:p>
          <w:p>
            <w:pPr>
              <w:tabs>
                <w:tab w:val="left" w:pos="526"/>
              </w:tabs>
              <w:jc w:val="both"/>
              <w:rPr>
                <w:rFonts w:eastAsia="Calibri"/>
                <w:b/>
                <w:sz w:val="22"/>
                <w:szCs w:val="22"/>
                <w:lang w:eastAsia="en-US"/>
              </w:rPr>
            </w:pPr>
            <w:r>
              <w:rPr>
                <w:rFonts w:eastAsia="Calibri"/>
                <w:bCs/>
                <w:sz w:val="22"/>
                <w:szCs w:val="22"/>
                <w:lang w:eastAsia="en-US"/>
              </w:rPr>
              <w:t>3.1.</w:t>
            </w:r>
            <w:r>
              <w:rPr>
                <w:rFonts w:eastAsia="Calibri"/>
                <w:bCs/>
                <w:sz w:val="22"/>
                <w:szCs w:val="22"/>
                <w:lang w:eastAsia="en-US"/>
              </w:rPr>
              <w:tab/>
            </w:r>
            <w:r>
              <w:rPr>
                <w:rFonts w:eastAsia="Calibri"/>
                <w:bCs/>
                <w:sz w:val="22"/>
                <w:szCs w:val="22"/>
                <w:lang w:eastAsia="en-US"/>
              </w:rPr>
              <w:t xml:space="preserve">Наименование: </w:t>
            </w:r>
            <w:r>
              <w:rPr>
                <w:sz w:val="22"/>
                <w:szCs w:val="22"/>
              </w:rPr>
              <w:t xml:space="preserve">Государственное унитарное предприятие Республики Карелия «Карелавтотранс-Сервис» </w:t>
            </w:r>
            <w:r>
              <w:rPr>
                <w:bCs/>
                <w:sz w:val="22"/>
                <w:szCs w:val="22"/>
              </w:rPr>
              <w:t>(сокращенное наименование ГУП РК «Карелавтотранс-Сервис»).</w:t>
            </w:r>
          </w:p>
          <w:p>
            <w:pPr>
              <w:tabs>
                <w:tab w:val="left" w:pos="526"/>
              </w:tabs>
              <w:jc w:val="both"/>
              <w:rPr>
                <w:rFonts w:eastAsia="Calibri"/>
                <w:bCs/>
                <w:sz w:val="22"/>
                <w:szCs w:val="22"/>
                <w:lang w:eastAsia="en-US"/>
              </w:rPr>
            </w:pPr>
            <w:r>
              <w:rPr>
                <w:rFonts w:eastAsia="Calibri"/>
                <w:bCs/>
                <w:iCs/>
                <w:sz w:val="22"/>
                <w:szCs w:val="22"/>
                <w:lang w:eastAsia="en-US"/>
              </w:rPr>
              <w:t>3.2.</w:t>
            </w:r>
            <w:r>
              <w:rPr>
                <w:rFonts w:eastAsia="Calibri"/>
                <w:bCs/>
                <w:iCs/>
                <w:sz w:val="22"/>
                <w:szCs w:val="22"/>
                <w:lang w:eastAsia="en-US"/>
              </w:rPr>
              <w:tab/>
            </w:r>
            <w:r>
              <w:rPr>
                <w:rFonts w:eastAsia="Calibri"/>
                <w:bCs/>
                <w:iCs/>
                <w:sz w:val="22"/>
                <w:szCs w:val="22"/>
                <w:lang w:eastAsia="en-US"/>
              </w:rPr>
              <w:t>Адрес места нахождения (почтовый адрес):</w:t>
            </w:r>
            <w:r>
              <w:rPr>
                <w:rFonts w:eastAsia="Calibri"/>
                <w:bCs/>
                <w:sz w:val="22"/>
                <w:szCs w:val="22"/>
                <w:lang w:eastAsia="en-US"/>
              </w:rPr>
              <w:t xml:space="preserve"> 185002, Республика Карелия, г. Петрозаводск, ул.Чапаева, д.3.</w:t>
            </w:r>
          </w:p>
          <w:p>
            <w:pPr>
              <w:tabs>
                <w:tab w:val="left" w:pos="526"/>
              </w:tabs>
              <w:jc w:val="both"/>
              <w:rPr>
                <w:rFonts w:eastAsia="Calibri"/>
                <w:bCs/>
                <w:sz w:val="22"/>
                <w:szCs w:val="22"/>
                <w:lang w:eastAsia="en-US"/>
              </w:rPr>
            </w:pPr>
            <w:r>
              <w:rPr>
                <w:rFonts w:eastAsia="Calibri"/>
                <w:bCs/>
                <w:sz w:val="22"/>
                <w:szCs w:val="22"/>
                <w:lang w:eastAsia="en-US"/>
              </w:rPr>
              <w:t>3.3.</w:t>
            </w:r>
            <w:r>
              <w:rPr>
                <w:rFonts w:eastAsia="Calibri"/>
                <w:bCs/>
                <w:sz w:val="22"/>
                <w:szCs w:val="22"/>
                <w:lang w:eastAsia="en-US"/>
              </w:rPr>
              <w:tab/>
            </w:r>
            <w:r>
              <w:rPr>
                <w:rFonts w:eastAsia="Calibri"/>
                <w:bCs/>
                <w:sz w:val="22"/>
                <w:szCs w:val="22"/>
                <w:lang w:eastAsia="en-US"/>
              </w:rPr>
              <w:t xml:space="preserve">Адрес электронной почты (e-mail): </w:t>
            </w:r>
            <w:r>
              <w:fldChar w:fldCharType="begin"/>
            </w:r>
            <w:r>
              <w:instrText xml:space="preserve"> HYPERLINK "mailto:jurist@karelavtotrans.ru" </w:instrText>
            </w:r>
            <w:r>
              <w:fldChar w:fldCharType="separate"/>
            </w:r>
            <w:r>
              <w:rPr>
                <w:rStyle w:val="17"/>
                <w:rFonts w:eastAsia="Calibri"/>
                <w:bCs/>
                <w:sz w:val="22"/>
                <w:szCs w:val="22"/>
                <w:lang w:val="en-US" w:eastAsia="en-US"/>
              </w:rPr>
              <w:t>jurist</w:t>
            </w:r>
            <w:r>
              <w:rPr>
                <w:rStyle w:val="17"/>
                <w:rFonts w:eastAsia="Calibri"/>
                <w:bCs/>
                <w:sz w:val="22"/>
                <w:szCs w:val="22"/>
                <w:lang w:eastAsia="en-US"/>
              </w:rPr>
              <w:t>@</w:t>
            </w:r>
            <w:r>
              <w:rPr>
                <w:rStyle w:val="17"/>
                <w:rFonts w:eastAsia="Calibri"/>
                <w:bCs/>
                <w:sz w:val="22"/>
                <w:szCs w:val="22"/>
                <w:lang w:val="en-US" w:eastAsia="en-US"/>
              </w:rPr>
              <w:t>karelavtotrans</w:t>
            </w:r>
            <w:r>
              <w:rPr>
                <w:rStyle w:val="17"/>
                <w:rFonts w:eastAsia="Calibri"/>
                <w:bCs/>
                <w:sz w:val="22"/>
                <w:szCs w:val="22"/>
                <w:lang w:eastAsia="en-US"/>
              </w:rPr>
              <w:t>.</w:t>
            </w:r>
            <w:r>
              <w:rPr>
                <w:rStyle w:val="17"/>
                <w:rFonts w:eastAsia="Calibri"/>
                <w:bCs/>
                <w:sz w:val="22"/>
                <w:szCs w:val="22"/>
                <w:lang w:val="en-US" w:eastAsia="en-US"/>
              </w:rPr>
              <w:t>ru</w:t>
            </w:r>
            <w:r>
              <w:rPr>
                <w:rStyle w:val="17"/>
                <w:rFonts w:eastAsia="Calibri"/>
                <w:bCs/>
                <w:sz w:val="22"/>
                <w:szCs w:val="22"/>
                <w:lang w:val="en-US" w:eastAsia="en-US"/>
              </w:rPr>
              <w:fldChar w:fldCharType="end"/>
            </w:r>
            <w:r>
              <w:rPr>
                <w:rFonts w:eastAsia="Calibri"/>
                <w:bCs/>
                <w:sz w:val="22"/>
                <w:szCs w:val="22"/>
                <w:lang w:eastAsia="en-US"/>
              </w:rPr>
              <w:t xml:space="preserve"> </w:t>
            </w:r>
          </w:p>
          <w:p>
            <w:pPr>
              <w:tabs>
                <w:tab w:val="left" w:pos="526"/>
              </w:tabs>
              <w:jc w:val="both"/>
              <w:rPr>
                <w:rFonts w:eastAsia="Calibri"/>
                <w:bCs/>
                <w:sz w:val="22"/>
                <w:szCs w:val="22"/>
                <w:lang w:eastAsia="en-US"/>
              </w:rPr>
            </w:pPr>
            <w:r>
              <w:rPr>
                <w:rFonts w:eastAsia="Calibri"/>
                <w:bCs/>
                <w:iCs/>
                <w:sz w:val="22"/>
                <w:szCs w:val="22"/>
                <w:lang w:eastAsia="en-US"/>
              </w:rPr>
              <w:t>3.4.</w:t>
            </w:r>
            <w:r>
              <w:rPr>
                <w:rFonts w:eastAsia="Calibri"/>
                <w:bCs/>
                <w:iCs/>
                <w:sz w:val="22"/>
                <w:szCs w:val="22"/>
                <w:lang w:eastAsia="en-US"/>
              </w:rPr>
              <w:tab/>
            </w:r>
            <w:r>
              <w:rPr>
                <w:rFonts w:eastAsia="Calibri"/>
                <w:bCs/>
                <w:iCs/>
                <w:sz w:val="22"/>
                <w:szCs w:val="22"/>
                <w:lang w:eastAsia="en-US"/>
              </w:rPr>
              <w:t xml:space="preserve">Номера контактных телефонов: </w:t>
            </w:r>
            <w:r>
              <w:rPr>
                <w:rFonts w:eastAsia="Calibri"/>
                <w:bCs/>
                <w:sz w:val="22"/>
                <w:szCs w:val="22"/>
                <w:lang w:eastAsia="en-US"/>
              </w:rPr>
              <w:t xml:space="preserve">тел. </w:t>
            </w:r>
            <w:r>
              <w:rPr>
                <w:rFonts w:eastAsia="Calibri"/>
                <w:bCs/>
                <w:sz w:val="22"/>
                <w:szCs w:val="22"/>
                <w:lang w:val="it-IT" w:eastAsia="en-US"/>
              </w:rPr>
              <w:t xml:space="preserve">(8142) </w:t>
            </w:r>
            <w:r>
              <w:rPr>
                <w:rFonts w:eastAsia="Calibri"/>
                <w:bCs/>
                <w:sz w:val="22"/>
                <w:szCs w:val="22"/>
                <w:lang w:eastAsia="en-US"/>
              </w:rPr>
              <w:t xml:space="preserve">722012  </w:t>
            </w:r>
          </w:p>
          <w:p>
            <w:pPr>
              <w:tabs>
                <w:tab w:val="left" w:pos="526"/>
              </w:tabs>
              <w:jc w:val="both"/>
              <w:rPr>
                <w:rFonts w:eastAsia="Calibri"/>
                <w:bCs/>
                <w:iCs/>
                <w:sz w:val="22"/>
                <w:szCs w:val="22"/>
                <w:lang w:eastAsia="en-US"/>
              </w:rPr>
            </w:pPr>
            <w:r>
              <w:rPr>
                <w:rFonts w:eastAsia="Calibri"/>
                <w:bCs/>
                <w:iCs/>
                <w:sz w:val="22"/>
                <w:szCs w:val="22"/>
                <w:lang w:eastAsia="en-US"/>
              </w:rPr>
              <w:t>3.5.</w:t>
            </w:r>
            <w:r>
              <w:rPr>
                <w:rFonts w:eastAsia="Calibri"/>
                <w:bCs/>
                <w:iCs/>
                <w:sz w:val="22"/>
                <w:szCs w:val="22"/>
                <w:lang w:eastAsia="en-US"/>
              </w:rPr>
              <w:tab/>
            </w:r>
            <w:r>
              <w:rPr>
                <w:rFonts w:eastAsia="Calibri"/>
                <w:bCs/>
                <w:iCs/>
                <w:sz w:val="22"/>
                <w:szCs w:val="22"/>
                <w:lang w:eastAsia="en-US"/>
              </w:rPr>
              <w:t xml:space="preserve">Контактное лицо: </w:t>
            </w:r>
          </w:p>
          <w:p>
            <w:pPr>
              <w:tabs>
                <w:tab w:val="left" w:pos="526"/>
              </w:tabs>
              <w:jc w:val="both"/>
              <w:rPr>
                <w:rFonts w:hint="default"/>
                <w:sz w:val="22"/>
                <w:szCs w:val="22"/>
                <w:lang w:val="ru-RU"/>
              </w:rPr>
            </w:pPr>
            <w:r>
              <w:rPr>
                <w:rFonts w:eastAsia="Calibri"/>
                <w:bCs/>
                <w:iCs/>
                <w:sz w:val="22"/>
                <w:szCs w:val="22"/>
                <w:lang w:val="ru-RU" w:eastAsia="en-US"/>
              </w:rPr>
              <w:t>Недопекина</w:t>
            </w:r>
            <w:r>
              <w:rPr>
                <w:rFonts w:hint="default" w:eastAsia="Calibri"/>
                <w:bCs/>
                <w:iCs/>
                <w:sz w:val="22"/>
                <w:szCs w:val="22"/>
                <w:lang w:val="ru-RU" w:eastAsia="en-US"/>
              </w:rPr>
              <w:t xml:space="preserve"> Анастасия Александровна</w:t>
            </w:r>
          </w:p>
        </w:tc>
      </w:tr>
      <w:tr>
        <w:tblPrEx>
          <w:tblCellMar>
            <w:top w:w="0" w:type="dxa"/>
            <w:left w:w="108" w:type="dxa"/>
            <w:bottom w:w="0" w:type="dxa"/>
            <w:right w:w="108" w:type="dxa"/>
          </w:tblCellMar>
        </w:tblPrEx>
        <w:trPr>
          <w:cantSplit/>
        </w:trPr>
        <w:tc>
          <w:tcPr>
            <w:tcW w:w="575" w:type="dxa"/>
            <w:tcBorders>
              <w:top w:val="single" w:color="000000" w:sz="4" w:space="0"/>
              <w:left w:val="single" w:color="000000" w:sz="4" w:space="0"/>
              <w:bottom w:val="single" w:color="000000" w:sz="4" w:space="0"/>
            </w:tcBorders>
            <w:shd w:val="clear" w:color="auto" w:fill="auto"/>
          </w:tcPr>
          <w:p>
            <w:pPr>
              <w:pStyle w:val="32"/>
              <w:widowControl w:val="0"/>
              <w:numPr>
                <w:ilvl w:val="0"/>
                <w:numId w:val="7"/>
              </w:numPr>
              <w:tabs>
                <w:tab w:val="left" w:pos="180"/>
              </w:tabs>
              <w:snapToGrid w:val="0"/>
              <w:jc w:val="center"/>
              <w:rPr>
                <w:sz w:val="22"/>
                <w:szCs w:val="22"/>
              </w:rPr>
            </w:pPr>
            <w:bookmarkStart w:id="7" w:name="__RefHeading___Toc341251621"/>
            <w:bookmarkEnd w:id="7"/>
          </w:p>
        </w:tc>
        <w:tc>
          <w:tcPr>
            <w:tcW w:w="4496" w:type="dxa"/>
            <w:tcBorders>
              <w:top w:val="single" w:color="000000" w:sz="4" w:space="0"/>
              <w:left w:val="single" w:color="000000" w:sz="4" w:space="0"/>
              <w:bottom w:val="single" w:color="000000" w:sz="4" w:space="0"/>
            </w:tcBorders>
            <w:shd w:val="clear" w:color="auto" w:fill="auto"/>
          </w:tcPr>
          <w:p>
            <w:pPr>
              <w:jc w:val="both"/>
              <w:rPr>
                <w:sz w:val="22"/>
                <w:szCs w:val="22"/>
              </w:rPr>
            </w:pPr>
            <w:r>
              <w:rPr>
                <w:b/>
                <w:sz w:val="22"/>
                <w:szCs w:val="22"/>
              </w:rPr>
              <w:t>Предмет аукциона</w:t>
            </w:r>
          </w:p>
          <w:p>
            <w:pPr>
              <w:jc w:val="both"/>
              <w:rPr>
                <w:sz w:val="22"/>
                <w:szCs w:val="22"/>
              </w:rPr>
            </w:pPr>
          </w:p>
        </w:tc>
        <w:tc>
          <w:tcPr>
            <w:tcW w:w="5450"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2"/>
                <w:szCs w:val="22"/>
              </w:rPr>
            </w:pPr>
            <w:r>
              <w:rPr>
                <w:sz w:val="22"/>
                <w:szCs w:val="22"/>
              </w:rPr>
              <w:t xml:space="preserve">право заключить договор на поставку дизельного топлива </w:t>
            </w:r>
            <w:r>
              <w:rPr>
                <w:color w:val="000000"/>
                <w:sz w:val="22"/>
                <w:szCs w:val="22"/>
              </w:rPr>
              <w:t xml:space="preserve">для нужд </w:t>
            </w:r>
            <w:r>
              <w:rPr>
                <w:sz w:val="22"/>
                <w:szCs w:val="22"/>
              </w:rPr>
              <w:t>Заказчика</w:t>
            </w:r>
            <w:r>
              <w:rPr>
                <w:color w:val="000000"/>
                <w:sz w:val="22"/>
                <w:szCs w:val="22"/>
              </w:rPr>
              <w:t xml:space="preserve"> </w:t>
            </w:r>
            <w:r>
              <w:rPr>
                <w:sz w:val="22"/>
                <w:szCs w:val="22"/>
              </w:rPr>
              <w:t>в соответствии с Техническим заданием и проектом договора.</w:t>
            </w:r>
          </w:p>
        </w:tc>
      </w:tr>
      <w:tr>
        <w:tblPrEx>
          <w:tblCellMar>
            <w:top w:w="0" w:type="dxa"/>
            <w:left w:w="108" w:type="dxa"/>
            <w:bottom w:w="0" w:type="dxa"/>
            <w:right w:w="108" w:type="dxa"/>
          </w:tblCellMar>
        </w:tblPrEx>
        <w:trPr>
          <w:cantSplit/>
        </w:trPr>
        <w:tc>
          <w:tcPr>
            <w:tcW w:w="575" w:type="dxa"/>
            <w:tcBorders>
              <w:top w:val="single" w:color="000000" w:sz="4" w:space="0"/>
              <w:left w:val="single" w:color="000000" w:sz="4" w:space="0"/>
              <w:bottom w:val="single" w:color="000000" w:sz="4" w:space="0"/>
            </w:tcBorders>
            <w:shd w:val="clear" w:color="auto" w:fill="auto"/>
          </w:tcPr>
          <w:p>
            <w:pPr>
              <w:pStyle w:val="32"/>
              <w:widowControl w:val="0"/>
              <w:numPr>
                <w:ilvl w:val="0"/>
                <w:numId w:val="7"/>
              </w:numPr>
              <w:tabs>
                <w:tab w:val="left" w:pos="180"/>
              </w:tabs>
              <w:snapToGrid w:val="0"/>
              <w:jc w:val="center"/>
              <w:rPr>
                <w:sz w:val="22"/>
                <w:szCs w:val="22"/>
              </w:rPr>
            </w:pPr>
          </w:p>
        </w:tc>
        <w:tc>
          <w:tcPr>
            <w:tcW w:w="4496" w:type="dxa"/>
            <w:tcBorders>
              <w:top w:val="single" w:color="000000" w:sz="4" w:space="0"/>
              <w:left w:val="single" w:color="000000" w:sz="4" w:space="0"/>
              <w:bottom w:val="single" w:color="000000" w:sz="4" w:space="0"/>
            </w:tcBorders>
            <w:shd w:val="clear" w:color="auto" w:fill="auto"/>
          </w:tcPr>
          <w:p>
            <w:pPr>
              <w:jc w:val="both"/>
              <w:rPr>
                <w:sz w:val="22"/>
                <w:szCs w:val="22"/>
              </w:rPr>
            </w:pPr>
            <w:r>
              <w:rPr>
                <w:b/>
                <w:bCs/>
                <w:sz w:val="22"/>
                <w:szCs w:val="22"/>
              </w:rPr>
              <w:t>Адрес официального сайта</w:t>
            </w:r>
          </w:p>
        </w:tc>
        <w:tc>
          <w:tcPr>
            <w:tcW w:w="5450"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sz w:val="22"/>
                <w:szCs w:val="22"/>
              </w:rPr>
            </w:pPr>
            <w:r>
              <w:fldChar w:fldCharType="begin"/>
            </w:r>
            <w:r>
              <w:instrText xml:space="preserve"> HYPERLINK "http://zakupki.gov.ru/" </w:instrText>
            </w:r>
            <w:r>
              <w:fldChar w:fldCharType="separate"/>
            </w:r>
            <w:r>
              <w:rPr>
                <w:rStyle w:val="17"/>
                <w:sz w:val="22"/>
                <w:szCs w:val="22"/>
                <w:lang w:val="en-US"/>
              </w:rPr>
              <w:t>http</w:t>
            </w:r>
            <w:r>
              <w:rPr>
                <w:rStyle w:val="17"/>
                <w:sz w:val="22"/>
                <w:szCs w:val="22"/>
              </w:rPr>
              <w:t>://</w:t>
            </w:r>
            <w:r>
              <w:rPr>
                <w:rStyle w:val="17"/>
                <w:sz w:val="22"/>
                <w:szCs w:val="22"/>
                <w:lang w:val="en-US"/>
              </w:rPr>
              <w:t>zakupki</w:t>
            </w:r>
            <w:r>
              <w:rPr>
                <w:rStyle w:val="17"/>
                <w:sz w:val="22"/>
                <w:szCs w:val="22"/>
              </w:rPr>
              <w:t>.</w:t>
            </w:r>
            <w:r>
              <w:rPr>
                <w:rStyle w:val="17"/>
                <w:sz w:val="22"/>
                <w:szCs w:val="22"/>
                <w:lang w:val="en-US"/>
              </w:rPr>
              <w:t>gov</w:t>
            </w:r>
            <w:r>
              <w:rPr>
                <w:rStyle w:val="17"/>
                <w:sz w:val="22"/>
                <w:szCs w:val="22"/>
              </w:rPr>
              <w:t>.</w:t>
            </w:r>
            <w:r>
              <w:rPr>
                <w:rStyle w:val="17"/>
                <w:sz w:val="22"/>
                <w:szCs w:val="22"/>
                <w:lang w:val="en-US"/>
              </w:rPr>
              <w:t>ru</w:t>
            </w:r>
            <w:r>
              <w:rPr>
                <w:rStyle w:val="17"/>
                <w:sz w:val="22"/>
                <w:szCs w:val="22"/>
                <w:lang w:val="en-US"/>
              </w:rPr>
              <w:fldChar w:fldCharType="end"/>
            </w:r>
          </w:p>
        </w:tc>
      </w:tr>
      <w:tr>
        <w:tblPrEx>
          <w:tblCellMar>
            <w:top w:w="0" w:type="dxa"/>
            <w:left w:w="108" w:type="dxa"/>
            <w:bottom w:w="0" w:type="dxa"/>
            <w:right w:w="108" w:type="dxa"/>
          </w:tblCellMar>
        </w:tblPrEx>
        <w:trPr>
          <w:cantSplit/>
        </w:trPr>
        <w:tc>
          <w:tcPr>
            <w:tcW w:w="575" w:type="dxa"/>
            <w:tcBorders>
              <w:top w:val="single" w:color="000000" w:sz="4" w:space="0"/>
              <w:left w:val="single" w:color="000000" w:sz="4" w:space="0"/>
              <w:bottom w:val="single" w:color="000000" w:sz="4" w:space="0"/>
            </w:tcBorders>
            <w:shd w:val="clear" w:color="auto" w:fill="auto"/>
          </w:tcPr>
          <w:p>
            <w:pPr>
              <w:pStyle w:val="32"/>
              <w:widowControl w:val="0"/>
              <w:numPr>
                <w:ilvl w:val="0"/>
                <w:numId w:val="7"/>
              </w:numPr>
              <w:tabs>
                <w:tab w:val="left" w:pos="180"/>
              </w:tabs>
              <w:snapToGrid w:val="0"/>
              <w:jc w:val="center"/>
              <w:rPr>
                <w:sz w:val="22"/>
                <w:szCs w:val="22"/>
              </w:rPr>
            </w:pPr>
          </w:p>
        </w:tc>
        <w:tc>
          <w:tcPr>
            <w:tcW w:w="4496" w:type="dxa"/>
            <w:tcBorders>
              <w:top w:val="single" w:color="000000" w:sz="4" w:space="0"/>
              <w:left w:val="single" w:color="000000" w:sz="4" w:space="0"/>
              <w:bottom w:val="single" w:color="000000" w:sz="4" w:space="0"/>
            </w:tcBorders>
            <w:shd w:val="clear" w:color="auto" w:fill="auto"/>
          </w:tcPr>
          <w:p>
            <w:pPr>
              <w:jc w:val="both"/>
              <w:rPr>
                <w:sz w:val="22"/>
                <w:szCs w:val="22"/>
              </w:rPr>
            </w:pPr>
            <w:r>
              <w:rPr>
                <w:b/>
                <w:bCs/>
                <w:sz w:val="22"/>
                <w:szCs w:val="22"/>
              </w:rPr>
              <w:t>Адрес электронной площадки</w:t>
            </w:r>
          </w:p>
        </w:tc>
        <w:tc>
          <w:tcPr>
            <w:tcW w:w="5450"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sz w:val="22"/>
                <w:szCs w:val="22"/>
              </w:rPr>
            </w:pPr>
            <w:r>
              <w:fldChar w:fldCharType="begin"/>
            </w:r>
            <w:r>
              <w:instrText xml:space="preserve"> HYPERLINK "http://etp-region.ru/" </w:instrText>
            </w:r>
            <w:r>
              <w:fldChar w:fldCharType="separate"/>
            </w:r>
            <w:r>
              <w:rPr>
                <w:rStyle w:val="17"/>
                <w:sz w:val="22"/>
                <w:szCs w:val="22"/>
                <w:lang w:val="en-US"/>
              </w:rPr>
              <w:t>http://etp-region.ru/</w:t>
            </w:r>
            <w:r>
              <w:rPr>
                <w:rStyle w:val="17"/>
                <w:sz w:val="22"/>
                <w:szCs w:val="22"/>
                <w:lang w:val="en-US"/>
              </w:rPr>
              <w:fldChar w:fldCharType="end"/>
            </w:r>
            <w:r>
              <w:t xml:space="preserve"> </w:t>
            </w:r>
          </w:p>
        </w:tc>
      </w:tr>
      <w:tr>
        <w:tblPrEx>
          <w:tblCellMar>
            <w:top w:w="0" w:type="dxa"/>
            <w:left w:w="108" w:type="dxa"/>
            <w:bottom w:w="0" w:type="dxa"/>
            <w:right w:w="108" w:type="dxa"/>
          </w:tblCellMar>
        </w:tblPrEx>
        <w:trPr>
          <w:cantSplit/>
        </w:trPr>
        <w:tc>
          <w:tcPr>
            <w:tcW w:w="575" w:type="dxa"/>
            <w:tcBorders>
              <w:top w:val="single" w:color="000000" w:sz="4" w:space="0"/>
              <w:left w:val="single" w:color="000000" w:sz="4" w:space="0"/>
              <w:bottom w:val="single" w:color="000000" w:sz="4" w:space="0"/>
            </w:tcBorders>
            <w:shd w:val="clear" w:color="auto" w:fill="auto"/>
          </w:tcPr>
          <w:p>
            <w:pPr>
              <w:pStyle w:val="32"/>
              <w:widowControl w:val="0"/>
              <w:numPr>
                <w:ilvl w:val="0"/>
                <w:numId w:val="7"/>
              </w:numPr>
              <w:tabs>
                <w:tab w:val="left" w:pos="180"/>
              </w:tabs>
              <w:snapToGrid w:val="0"/>
              <w:jc w:val="center"/>
              <w:rPr>
                <w:sz w:val="22"/>
                <w:szCs w:val="22"/>
              </w:rPr>
            </w:pPr>
          </w:p>
        </w:tc>
        <w:tc>
          <w:tcPr>
            <w:tcW w:w="4496" w:type="dxa"/>
            <w:tcBorders>
              <w:top w:val="single" w:color="000000" w:sz="4" w:space="0"/>
              <w:left w:val="single" w:color="000000" w:sz="4" w:space="0"/>
              <w:bottom w:val="single" w:color="000000" w:sz="4" w:space="0"/>
            </w:tcBorders>
            <w:shd w:val="clear" w:color="auto" w:fill="auto"/>
          </w:tcPr>
          <w:p>
            <w:pPr>
              <w:jc w:val="both"/>
              <w:rPr>
                <w:sz w:val="22"/>
                <w:szCs w:val="22"/>
              </w:rPr>
            </w:pPr>
            <w:r>
              <w:rPr>
                <w:b/>
                <w:sz w:val="22"/>
                <w:szCs w:val="22"/>
              </w:rPr>
              <w:t>Размер обеспечения заявки на участие в аукционе:</w:t>
            </w:r>
          </w:p>
          <w:p>
            <w:pPr>
              <w:jc w:val="both"/>
              <w:rPr>
                <w:sz w:val="22"/>
                <w:szCs w:val="22"/>
              </w:rPr>
            </w:pPr>
          </w:p>
        </w:tc>
        <w:tc>
          <w:tcPr>
            <w:tcW w:w="5450"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2"/>
                <w:szCs w:val="22"/>
              </w:rPr>
            </w:pPr>
            <w:r>
              <w:rPr>
                <w:sz w:val="22"/>
                <w:szCs w:val="22"/>
              </w:rPr>
              <w:t>не установлен.</w:t>
            </w:r>
          </w:p>
        </w:tc>
      </w:tr>
      <w:tr>
        <w:tblPrEx>
          <w:tblCellMar>
            <w:top w:w="0" w:type="dxa"/>
            <w:left w:w="108" w:type="dxa"/>
            <w:bottom w:w="0" w:type="dxa"/>
            <w:right w:w="108" w:type="dxa"/>
          </w:tblCellMar>
        </w:tblPrEx>
        <w:trPr>
          <w:cantSplit/>
          <w:trHeight w:val="526" w:hRule="atLeast"/>
        </w:trPr>
        <w:tc>
          <w:tcPr>
            <w:tcW w:w="575" w:type="dxa"/>
            <w:tcBorders>
              <w:top w:val="single" w:color="000000" w:sz="4" w:space="0"/>
              <w:left w:val="single" w:color="000000" w:sz="4" w:space="0"/>
              <w:bottom w:val="single" w:color="000000" w:sz="4" w:space="0"/>
            </w:tcBorders>
            <w:shd w:val="clear" w:color="auto" w:fill="auto"/>
          </w:tcPr>
          <w:p>
            <w:pPr>
              <w:pStyle w:val="32"/>
              <w:widowControl w:val="0"/>
              <w:numPr>
                <w:ilvl w:val="0"/>
                <w:numId w:val="7"/>
              </w:numPr>
              <w:tabs>
                <w:tab w:val="left" w:pos="180"/>
              </w:tabs>
              <w:snapToGrid w:val="0"/>
              <w:jc w:val="center"/>
              <w:rPr>
                <w:sz w:val="22"/>
                <w:szCs w:val="22"/>
              </w:rPr>
            </w:pPr>
          </w:p>
        </w:tc>
        <w:tc>
          <w:tcPr>
            <w:tcW w:w="4496" w:type="dxa"/>
            <w:tcBorders>
              <w:top w:val="single" w:color="000000" w:sz="4" w:space="0"/>
              <w:left w:val="single" w:color="000000" w:sz="4" w:space="0"/>
              <w:bottom w:val="single" w:color="000000" w:sz="4" w:space="0"/>
            </w:tcBorders>
            <w:shd w:val="clear" w:color="auto" w:fill="auto"/>
          </w:tcPr>
          <w:p>
            <w:pPr>
              <w:jc w:val="both"/>
              <w:rPr>
                <w:sz w:val="22"/>
                <w:szCs w:val="22"/>
              </w:rPr>
            </w:pPr>
            <w:r>
              <w:rPr>
                <w:b/>
                <w:sz w:val="22"/>
                <w:szCs w:val="22"/>
              </w:rPr>
              <w:t xml:space="preserve">«Шаг аукциона» </w:t>
            </w:r>
          </w:p>
        </w:tc>
        <w:tc>
          <w:tcPr>
            <w:tcW w:w="5450" w:type="dxa"/>
            <w:tcBorders>
              <w:top w:val="single" w:color="000000" w:sz="4" w:space="0"/>
              <w:left w:val="single" w:color="000000" w:sz="4" w:space="0"/>
              <w:bottom w:val="single" w:color="000000" w:sz="4" w:space="0"/>
              <w:right w:val="single" w:color="000000" w:sz="4" w:space="0"/>
            </w:tcBorders>
            <w:shd w:val="clear" w:color="auto" w:fill="auto"/>
          </w:tcPr>
          <w:p>
            <w:pPr>
              <w:jc w:val="both"/>
              <w:rPr>
                <w:b/>
                <w:sz w:val="22"/>
                <w:szCs w:val="22"/>
              </w:rPr>
            </w:pPr>
            <w:r>
              <w:rPr>
                <w:b/>
                <w:sz w:val="22"/>
                <w:szCs w:val="22"/>
              </w:rPr>
              <w:t>от 0,5% до 5% начальной (максимальной) цены договора</w:t>
            </w:r>
          </w:p>
        </w:tc>
      </w:tr>
      <w:tr>
        <w:tblPrEx>
          <w:tblCellMar>
            <w:top w:w="0" w:type="dxa"/>
            <w:left w:w="108" w:type="dxa"/>
            <w:bottom w:w="0" w:type="dxa"/>
            <w:right w:w="108" w:type="dxa"/>
          </w:tblCellMar>
        </w:tblPrEx>
        <w:trPr>
          <w:cantSplit/>
        </w:trPr>
        <w:tc>
          <w:tcPr>
            <w:tcW w:w="575" w:type="dxa"/>
            <w:tcBorders>
              <w:top w:val="single" w:color="000000" w:sz="4" w:space="0"/>
              <w:left w:val="single" w:color="000000" w:sz="4" w:space="0"/>
              <w:bottom w:val="single" w:color="000000" w:sz="4" w:space="0"/>
            </w:tcBorders>
            <w:shd w:val="clear" w:color="auto" w:fill="auto"/>
          </w:tcPr>
          <w:p>
            <w:pPr>
              <w:pStyle w:val="32"/>
              <w:widowControl w:val="0"/>
              <w:numPr>
                <w:ilvl w:val="0"/>
                <w:numId w:val="7"/>
              </w:numPr>
              <w:tabs>
                <w:tab w:val="left" w:pos="180"/>
              </w:tabs>
              <w:snapToGrid w:val="0"/>
              <w:jc w:val="center"/>
              <w:rPr>
                <w:sz w:val="22"/>
                <w:szCs w:val="22"/>
              </w:rPr>
            </w:pPr>
          </w:p>
        </w:tc>
        <w:tc>
          <w:tcPr>
            <w:tcW w:w="4496" w:type="dxa"/>
            <w:tcBorders>
              <w:top w:val="single" w:color="000000" w:sz="4" w:space="0"/>
              <w:left w:val="single" w:color="000000" w:sz="4" w:space="0"/>
              <w:bottom w:val="single" w:color="000000" w:sz="4" w:space="0"/>
            </w:tcBorders>
            <w:shd w:val="clear" w:color="auto" w:fill="auto"/>
          </w:tcPr>
          <w:p>
            <w:pPr>
              <w:jc w:val="both"/>
              <w:rPr>
                <w:sz w:val="22"/>
                <w:szCs w:val="22"/>
              </w:rPr>
            </w:pPr>
            <w:r>
              <w:rPr>
                <w:b/>
                <w:sz w:val="22"/>
                <w:szCs w:val="22"/>
              </w:rPr>
              <w:t>Дата и время начала и окончания срока подачи заявок на участие в аукционе</w:t>
            </w:r>
          </w:p>
        </w:tc>
        <w:tc>
          <w:tcPr>
            <w:tcW w:w="5450"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2"/>
                <w:szCs w:val="22"/>
              </w:rPr>
            </w:pPr>
            <w:r>
              <w:rPr>
                <w:b/>
                <w:sz w:val="22"/>
                <w:szCs w:val="22"/>
              </w:rPr>
              <w:t>С 28 сентября 2022г. с момента размещения извещения по 1</w:t>
            </w:r>
            <w:r>
              <w:rPr>
                <w:rFonts w:hint="default"/>
                <w:b/>
                <w:sz w:val="22"/>
                <w:szCs w:val="22"/>
                <w:lang w:val="ru-RU"/>
              </w:rPr>
              <w:t>4</w:t>
            </w:r>
            <w:r>
              <w:rPr>
                <w:b/>
                <w:sz w:val="22"/>
                <w:szCs w:val="22"/>
              </w:rPr>
              <w:t xml:space="preserve"> октября 2022 года, 14 часов 00 минут (местное время заказчика)</w:t>
            </w:r>
          </w:p>
        </w:tc>
      </w:tr>
      <w:tr>
        <w:tblPrEx>
          <w:tblCellMar>
            <w:top w:w="0" w:type="dxa"/>
            <w:left w:w="108" w:type="dxa"/>
            <w:bottom w:w="0" w:type="dxa"/>
            <w:right w:w="108" w:type="dxa"/>
          </w:tblCellMar>
        </w:tblPrEx>
        <w:trPr>
          <w:cantSplit/>
        </w:trPr>
        <w:tc>
          <w:tcPr>
            <w:tcW w:w="575" w:type="dxa"/>
            <w:tcBorders>
              <w:top w:val="single" w:color="000000" w:sz="4" w:space="0"/>
              <w:left w:val="single" w:color="000000" w:sz="4" w:space="0"/>
              <w:bottom w:val="single" w:color="000000" w:sz="4" w:space="0"/>
            </w:tcBorders>
            <w:shd w:val="clear" w:color="auto" w:fill="auto"/>
          </w:tcPr>
          <w:p>
            <w:pPr>
              <w:pStyle w:val="32"/>
              <w:widowControl w:val="0"/>
              <w:numPr>
                <w:ilvl w:val="0"/>
                <w:numId w:val="7"/>
              </w:numPr>
              <w:tabs>
                <w:tab w:val="left" w:pos="180"/>
              </w:tabs>
              <w:snapToGrid w:val="0"/>
              <w:jc w:val="center"/>
              <w:rPr>
                <w:sz w:val="22"/>
                <w:szCs w:val="22"/>
              </w:rPr>
            </w:pPr>
          </w:p>
        </w:tc>
        <w:tc>
          <w:tcPr>
            <w:tcW w:w="4496" w:type="dxa"/>
            <w:tcBorders>
              <w:top w:val="single" w:color="000000" w:sz="4" w:space="0"/>
              <w:left w:val="single" w:color="000000" w:sz="4" w:space="0"/>
              <w:bottom w:val="single" w:color="000000" w:sz="4" w:space="0"/>
            </w:tcBorders>
            <w:shd w:val="clear" w:color="auto" w:fill="auto"/>
          </w:tcPr>
          <w:p>
            <w:pPr>
              <w:jc w:val="both"/>
              <w:rPr>
                <w:b/>
                <w:sz w:val="22"/>
                <w:szCs w:val="22"/>
              </w:rPr>
            </w:pPr>
            <w:r>
              <w:rPr>
                <w:b/>
                <w:sz w:val="22"/>
                <w:szCs w:val="22"/>
              </w:rPr>
              <w:t>Дата окончания срока рассмотрения первых частей заявок на участие в аукционе</w:t>
            </w:r>
          </w:p>
          <w:p>
            <w:pPr>
              <w:jc w:val="both"/>
              <w:rPr>
                <w:b/>
                <w:sz w:val="22"/>
                <w:szCs w:val="22"/>
              </w:rPr>
            </w:pPr>
            <w:r>
              <w:rPr>
                <w:b/>
                <w:sz w:val="22"/>
                <w:szCs w:val="22"/>
              </w:rPr>
              <w:t>Дата окончания срока рассмотрения вторых частей заявок на участие в аукционе, подведение итогов процедуры</w:t>
            </w:r>
          </w:p>
        </w:tc>
        <w:tc>
          <w:tcPr>
            <w:tcW w:w="5450" w:type="dxa"/>
            <w:tcBorders>
              <w:top w:val="single" w:color="000000" w:sz="4" w:space="0"/>
              <w:left w:val="single" w:color="000000" w:sz="4" w:space="0"/>
              <w:bottom w:val="single" w:color="000000" w:sz="4" w:space="0"/>
              <w:right w:val="single" w:color="000000" w:sz="4" w:space="0"/>
            </w:tcBorders>
            <w:shd w:val="clear" w:color="auto" w:fill="auto"/>
          </w:tcPr>
          <w:p>
            <w:pPr>
              <w:jc w:val="both"/>
              <w:rPr>
                <w:b/>
                <w:sz w:val="22"/>
                <w:szCs w:val="22"/>
              </w:rPr>
            </w:pPr>
            <w:r>
              <w:rPr>
                <w:b/>
                <w:sz w:val="22"/>
                <w:szCs w:val="22"/>
              </w:rPr>
              <w:t>«1</w:t>
            </w:r>
            <w:r>
              <w:rPr>
                <w:rFonts w:hint="default"/>
                <w:b/>
                <w:sz w:val="22"/>
                <w:szCs w:val="22"/>
                <w:lang w:val="ru-RU"/>
              </w:rPr>
              <w:t>7</w:t>
            </w:r>
            <w:r>
              <w:rPr>
                <w:b/>
                <w:sz w:val="22"/>
                <w:szCs w:val="22"/>
              </w:rPr>
              <w:t xml:space="preserve">» октября  2022 года </w:t>
            </w:r>
          </w:p>
          <w:p>
            <w:pPr>
              <w:jc w:val="both"/>
              <w:rPr>
                <w:b/>
                <w:sz w:val="22"/>
                <w:szCs w:val="22"/>
              </w:rPr>
            </w:pPr>
          </w:p>
          <w:p>
            <w:pPr>
              <w:jc w:val="both"/>
              <w:rPr>
                <w:b/>
                <w:sz w:val="22"/>
                <w:szCs w:val="22"/>
              </w:rPr>
            </w:pPr>
          </w:p>
          <w:p>
            <w:pPr>
              <w:jc w:val="both"/>
              <w:rPr>
                <w:sz w:val="22"/>
                <w:szCs w:val="22"/>
              </w:rPr>
            </w:pPr>
            <w:r>
              <w:rPr>
                <w:b/>
                <w:sz w:val="22"/>
                <w:szCs w:val="22"/>
              </w:rPr>
              <w:t>«1</w:t>
            </w:r>
            <w:r>
              <w:rPr>
                <w:rFonts w:hint="default"/>
                <w:b/>
                <w:sz w:val="22"/>
                <w:szCs w:val="22"/>
                <w:lang w:val="ru-RU"/>
              </w:rPr>
              <w:t>7</w:t>
            </w:r>
            <w:r>
              <w:rPr>
                <w:b/>
                <w:sz w:val="22"/>
                <w:szCs w:val="22"/>
              </w:rPr>
              <w:t>» октября  2022 года</w:t>
            </w:r>
          </w:p>
        </w:tc>
      </w:tr>
      <w:tr>
        <w:tblPrEx>
          <w:tblCellMar>
            <w:top w:w="0" w:type="dxa"/>
            <w:left w:w="108" w:type="dxa"/>
            <w:bottom w:w="0" w:type="dxa"/>
            <w:right w:w="108" w:type="dxa"/>
          </w:tblCellMar>
        </w:tblPrEx>
        <w:trPr>
          <w:cantSplit/>
        </w:trPr>
        <w:tc>
          <w:tcPr>
            <w:tcW w:w="575" w:type="dxa"/>
            <w:tcBorders>
              <w:top w:val="single" w:color="000000" w:sz="4" w:space="0"/>
              <w:left w:val="single" w:color="000000" w:sz="4" w:space="0"/>
              <w:bottom w:val="single" w:color="000000" w:sz="4" w:space="0"/>
            </w:tcBorders>
            <w:shd w:val="clear" w:color="auto" w:fill="auto"/>
          </w:tcPr>
          <w:p>
            <w:pPr>
              <w:pStyle w:val="32"/>
              <w:widowControl w:val="0"/>
              <w:numPr>
                <w:ilvl w:val="0"/>
                <w:numId w:val="7"/>
              </w:numPr>
              <w:tabs>
                <w:tab w:val="left" w:pos="180"/>
              </w:tabs>
              <w:snapToGrid w:val="0"/>
              <w:jc w:val="center"/>
              <w:rPr>
                <w:sz w:val="22"/>
                <w:szCs w:val="22"/>
              </w:rPr>
            </w:pPr>
          </w:p>
        </w:tc>
        <w:tc>
          <w:tcPr>
            <w:tcW w:w="4496" w:type="dxa"/>
            <w:tcBorders>
              <w:top w:val="single" w:color="000000" w:sz="4" w:space="0"/>
              <w:left w:val="single" w:color="000000" w:sz="4" w:space="0"/>
              <w:bottom w:val="single" w:color="000000" w:sz="4" w:space="0"/>
            </w:tcBorders>
            <w:shd w:val="clear" w:color="auto" w:fill="auto"/>
          </w:tcPr>
          <w:p>
            <w:pPr>
              <w:jc w:val="both"/>
              <w:rPr>
                <w:sz w:val="22"/>
                <w:szCs w:val="22"/>
              </w:rPr>
            </w:pPr>
            <w:r>
              <w:rPr>
                <w:b/>
                <w:sz w:val="22"/>
                <w:szCs w:val="22"/>
              </w:rPr>
              <w:t>Дата и время проведения аукциона</w:t>
            </w:r>
          </w:p>
          <w:p>
            <w:pPr>
              <w:jc w:val="both"/>
              <w:rPr>
                <w:sz w:val="22"/>
                <w:szCs w:val="22"/>
              </w:rPr>
            </w:pPr>
          </w:p>
        </w:tc>
        <w:tc>
          <w:tcPr>
            <w:tcW w:w="5450" w:type="dxa"/>
            <w:tcBorders>
              <w:top w:val="single" w:color="000000" w:sz="4" w:space="0"/>
              <w:left w:val="single" w:color="000000" w:sz="4" w:space="0"/>
              <w:bottom w:val="single" w:color="000000" w:sz="4" w:space="0"/>
              <w:right w:val="single" w:color="000000" w:sz="4" w:space="0"/>
            </w:tcBorders>
            <w:shd w:val="clear" w:color="auto" w:fill="auto"/>
          </w:tcPr>
          <w:p>
            <w:pPr>
              <w:pStyle w:val="499"/>
              <w:ind w:left="45" w:right="113" w:firstLine="0"/>
              <w:rPr>
                <w:sz w:val="22"/>
              </w:rPr>
            </w:pPr>
            <w:r>
              <w:rPr>
                <w:b/>
                <w:sz w:val="22"/>
              </w:rPr>
              <w:t xml:space="preserve">«17» октября 2022 года </w:t>
            </w:r>
            <w:r>
              <w:rPr>
                <w:rFonts w:hint="default"/>
                <w:b/>
                <w:sz w:val="22"/>
                <w:lang w:val="ru-RU"/>
              </w:rPr>
              <w:t>13</w:t>
            </w:r>
            <w:r>
              <w:rPr>
                <w:b/>
                <w:sz w:val="22"/>
              </w:rPr>
              <w:t xml:space="preserve"> часов 00 минут (местное время заказчика)</w:t>
            </w:r>
          </w:p>
        </w:tc>
      </w:tr>
      <w:tr>
        <w:tblPrEx>
          <w:tblCellMar>
            <w:top w:w="0" w:type="dxa"/>
            <w:left w:w="108" w:type="dxa"/>
            <w:bottom w:w="0" w:type="dxa"/>
            <w:right w:w="108" w:type="dxa"/>
          </w:tblCellMar>
        </w:tblPrEx>
        <w:trPr>
          <w:cantSplit/>
        </w:trPr>
        <w:tc>
          <w:tcPr>
            <w:tcW w:w="575" w:type="dxa"/>
            <w:tcBorders>
              <w:top w:val="single" w:color="000000" w:sz="4" w:space="0"/>
              <w:left w:val="single" w:color="000000" w:sz="4" w:space="0"/>
              <w:bottom w:val="single" w:color="000000" w:sz="4" w:space="0"/>
            </w:tcBorders>
            <w:shd w:val="clear" w:color="auto" w:fill="auto"/>
          </w:tcPr>
          <w:p>
            <w:pPr>
              <w:pStyle w:val="32"/>
              <w:widowControl w:val="0"/>
              <w:numPr>
                <w:ilvl w:val="0"/>
                <w:numId w:val="7"/>
              </w:numPr>
              <w:tabs>
                <w:tab w:val="left" w:pos="180"/>
              </w:tabs>
              <w:snapToGrid w:val="0"/>
              <w:jc w:val="center"/>
              <w:rPr>
                <w:sz w:val="22"/>
                <w:szCs w:val="22"/>
              </w:rPr>
            </w:pPr>
          </w:p>
        </w:tc>
        <w:tc>
          <w:tcPr>
            <w:tcW w:w="4496" w:type="dxa"/>
            <w:tcBorders>
              <w:top w:val="single" w:color="000000" w:sz="4" w:space="0"/>
              <w:left w:val="single" w:color="000000" w:sz="4" w:space="0"/>
              <w:bottom w:val="single" w:color="000000" w:sz="4" w:space="0"/>
            </w:tcBorders>
            <w:shd w:val="clear" w:color="auto" w:fill="auto"/>
          </w:tcPr>
          <w:p>
            <w:pPr>
              <w:jc w:val="both"/>
              <w:rPr>
                <w:sz w:val="22"/>
                <w:szCs w:val="22"/>
              </w:rPr>
            </w:pPr>
            <w:r>
              <w:rPr>
                <w:b/>
                <w:sz w:val="22"/>
                <w:szCs w:val="22"/>
              </w:rPr>
              <w:t>Источник финансирования заказа</w:t>
            </w:r>
          </w:p>
        </w:tc>
        <w:tc>
          <w:tcPr>
            <w:tcW w:w="5450"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0"/>
              </w:tabs>
              <w:snapToGrid w:val="0"/>
              <w:jc w:val="both"/>
              <w:rPr>
                <w:sz w:val="22"/>
                <w:szCs w:val="22"/>
              </w:rPr>
            </w:pPr>
            <w:r>
              <w:rPr>
                <w:sz w:val="22"/>
                <w:szCs w:val="22"/>
              </w:rPr>
              <w:t>средства унитарного предприятия</w:t>
            </w:r>
            <w:r>
              <w:rPr>
                <w:rFonts w:eastAsia="Calibri"/>
                <w:color w:val="000000"/>
                <w:sz w:val="22"/>
                <w:szCs w:val="22"/>
                <w:lang w:eastAsia="ru-RU"/>
              </w:rPr>
              <w:t>.</w:t>
            </w:r>
          </w:p>
        </w:tc>
      </w:tr>
      <w:tr>
        <w:tblPrEx>
          <w:tblCellMar>
            <w:top w:w="0" w:type="dxa"/>
            <w:left w:w="108" w:type="dxa"/>
            <w:bottom w:w="0" w:type="dxa"/>
            <w:right w:w="108" w:type="dxa"/>
          </w:tblCellMar>
        </w:tblPrEx>
        <w:trPr>
          <w:cantSplit/>
          <w:trHeight w:val="1692" w:hRule="atLeast"/>
        </w:trPr>
        <w:tc>
          <w:tcPr>
            <w:tcW w:w="575" w:type="dxa"/>
            <w:tcBorders>
              <w:top w:val="single" w:color="000000" w:sz="4" w:space="0"/>
              <w:left w:val="single" w:color="000000" w:sz="4" w:space="0"/>
              <w:bottom w:val="single" w:color="000000" w:sz="4" w:space="0"/>
            </w:tcBorders>
            <w:shd w:val="clear" w:color="auto" w:fill="auto"/>
          </w:tcPr>
          <w:p>
            <w:pPr>
              <w:pStyle w:val="32"/>
              <w:widowControl w:val="0"/>
              <w:numPr>
                <w:ilvl w:val="0"/>
                <w:numId w:val="7"/>
              </w:numPr>
              <w:tabs>
                <w:tab w:val="left" w:pos="180"/>
              </w:tabs>
              <w:snapToGrid w:val="0"/>
              <w:jc w:val="center"/>
              <w:rPr>
                <w:sz w:val="22"/>
                <w:szCs w:val="22"/>
              </w:rPr>
            </w:pPr>
          </w:p>
        </w:tc>
        <w:tc>
          <w:tcPr>
            <w:tcW w:w="4496" w:type="dxa"/>
            <w:tcBorders>
              <w:top w:val="single" w:color="000000" w:sz="4" w:space="0"/>
              <w:left w:val="single" w:color="000000" w:sz="4" w:space="0"/>
              <w:bottom w:val="single" w:color="000000" w:sz="4" w:space="0"/>
            </w:tcBorders>
            <w:shd w:val="clear" w:color="auto" w:fill="auto"/>
          </w:tcPr>
          <w:p>
            <w:pPr>
              <w:jc w:val="both"/>
              <w:rPr>
                <w:sz w:val="22"/>
                <w:szCs w:val="22"/>
              </w:rPr>
            </w:pPr>
            <w:r>
              <w:rPr>
                <w:b/>
                <w:sz w:val="22"/>
                <w:szCs w:val="22"/>
              </w:rPr>
              <w:t>Порядок формирования цены договора с учетом страхования, уплату таможенных пошлин, налогов и других обязательных платежей</w:t>
            </w:r>
          </w:p>
        </w:tc>
        <w:tc>
          <w:tcPr>
            <w:tcW w:w="5450" w:type="dxa"/>
            <w:tcBorders>
              <w:top w:val="single" w:color="000000" w:sz="4" w:space="0"/>
              <w:left w:val="single" w:color="000000" w:sz="4" w:space="0"/>
              <w:bottom w:val="single" w:color="000000" w:sz="4" w:space="0"/>
              <w:right w:val="single" w:color="000000" w:sz="4" w:space="0"/>
            </w:tcBorders>
            <w:shd w:val="clear" w:color="auto" w:fill="auto"/>
          </w:tcPr>
          <w:p>
            <w:pPr>
              <w:pStyle w:val="358"/>
              <w:tabs>
                <w:tab w:val="left" w:pos="8"/>
              </w:tabs>
              <w:spacing w:after="0"/>
              <w:jc w:val="both"/>
              <w:rPr>
                <w:sz w:val="22"/>
                <w:szCs w:val="22"/>
                <w:lang w:eastAsia="ar-SA"/>
              </w:rPr>
            </w:pPr>
            <w:r>
              <w:rPr>
                <w:sz w:val="22"/>
                <w:szCs w:val="22"/>
              </w:rPr>
              <w:t>в соответствии с проектом договора.</w:t>
            </w:r>
          </w:p>
          <w:p>
            <w:pPr>
              <w:widowControl w:val="0"/>
              <w:tabs>
                <w:tab w:val="left" w:pos="567"/>
              </w:tabs>
              <w:autoSpaceDE w:val="0"/>
              <w:jc w:val="both"/>
              <w:rPr>
                <w:sz w:val="22"/>
                <w:szCs w:val="22"/>
              </w:rPr>
            </w:pPr>
            <w:r>
              <w:rPr>
                <w:sz w:val="22"/>
                <w:szCs w:val="22"/>
                <w:lang w:eastAsia="ar-SA"/>
              </w:rPr>
              <w:t xml:space="preserve">Цена Договора включает все расходы, связанные с поставкой товаров в соответствии с требованиями договора, в том числе: стоимость товаров; стоимость упаковки и тары; стоимость оформления всех сопутствующих договору документов; транспортные расходы; стоимость разгрузочно - погрузочных работ, прочие затраты Поставщика; расходы на страхование, уплату налогов, сборов, таможенных пошлин и другие обязательные платежи, предусмотренные законодательством и/или условиями исполнения договора. </w:t>
            </w:r>
          </w:p>
        </w:tc>
      </w:tr>
      <w:tr>
        <w:tblPrEx>
          <w:tblCellMar>
            <w:top w:w="0" w:type="dxa"/>
            <w:left w:w="108" w:type="dxa"/>
            <w:bottom w:w="0" w:type="dxa"/>
            <w:right w:w="108" w:type="dxa"/>
          </w:tblCellMar>
        </w:tblPrEx>
        <w:tc>
          <w:tcPr>
            <w:tcW w:w="575" w:type="dxa"/>
            <w:tcBorders>
              <w:top w:val="single" w:color="000000" w:sz="4" w:space="0"/>
              <w:left w:val="single" w:color="000000" w:sz="4" w:space="0"/>
              <w:bottom w:val="single" w:color="000000" w:sz="4" w:space="0"/>
            </w:tcBorders>
            <w:shd w:val="clear" w:color="auto" w:fill="auto"/>
          </w:tcPr>
          <w:p>
            <w:pPr>
              <w:pStyle w:val="32"/>
              <w:widowControl w:val="0"/>
              <w:numPr>
                <w:ilvl w:val="0"/>
                <w:numId w:val="7"/>
              </w:numPr>
              <w:tabs>
                <w:tab w:val="left" w:pos="180"/>
              </w:tabs>
              <w:snapToGrid w:val="0"/>
              <w:jc w:val="center"/>
              <w:rPr>
                <w:sz w:val="22"/>
                <w:szCs w:val="22"/>
              </w:rPr>
            </w:pPr>
          </w:p>
        </w:tc>
        <w:tc>
          <w:tcPr>
            <w:tcW w:w="4496" w:type="dxa"/>
            <w:tcBorders>
              <w:top w:val="single" w:color="000000" w:sz="4" w:space="0"/>
              <w:left w:val="single" w:color="000000" w:sz="4" w:space="0"/>
              <w:bottom w:val="single" w:color="000000" w:sz="4" w:space="0"/>
            </w:tcBorders>
            <w:shd w:val="clear" w:color="auto" w:fill="auto"/>
          </w:tcPr>
          <w:p>
            <w:pPr>
              <w:jc w:val="both"/>
              <w:rPr>
                <w:sz w:val="22"/>
                <w:szCs w:val="22"/>
              </w:rPr>
            </w:pPr>
            <w:r>
              <w:rPr>
                <w:b/>
                <w:sz w:val="22"/>
                <w:szCs w:val="22"/>
              </w:rPr>
              <w:t>Начальная (максимальная) цена договора (цена лота)</w:t>
            </w:r>
          </w:p>
        </w:tc>
        <w:tc>
          <w:tcPr>
            <w:tcW w:w="5450"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2"/>
                <w:szCs w:val="22"/>
              </w:rPr>
            </w:pPr>
            <w:r>
              <w:rPr>
                <w:b/>
                <w:sz w:val="22"/>
                <w:szCs w:val="22"/>
              </w:rPr>
              <w:t>9 967 650 (Девять миллионов девятьсот шестьдесят семь тысяч шестьсот пятьдесят) рублей 00 копеек</w:t>
            </w:r>
          </w:p>
        </w:tc>
      </w:tr>
      <w:tr>
        <w:tblPrEx>
          <w:tblCellMar>
            <w:top w:w="0" w:type="dxa"/>
            <w:left w:w="108" w:type="dxa"/>
            <w:bottom w:w="0" w:type="dxa"/>
            <w:right w:w="108" w:type="dxa"/>
          </w:tblCellMar>
        </w:tblPrEx>
        <w:tc>
          <w:tcPr>
            <w:tcW w:w="575" w:type="dxa"/>
            <w:tcBorders>
              <w:top w:val="single" w:color="000000" w:sz="4" w:space="0"/>
              <w:left w:val="single" w:color="000000" w:sz="4" w:space="0"/>
              <w:bottom w:val="single" w:color="000000" w:sz="4" w:space="0"/>
            </w:tcBorders>
            <w:shd w:val="clear" w:color="auto" w:fill="auto"/>
          </w:tcPr>
          <w:p>
            <w:pPr>
              <w:pStyle w:val="32"/>
              <w:widowControl w:val="0"/>
              <w:numPr>
                <w:ilvl w:val="0"/>
                <w:numId w:val="7"/>
              </w:numPr>
              <w:tabs>
                <w:tab w:val="left" w:pos="180"/>
              </w:tabs>
              <w:snapToGrid w:val="0"/>
              <w:jc w:val="center"/>
              <w:rPr>
                <w:sz w:val="22"/>
                <w:szCs w:val="22"/>
              </w:rPr>
            </w:pPr>
          </w:p>
        </w:tc>
        <w:tc>
          <w:tcPr>
            <w:tcW w:w="4496" w:type="dxa"/>
            <w:tcBorders>
              <w:top w:val="single" w:color="000000" w:sz="4" w:space="0"/>
              <w:left w:val="single" w:color="000000" w:sz="4" w:space="0"/>
              <w:bottom w:val="single" w:color="000000" w:sz="4" w:space="0"/>
            </w:tcBorders>
            <w:shd w:val="clear" w:color="auto" w:fill="auto"/>
          </w:tcPr>
          <w:p>
            <w:pPr>
              <w:jc w:val="both"/>
              <w:rPr>
                <w:sz w:val="22"/>
                <w:szCs w:val="22"/>
              </w:rPr>
            </w:pPr>
            <w:r>
              <w:rPr>
                <w:b/>
                <w:sz w:val="22"/>
                <w:szCs w:val="22"/>
              </w:rPr>
              <w:t>Обоснование начальной (максимальной) цены договора</w:t>
            </w:r>
          </w:p>
        </w:tc>
        <w:tc>
          <w:tcPr>
            <w:tcW w:w="5450" w:type="dxa"/>
            <w:tcBorders>
              <w:top w:val="single" w:color="000000" w:sz="4" w:space="0"/>
              <w:left w:val="single" w:color="000000" w:sz="4" w:space="0"/>
              <w:bottom w:val="single" w:color="000000" w:sz="4" w:space="0"/>
              <w:right w:val="single" w:color="000000" w:sz="4" w:space="0"/>
            </w:tcBorders>
            <w:shd w:val="clear" w:color="auto" w:fill="auto"/>
          </w:tcPr>
          <w:p>
            <w:pPr>
              <w:widowControl w:val="0"/>
              <w:jc w:val="both"/>
              <w:rPr>
                <w:b/>
                <w:sz w:val="22"/>
              </w:rPr>
            </w:pPr>
            <w:r>
              <w:rPr>
                <w:b/>
                <w:sz w:val="22"/>
              </w:rPr>
              <w:t>Расчет начальной (максимальной) цены произведен методом сопоставимых рыночных цен (анализа рынка).</w:t>
            </w:r>
          </w:p>
          <w:p>
            <w:pPr>
              <w:jc w:val="both"/>
              <w:rPr>
                <w:sz w:val="22"/>
                <w:szCs w:val="22"/>
              </w:rPr>
            </w:pPr>
            <w:r>
              <w:rPr>
                <w:sz w:val="22"/>
                <w:szCs w:val="22"/>
              </w:rPr>
              <w:t>Обоснование начальной (максимальной) цены (Раздел 6 документации об аукционе).</w:t>
            </w:r>
          </w:p>
        </w:tc>
      </w:tr>
      <w:tr>
        <w:tblPrEx>
          <w:tblCellMar>
            <w:top w:w="0" w:type="dxa"/>
            <w:left w:w="108" w:type="dxa"/>
            <w:bottom w:w="0" w:type="dxa"/>
            <w:right w:w="108" w:type="dxa"/>
          </w:tblCellMar>
        </w:tblPrEx>
        <w:trPr>
          <w:trHeight w:val="70" w:hRule="atLeast"/>
        </w:trPr>
        <w:tc>
          <w:tcPr>
            <w:tcW w:w="575" w:type="dxa"/>
            <w:tcBorders>
              <w:top w:val="single" w:color="000000" w:sz="4" w:space="0"/>
              <w:left w:val="single" w:color="000000" w:sz="4" w:space="0"/>
              <w:bottom w:val="single" w:color="000000" w:sz="4" w:space="0"/>
            </w:tcBorders>
            <w:shd w:val="clear" w:color="auto" w:fill="auto"/>
          </w:tcPr>
          <w:p>
            <w:pPr>
              <w:pStyle w:val="32"/>
              <w:widowControl w:val="0"/>
              <w:numPr>
                <w:ilvl w:val="0"/>
                <w:numId w:val="7"/>
              </w:numPr>
              <w:tabs>
                <w:tab w:val="left" w:pos="180"/>
              </w:tabs>
              <w:snapToGrid w:val="0"/>
              <w:jc w:val="center"/>
              <w:rPr>
                <w:sz w:val="22"/>
                <w:szCs w:val="22"/>
              </w:rPr>
            </w:pPr>
          </w:p>
        </w:tc>
        <w:tc>
          <w:tcPr>
            <w:tcW w:w="4496" w:type="dxa"/>
            <w:tcBorders>
              <w:top w:val="single" w:color="000000" w:sz="4" w:space="0"/>
              <w:left w:val="single" w:color="000000" w:sz="4" w:space="0"/>
              <w:bottom w:val="single" w:color="000000" w:sz="4" w:space="0"/>
            </w:tcBorders>
            <w:shd w:val="clear" w:color="auto" w:fill="auto"/>
          </w:tcPr>
          <w:p>
            <w:pPr>
              <w:jc w:val="both"/>
              <w:rPr>
                <w:sz w:val="22"/>
                <w:szCs w:val="22"/>
              </w:rPr>
            </w:pPr>
            <w:r>
              <w:rPr>
                <w:b/>
                <w:sz w:val="22"/>
                <w:szCs w:val="22"/>
              </w:rPr>
              <w:t>Сведения о валюте, используемой для формирования цены договора и расчетов с поставщиками (исполнителями, подрядчиками)</w:t>
            </w:r>
          </w:p>
        </w:tc>
        <w:tc>
          <w:tcPr>
            <w:tcW w:w="5450"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2"/>
                <w:szCs w:val="22"/>
              </w:rPr>
            </w:pPr>
            <w:r>
              <w:rPr>
                <w:sz w:val="22"/>
                <w:szCs w:val="22"/>
              </w:rPr>
              <w:t>российский рубль</w:t>
            </w:r>
          </w:p>
        </w:tc>
      </w:tr>
      <w:tr>
        <w:tblPrEx>
          <w:tblCellMar>
            <w:top w:w="0" w:type="dxa"/>
            <w:left w:w="108" w:type="dxa"/>
            <w:bottom w:w="0" w:type="dxa"/>
            <w:right w:w="108" w:type="dxa"/>
          </w:tblCellMar>
        </w:tblPrEx>
        <w:tc>
          <w:tcPr>
            <w:tcW w:w="575" w:type="dxa"/>
            <w:tcBorders>
              <w:top w:val="single" w:color="000000" w:sz="4" w:space="0"/>
              <w:left w:val="single" w:color="000000" w:sz="4" w:space="0"/>
              <w:bottom w:val="single" w:color="000000" w:sz="4" w:space="0"/>
            </w:tcBorders>
            <w:shd w:val="clear" w:color="auto" w:fill="auto"/>
          </w:tcPr>
          <w:p>
            <w:pPr>
              <w:pStyle w:val="32"/>
              <w:widowControl w:val="0"/>
              <w:numPr>
                <w:ilvl w:val="0"/>
                <w:numId w:val="7"/>
              </w:numPr>
              <w:tabs>
                <w:tab w:val="left" w:pos="180"/>
              </w:tabs>
              <w:snapToGrid w:val="0"/>
              <w:jc w:val="center"/>
              <w:rPr>
                <w:sz w:val="22"/>
                <w:szCs w:val="22"/>
              </w:rPr>
            </w:pPr>
          </w:p>
        </w:tc>
        <w:tc>
          <w:tcPr>
            <w:tcW w:w="4496" w:type="dxa"/>
            <w:tcBorders>
              <w:top w:val="single" w:color="000000" w:sz="4" w:space="0"/>
              <w:left w:val="single" w:color="000000" w:sz="4" w:space="0"/>
              <w:bottom w:val="single" w:color="000000" w:sz="4" w:space="0"/>
            </w:tcBorders>
            <w:shd w:val="clear" w:color="auto" w:fill="auto"/>
          </w:tcPr>
          <w:p>
            <w:pPr>
              <w:jc w:val="both"/>
              <w:rPr>
                <w:sz w:val="22"/>
                <w:szCs w:val="22"/>
              </w:rPr>
            </w:pPr>
            <w:r>
              <w:rPr>
                <w:b/>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w:t>
            </w:r>
          </w:p>
        </w:tc>
        <w:tc>
          <w:tcPr>
            <w:tcW w:w="5450"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2"/>
                <w:szCs w:val="22"/>
              </w:rPr>
            </w:pPr>
            <w:r>
              <w:rPr>
                <w:sz w:val="22"/>
                <w:szCs w:val="22"/>
              </w:rPr>
              <w:t>по курсу Центрального банка Российской Федерации на день оплаты.</w:t>
            </w:r>
          </w:p>
        </w:tc>
      </w:tr>
      <w:tr>
        <w:tblPrEx>
          <w:tblCellMar>
            <w:top w:w="0" w:type="dxa"/>
            <w:left w:w="108" w:type="dxa"/>
            <w:bottom w:w="0" w:type="dxa"/>
            <w:right w:w="108" w:type="dxa"/>
          </w:tblCellMar>
        </w:tblPrEx>
        <w:tc>
          <w:tcPr>
            <w:tcW w:w="575" w:type="dxa"/>
            <w:tcBorders>
              <w:top w:val="single" w:color="000000" w:sz="4" w:space="0"/>
              <w:left w:val="single" w:color="000000" w:sz="4" w:space="0"/>
              <w:bottom w:val="single" w:color="000000" w:sz="4" w:space="0"/>
            </w:tcBorders>
            <w:shd w:val="clear" w:color="auto" w:fill="auto"/>
          </w:tcPr>
          <w:p>
            <w:pPr>
              <w:pStyle w:val="32"/>
              <w:widowControl w:val="0"/>
              <w:numPr>
                <w:ilvl w:val="0"/>
                <w:numId w:val="7"/>
              </w:numPr>
              <w:tabs>
                <w:tab w:val="left" w:pos="180"/>
              </w:tabs>
              <w:snapToGrid w:val="0"/>
              <w:jc w:val="center"/>
              <w:rPr>
                <w:sz w:val="22"/>
                <w:szCs w:val="22"/>
              </w:rPr>
            </w:pPr>
          </w:p>
        </w:tc>
        <w:tc>
          <w:tcPr>
            <w:tcW w:w="4496" w:type="dxa"/>
            <w:tcBorders>
              <w:top w:val="single" w:color="000000" w:sz="4" w:space="0"/>
              <w:left w:val="single" w:color="000000" w:sz="4" w:space="0"/>
              <w:bottom w:val="single" w:color="000000" w:sz="4" w:space="0"/>
            </w:tcBorders>
            <w:shd w:val="clear" w:color="auto" w:fill="auto"/>
          </w:tcPr>
          <w:p>
            <w:pPr>
              <w:rPr>
                <w:b/>
                <w:sz w:val="22"/>
                <w:szCs w:val="22"/>
              </w:rPr>
            </w:pPr>
            <w:r>
              <w:rPr>
                <w:b/>
                <w:sz w:val="22"/>
                <w:szCs w:val="22"/>
              </w:rPr>
              <w:t>Размер обеспечения заявок на участие в аукционе в электронной форме, срок и порядок его предоставления участником закупки и возврата Заказчиком, в случае, если Заказчиком установлено требование обеспечения заявок на участие в аукционе в электронной форме, а также условия банковской гарантии</w:t>
            </w:r>
          </w:p>
        </w:tc>
        <w:tc>
          <w:tcPr>
            <w:tcW w:w="5450" w:type="dxa"/>
            <w:tcBorders>
              <w:top w:val="single" w:color="000000" w:sz="4" w:space="0"/>
              <w:left w:val="single" w:color="000000" w:sz="4" w:space="0"/>
              <w:bottom w:val="single" w:color="000000" w:sz="4" w:space="0"/>
              <w:right w:val="single" w:color="000000" w:sz="4" w:space="0"/>
            </w:tcBorders>
            <w:shd w:val="clear" w:color="auto" w:fill="auto"/>
          </w:tcPr>
          <w:p>
            <w:pPr>
              <w:jc w:val="both"/>
              <w:rPr>
                <w:b/>
                <w:bCs/>
                <w:iCs/>
                <w:sz w:val="22"/>
                <w:szCs w:val="22"/>
              </w:rPr>
            </w:pPr>
            <w:r>
              <w:rPr>
                <w:sz w:val="22"/>
                <w:szCs w:val="22"/>
              </w:rPr>
              <w:t xml:space="preserve">Обеспечение заявки не установлено </w:t>
            </w:r>
          </w:p>
        </w:tc>
      </w:tr>
      <w:tr>
        <w:tblPrEx>
          <w:tblCellMar>
            <w:top w:w="0" w:type="dxa"/>
            <w:left w:w="108" w:type="dxa"/>
            <w:bottom w:w="0" w:type="dxa"/>
            <w:right w:w="108" w:type="dxa"/>
          </w:tblCellMar>
        </w:tblPrEx>
        <w:tc>
          <w:tcPr>
            <w:tcW w:w="575" w:type="dxa"/>
            <w:tcBorders>
              <w:top w:val="single" w:color="000000" w:sz="4" w:space="0"/>
              <w:left w:val="single" w:color="000000" w:sz="4" w:space="0"/>
              <w:bottom w:val="single" w:color="000000" w:sz="4" w:space="0"/>
            </w:tcBorders>
            <w:shd w:val="clear" w:color="auto" w:fill="auto"/>
          </w:tcPr>
          <w:p>
            <w:pPr>
              <w:pStyle w:val="32"/>
              <w:widowControl w:val="0"/>
              <w:numPr>
                <w:ilvl w:val="0"/>
                <w:numId w:val="7"/>
              </w:numPr>
              <w:tabs>
                <w:tab w:val="left" w:pos="180"/>
              </w:tabs>
              <w:snapToGrid w:val="0"/>
              <w:jc w:val="center"/>
              <w:rPr>
                <w:sz w:val="22"/>
                <w:szCs w:val="22"/>
              </w:rPr>
            </w:pPr>
          </w:p>
        </w:tc>
        <w:tc>
          <w:tcPr>
            <w:tcW w:w="4496" w:type="dxa"/>
            <w:tcBorders>
              <w:top w:val="single" w:color="000000" w:sz="4" w:space="0"/>
              <w:left w:val="single" w:color="000000" w:sz="4" w:space="0"/>
              <w:bottom w:val="single" w:color="000000" w:sz="4" w:space="0"/>
            </w:tcBorders>
            <w:shd w:val="clear" w:color="auto" w:fill="auto"/>
          </w:tcPr>
          <w:p>
            <w:pPr>
              <w:rPr>
                <w:sz w:val="22"/>
                <w:szCs w:val="22"/>
              </w:rPr>
            </w:pPr>
            <w:r>
              <w:rPr>
                <w:b/>
                <w:sz w:val="22"/>
                <w:szCs w:val="22"/>
              </w:rPr>
              <w:t>Размер обеспечения исполнения договора, срок и порядок его предоставления его лицом, с которым заключается договор, срок и порядок его возврата Заказчиком, в случае, если Заказчиком установлено требование обеспечения исполнения договора, а также условия банковской гарантии</w:t>
            </w:r>
          </w:p>
        </w:tc>
        <w:tc>
          <w:tcPr>
            <w:tcW w:w="5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b/>
                <w:bCs/>
                <w:iCs/>
                <w:sz w:val="22"/>
                <w:szCs w:val="22"/>
              </w:rPr>
            </w:pPr>
            <w:r>
              <w:rPr>
                <w:sz w:val="22"/>
                <w:szCs w:val="22"/>
              </w:rPr>
              <w:t>Обеспечение исполнения договора не установлено</w:t>
            </w:r>
          </w:p>
        </w:tc>
      </w:tr>
      <w:tr>
        <w:tblPrEx>
          <w:tblCellMar>
            <w:top w:w="0" w:type="dxa"/>
            <w:left w:w="108" w:type="dxa"/>
            <w:bottom w:w="0" w:type="dxa"/>
            <w:right w:w="108" w:type="dxa"/>
          </w:tblCellMar>
        </w:tblPrEx>
        <w:tc>
          <w:tcPr>
            <w:tcW w:w="575" w:type="dxa"/>
            <w:tcBorders>
              <w:top w:val="single" w:color="000000" w:sz="4" w:space="0"/>
              <w:left w:val="single" w:color="000000" w:sz="4" w:space="0"/>
              <w:bottom w:val="single" w:color="000000" w:sz="4" w:space="0"/>
            </w:tcBorders>
            <w:shd w:val="clear" w:color="auto" w:fill="auto"/>
          </w:tcPr>
          <w:p>
            <w:pPr>
              <w:pStyle w:val="345"/>
              <w:widowControl w:val="0"/>
              <w:numPr>
                <w:ilvl w:val="0"/>
                <w:numId w:val="7"/>
              </w:numPr>
              <w:snapToGrid w:val="0"/>
              <w:jc w:val="center"/>
              <w:rPr>
                <w:sz w:val="22"/>
                <w:szCs w:val="22"/>
              </w:rPr>
            </w:pPr>
          </w:p>
        </w:tc>
        <w:tc>
          <w:tcPr>
            <w:tcW w:w="4496" w:type="dxa"/>
            <w:tcBorders>
              <w:top w:val="single" w:color="000000" w:sz="4" w:space="0"/>
              <w:left w:val="single" w:color="000000" w:sz="4" w:space="0"/>
              <w:bottom w:val="single" w:color="000000" w:sz="4" w:space="0"/>
            </w:tcBorders>
            <w:shd w:val="clear" w:color="auto" w:fill="auto"/>
          </w:tcPr>
          <w:p>
            <w:pPr>
              <w:jc w:val="both"/>
              <w:rPr>
                <w:sz w:val="22"/>
                <w:szCs w:val="22"/>
              </w:rPr>
            </w:pPr>
            <w:r>
              <w:rPr>
                <w:b/>
                <w:sz w:val="22"/>
                <w:szCs w:val="22"/>
              </w:rPr>
              <w:t>Требования к качеству, техническим характеристикам товаров, требования к их безопасности, требования к функциональным характеристикам (потребительским свойствам) товаров, требования к размерам, упаковке, отгрузке товаров и иные показатели, связанные с определением соответствия поставляемого товара, потребностям Заказчика</w:t>
            </w:r>
          </w:p>
        </w:tc>
        <w:tc>
          <w:tcPr>
            <w:tcW w:w="5450" w:type="dxa"/>
            <w:tcBorders>
              <w:top w:val="single" w:color="000000" w:sz="4" w:space="0"/>
              <w:left w:val="single" w:color="000000" w:sz="4" w:space="0"/>
              <w:bottom w:val="single" w:color="000000" w:sz="4" w:space="0"/>
              <w:right w:val="single" w:color="000000" w:sz="4" w:space="0"/>
            </w:tcBorders>
            <w:shd w:val="clear" w:color="auto" w:fill="auto"/>
          </w:tcPr>
          <w:p>
            <w:pPr>
              <w:jc w:val="both"/>
              <w:rPr>
                <w:color w:val="000000"/>
                <w:sz w:val="22"/>
                <w:szCs w:val="22"/>
              </w:rPr>
            </w:pPr>
            <w:r>
              <w:rPr>
                <w:sz w:val="22"/>
                <w:szCs w:val="22"/>
              </w:rPr>
              <w:t xml:space="preserve">поставка дизельного топлива </w:t>
            </w:r>
            <w:r>
              <w:rPr>
                <w:color w:val="000000"/>
                <w:sz w:val="22"/>
                <w:szCs w:val="22"/>
              </w:rPr>
              <w:t xml:space="preserve">для нужд </w:t>
            </w:r>
            <w:r>
              <w:rPr>
                <w:sz w:val="22"/>
                <w:szCs w:val="22"/>
              </w:rPr>
              <w:t>Заказчика осуществляется</w:t>
            </w:r>
            <w:r>
              <w:rPr>
                <w:color w:val="000000"/>
                <w:sz w:val="22"/>
                <w:szCs w:val="22"/>
              </w:rPr>
              <w:t xml:space="preserve"> </w:t>
            </w:r>
            <w:r>
              <w:rPr>
                <w:sz w:val="22"/>
                <w:szCs w:val="22"/>
              </w:rPr>
              <w:t>в соответствии с Техническим заданием и проектом договора.</w:t>
            </w:r>
          </w:p>
          <w:p>
            <w:pPr>
              <w:keepLines/>
              <w:widowControl w:val="0"/>
              <w:suppressLineNumbers/>
              <w:ind w:right="72"/>
              <w:jc w:val="both"/>
              <w:rPr>
                <w:sz w:val="22"/>
                <w:szCs w:val="22"/>
              </w:rPr>
            </w:pPr>
            <w:r>
              <w:rPr>
                <w:color w:val="000000"/>
                <w:sz w:val="22"/>
                <w:szCs w:val="22"/>
              </w:rPr>
              <w:t xml:space="preserve">Требования к товарам и иные условия поставки товаров представлены в технической части настоящей документации об аукционе </w:t>
            </w:r>
            <w:r>
              <w:fldChar w:fldCharType="begin"/>
            </w:r>
            <w:r>
              <w:instrText xml:space="preserve"> HYPERLINK \l "_ЧАСТЬ_II._ПРОЕКТ_ГОСУДАРСТВЕННОГО К" </w:instrText>
            </w:r>
            <w:r>
              <w:fldChar w:fldCharType="separate"/>
            </w:r>
            <w:r>
              <w:rPr>
                <w:rStyle w:val="17"/>
                <w:color w:val="000000"/>
                <w:sz w:val="22"/>
                <w:szCs w:val="22"/>
              </w:rPr>
              <w:t>(Техническое задание) и проекте договора.</w:t>
            </w:r>
            <w:r>
              <w:rPr>
                <w:rStyle w:val="17"/>
                <w:color w:val="000000"/>
                <w:sz w:val="22"/>
                <w:szCs w:val="22"/>
              </w:rPr>
              <w:fldChar w:fldCharType="end"/>
            </w:r>
          </w:p>
          <w:p>
            <w:pPr>
              <w:pStyle w:val="38"/>
              <w:widowControl w:val="0"/>
              <w:shd w:val="clear" w:color="auto" w:fill="FFFFFF"/>
              <w:autoSpaceDE w:val="0"/>
              <w:spacing w:after="0"/>
              <w:ind w:left="0"/>
              <w:jc w:val="both"/>
              <w:rPr>
                <w:sz w:val="22"/>
                <w:szCs w:val="22"/>
              </w:rPr>
            </w:pPr>
            <w:r>
              <w:rPr>
                <w:sz w:val="22"/>
                <w:szCs w:val="22"/>
              </w:rPr>
              <w:t>Поставщик при поставке товаров должен предоставить все необходимые документы, подтверждающие соответствие товаров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(сертификаты и/или аналогичные документы).</w:t>
            </w:r>
          </w:p>
        </w:tc>
      </w:tr>
      <w:tr>
        <w:tblPrEx>
          <w:tblCellMar>
            <w:top w:w="0" w:type="dxa"/>
            <w:left w:w="108" w:type="dxa"/>
            <w:bottom w:w="0" w:type="dxa"/>
            <w:right w:w="108" w:type="dxa"/>
          </w:tblCellMar>
        </w:tblPrEx>
        <w:tc>
          <w:tcPr>
            <w:tcW w:w="575" w:type="dxa"/>
            <w:tcBorders>
              <w:top w:val="single" w:color="000000" w:sz="4" w:space="0"/>
              <w:left w:val="single" w:color="000000" w:sz="4" w:space="0"/>
              <w:bottom w:val="single" w:color="000000" w:sz="4" w:space="0"/>
            </w:tcBorders>
            <w:shd w:val="clear" w:color="auto" w:fill="auto"/>
          </w:tcPr>
          <w:p>
            <w:pPr>
              <w:pStyle w:val="345"/>
              <w:widowControl w:val="0"/>
              <w:numPr>
                <w:ilvl w:val="0"/>
                <w:numId w:val="7"/>
              </w:numPr>
              <w:snapToGrid w:val="0"/>
              <w:jc w:val="center"/>
              <w:rPr>
                <w:sz w:val="22"/>
                <w:szCs w:val="22"/>
              </w:rPr>
            </w:pPr>
          </w:p>
        </w:tc>
        <w:tc>
          <w:tcPr>
            <w:tcW w:w="4496" w:type="dxa"/>
            <w:tcBorders>
              <w:top w:val="single" w:color="000000" w:sz="4" w:space="0"/>
              <w:left w:val="single" w:color="000000" w:sz="4" w:space="0"/>
              <w:bottom w:val="single" w:color="000000" w:sz="4" w:space="0"/>
            </w:tcBorders>
            <w:shd w:val="clear" w:color="auto" w:fill="auto"/>
          </w:tcPr>
          <w:p>
            <w:pPr>
              <w:jc w:val="both"/>
              <w:rPr>
                <w:sz w:val="22"/>
                <w:szCs w:val="22"/>
              </w:rPr>
            </w:pPr>
            <w:r>
              <w:rPr>
                <w:b/>
                <w:sz w:val="22"/>
                <w:szCs w:val="22"/>
              </w:rPr>
              <w:t xml:space="preserve">Возможность изменения договора. </w:t>
            </w:r>
          </w:p>
        </w:tc>
        <w:tc>
          <w:tcPr>
            <w:tcW w:w="5450"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567"/>
              </w:tabs>
              <w:autoSpaceDE w:val="0"/>
              <w:jc w:val="both"/>
              <w:rPr>
                <w:sz w:val="22"/>
                <w:szCs w:val="22"/>
              </w:rPr>
            </w:pPr>
            <w:r>
              <w:rPr>
                <w:sz w:val="22"/>
                <w:szCs w:val="22"/>
              </w:rPr>
              <w:t>Изменение договора в ходе его исполнения допускается по соглашению сторон, если возможность изменения договора была предусмотрена в документации об осуществлении закупки и проекте договора, в том числе:</w:t>
            </w:r>
          </w:p>
          <w:p>
            <w:pPr>
              <w:tabs>
                <w:tab w:val="left" w:pos="567"/>
              </w:tabs>
              <w:autoSpaceDE w:val="0"/>
              <w:jc w:val="both"/>
              <w:rPr>
                <w:sz w:val="22"/>
                <w:szCs w:val="22"/>
              </w:rPr>
            </w:pPr>
            <w:r>
              <w:rPr>
                <w:sz w:val="22"/>
                <w:szCs w:val="22"/>
              </w:rPr>
              <w:t>- при снижении цены договора без изменения предусмотренных договором количества товаров, объема работ, услуг.</w:t>
            </w:r>
          </w:p>
        </w:tc>
      </w:tr>
      <w:tr>
        <w:tblPrEx>
          <w:tblCellMar>
            <w:top w:w="0" w:type="dxa"/>
            <w:left w:w="108" w:type="dxa"/>
            <w:bottom w:w="0" w:type="dxa"/>
            <w:right w:w="108" w:type="dxa"/>
          </w:tblCellMar>
        </w:tblPrEx>
        <w:tc>
          <w:tcPr>
            <w:tcW w:w="575" w:type="dxa"/>
            <w:tcBorders>
              <w:top w:val="single" w:color="000000" w:sz="4" w:space="0"/>
              <w:left w:val="single" w:color="000000" w:sz="4" w:space="0"/>
              <w:bottom w:val="single" w:color="000000" w:sz="4" w:space="0"/>
            </w:tcBorders>
            <w:shd w:val="clear" w:color="auto" w:fill="auto"/>
          </w:tcPr>
          <w:p>
            <w:pPr>
              <w:pStyle w:val="345"/>
              <w:widowControl w:val="0"/>
              <w:numPr>
                <w:ilvl w:val="0"/>
                <w:numId w:val="7"/>
              </w:numPr>
              <w:snapToGrid w:val="0"/>
              <w:jc w:val="center"/>
              <w:rPr>
                <w:sz w:val="22"/>
                <w:szCs w:val="22"/>
              </w:rPr>
            </w:pPr>
          </w:p>
        </w:tc>
        <w:tc>
          <w:tcPr>
            <w:tcW w:w="4496" w:type="dxa"/>
            <w:tcBorders>
              <w:top w:val="single" w:color="000000" w:sz="4" w:space="0"/>
              <w:left w:val="single" w:color="000000" w:sz="4" w:space="0"/>
              <w:bottom w:val="single" w:color="000000" w:sz="4" w:space="0"/>
            </w:tcBorders>
            <w:shd w:val="clear" w:color="auto" w:fill="auto"/>
          </w:tcPr>
          <w:p>
            <w:pPr>
              <w:snapToGrid w:val="0"/>
              <w:jc w:val="both"/>
              <w:rPr>
                <w:sz w:val="22"/>
                <w:szCs w:val="22"/>
              </w:rPr>
            </w:pPr>
            <w:r>
              <w:rPr>
                <w:b/>
                <w:sz w:val="22"/>
                <w:szCs w:val="22"/>
              </w:rPr>
              <w:t>Порядок, даты начала и окончания срока предоставления разъяснений:</w:t>
            </w:r>
          </w:p>
        </w:tc>
        <w:tc>
          <w:tcPr>
            <w:tcW w:w="5450"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2"/>
                <w:szCs w:val="22"/>
              </w:rPr>
            </w:pPr>
            <w:r>
              <w:rPr>
                <w:sz w:val="22"/>
                <w:szCs w:val="22"/>
              </w:rPr>
              <w:t xml:space="preserve">запрос о даче разъяснений положений документации об аукционе может быть направлен с </w:t>
            </w:r>
            <w:r>
              <w:rPr>
                <w:b/>
                <w:sz w:val="22"/>
                <w:szCs w:val="22"/>
              </w:rPr>
              <w:t>28.09.2022 г.</w:t>
            </w:r>
            <w:r>
              <w:rPr>
                <w:sz w:val="22"/>
                <w:szCs w:val="22"/>
              </w:rPr>
              <w:t xml:space="preserve"> по </w:t>
            </w:r>
            <w:r>
              <w:rPr>
                <w:b/>
                <w:sz w:val="22"/>
                <w:szCs w:val="22"/>
              </w:rPr>
              <w:t>10.10.2022 г.</w:t>
            </w:r>
            <w:r>
              <w:rPr>
                <w:sz w:val="22"/>
                <w:szCs w:val="22"/>
              </w:rPr>
              <w:t xml:space="preserve">  включительно.</w:t>
            </w:r>
          </w:p>
          <w:p>
            <w:pPr>
              <w:spacing w:before="220" w:after="1" w:line="220" w:lineRule="atLeast"/>
              <w:jc w:val="both"/>
              <w:rPr>
                <w:sz w:val="22"/>
                <w:szCs w:val="22"/>
              </w:rPr>
            </w:pPr>
            <w:r>
              <w:rPr>
                <w:sz w:val="22"/>
                <w:szCs w:val="22"/>
              </w:rPr>
              <w:t xml:space="preserve">Любой участник конкурентной закупки вправе направить Заказчику запрос о даче разъяснений положений извещения об осуществлении закупки и (или) документации о закупке при осуществлении Заказчиком закупки в электронной форме в порядке, предусмотренном ст. 3.3 Закона </w:t>
            </w:r>
            <w:r>
              <w:rPr>
                <w:sz w:val="22"/>
                <w:szCs w:val="22"/>
                <w:lang w:val="en-US"/>
              </w:rPr>
              <w:t>N</w:t>
            </w:r>
            <w:r>
              <w:rPr>
                <w:sz w:val="22"/>
                <w:szCs w:val="22"/>
              </w:rPr>
              <w:t xml:space="preserve"> 223-ФЗ, в остальных случаях в письменной форме, в том числе в виде электронного документа. В течение трех дней со дня поступления такого запроса Заказчик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Заказчик не может изменять предмет закупки и существенные условия проекта договора.</w:t>
            </w:r>
          </w:p>
          <w:p>
            <w:pPr>
              <w:spacing w:before="220" w:after="1" w:line="220" w:lineRule="atLeast"/>
              <w:jc w:val="both"/>
              <w:rPr>
                <w:sz w:val="22"/>
                <w:szCs w:val="22"/>
              </w:rPr>
            </w:pPr>
            <w:r>
              <w:rPr>
                <w:sz w:val="22"/>
                <w:szCs w:val="22"/>
              </w:rPr>
              <w:t>Заказчик вправе не давать разъяснений положений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tc>
      </w:tr>
      <w:tr>
        <w:tblPrEx>
          <w:tblCellMar>
            <w:top w:w="0" w:type="dxa"/>
            <w:left w:w="108" w:type="dxa"/>
            <w:bottom w:w="0" w:type="dxa"/>
            <w:right w:w="108" w:type="dxa"/>
          </w:tblCellMar>
        </w:tblPrEx>
        <w:tc>
          <w:tcPr>
            <w:tcW w:w="575" w:type="dxa"/>
            <w:tcBorders>
              <w:top w:val="single" w:color="000000" w:sz="4" w:space="0"/>
              <w:left w:val="single" w:color="000000" w:sz="4" w:space="0"/>
              <w:bottom w:val="single" w:color="000000" w:sz="4" w:space="0"/>
            </w:tcBorders>
            <w:shd w:val="clear" w:color="auto" w:fill="auto"/>
          </w:tcPr>
          <w:p>
            <w:pPr>
              <w:pStyle w:val="32"/>
              <w:widowControl w:val="0"/>
              <w:numPr>
                <w:ilvl w:val="0"/>
                <w:numId w:val="7"/>
              </w:numPr>
              <w:snapToGrid w:val="0"/>
              <w:jc w:val="center"/>
              <w:rPr>
                <w:sz w:val="22"/>
                <w:szCs w:val="22"/>
              </w:rPr>
            </w:pPr>
          </w:p>
        </w:tc>
        <w:tc>
          <w:tcPr>
            <w:tcW w:w="4496" w:type="dxa"/>
            <w:tcBorders>
              <w:top w:val="single" w:color="000000" w:sz="4" w:space="0"/>
              <w:left w:val="single" w:color="000000" w:sz="4" w:space="0"/>
              <w:bottom w:val="single" w:color="000000" w:sz="4" w:space="0"/>
            </w:tcBorders>
            <w:shd w:val="clear" w:color="auto" w:fill="auto"/>
          </w:tcPr>
          <w:p>
            <w:pPr>
              <w:jc w:val="both"/>
              <w:rPr>
                <w:sz w:val="22"/>
                <w:szCs w:val="22"/>
              </w:rPr>
            </w:pPr>
            <w:r>
              <w:rPr>
                <w:b/>
                <w:sz w:val="22"/>
                <w:szCs w:val="22"/>
              </w:rPr>
              <w:t>Требования к сроку и объему предоставления гарантий качества товаров</w:t>
            </w:r>
          </w:p>
        </w:tc>
        <w:tc>
          <w:tcPr>
            <w:tcW w:w="5450"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2"/>
                <w:szCs w:val="22"/>
              </w:rPr>
            </w:pPr>
            <w:r>
              <w:rPr>
                <w:sz w:val="22"/>
                <w:szCs w:val="22"/>
              </w:rPr>
              <w:t>в соответствии с проектом договора и Техническим заданием.</w:t>
            </w:r>
          </w:p>
        </w:tc>
      </w:tr>
      <w:tr>
        <w:tblPrEx>
          <w:tblCellMar>
            <w:top w:w="0" w:type="dxa"/>
            <w:left w:w="108" w:type="dxa"/>
            <w:bottom w:w="0" w:type="dxa"/>
            <w:right w:w="108" w:type="dxa"/>
          </w:tblCellMar>
        </w:tblPrEx>
        <w:tc>
          <w:tcPr>
            <w:tcW w:w="575" w:type="dxa"/>
            <w:tcBorders>
              <w:top w:val="single" w:color="000000" w:sz="4" w:space="0"/>
              <w:left w:val="single" w:color="000000" w:sz="4" w:space="0"/>
              <w:bottom w:val="single" w:color="000000" w:sz="4" w:space="0"/>
            </w:tcBorders>
            <w:shd w:val="clear" w:color="auto" w:fill="auto"/>
          </w:tcPr>
          <w:p>
            <w:pPr>
              <w:pStyle w:val="345"/>
              <w:widowControl w:val="0"/>
              <w:numPr>
                <w:ilvl w:val="0"/>
                <w:numId w:val="7"/>
              </w:numPr>
              <w:snapToGrid w:val="0"/>
              <w:jc w:val="center"/>
              <w:rPr>
                <w:sz w:val="22"/>
                <w:szCs w:val="22"/>
              </w:rPr>
            </w:pPr>
          </w:p>
        </w:tc>
        <w:tc>
          <w:tcPr>
            <w:tcW w:w="4496" w:type="dxa"/>
            <w:tcBorders>
              <w:top w:val="single" w:color="000000" w:sz="4" w:space="0"/>
              <w:left w:val="single" w:color="000000" w:sz="4" w:space="0"/>
              <w:bottom w:val="single" w:color="000000" w:sz="4" w:space="0"/>
            </w:tcBorders>
            <w:shd w:val="clear" w:color="auto" w:fill="auto"/>
          </w:tcPr>
          <w:p>
            <w:pPr>
              <w:jc w:val="both"/>
              <w:rPr>
                <w:sz w:val="22"/>
                <w:szCs w:val="22"/>
              </w:rPr>
            </w:pPr>
            <w:r>
              <w:rPr>
                <w:b/>
                <w:sz w:val="22"/>
                <w:szCs w:val="22"/>
              </w:rPr>
              <w:t>Место, условия и сроки (периоды) поставки товаров и соответствующее количество поставляемых товаров</w:t>
            </w:r>
          </w:p>
        </w:tc>
        <w:tc>
          <w:tcPr>
            <w:tcW w:w="5450" w:type="dxa"/>
            <w:tcBorders>
              <w:top w:val="single" w:color="000000" w:sz="4" w:space="0"/>
              <w:left w:val="single" w:color="000000" w:sz="4" w:space="0"/>
              <w:bottom w:val="single" w:color="000000" w:sz="4" w:space="0"/>
              <w:right w:val="single" w:color="000000" w:sz="4" w:space="0"/>
            </w:tcBorders>
            <w:shd w:val="clear" w:color="auto" w:fill="auto"/>
          </w:tcPr>
          <w:p>
            <w:pPr>
              <w:jc w:val="both"/>
              <w:rPr>
                <w:b/>
                <w:color w:val="000000"/>
                <w:sz w:val="22"/>
                <w:szCs w:val="22"/>
                <w:u w:val="single"/>
              </w:rPr>
            </w:pPr>
            <w:r>
              <w:rPr>
                <w:sz w:val="22"/>
                <w:szCs w:val="22"/>
              </w:rPr>
              <w:t>в соответствии с проектом договора и Техническим заданием.</w:t>
            </w:r>
          </w:p>
          <w:p>
            <w:pPr>
              <w:jc w:val="both"/>
              <w:rPr>
                <w:b/>
                <w:sz w:val="22"/>
                <w:szCs w:val="22"/>
                <w:u w:val="single"/>
              </w:rPr>
            </w:pPr>
            <w:r>
              <w:rPr>
                <w:b/>
                <w:color w:val="000000"/>
                <w:sz w:val="22"/>
                <w:szCs w:val="22"/>
                <w:u w:val="single"/>
              </w:rPr>
              <w:t>Место поставки</w:t>
            </w:r>
            <w:r>
              <w:rPr>
                <w:b/>
                <w:i/>
                <w:color w:val="000000"/>
                <w:sz w:val="22"/>
                <w:szCs w:val="22"/>
                <w:u w:val="single"/>
              </w:rPr>
              <w:t>:</w:t>
            </w:r>
            <w:r>
              <w:rPr>
                <w:sz w:val="22"/>
                <w:szCs w:val="22"/>
              </w:rPr>
              <w:t xml:space="preserve"> в соответствии с Техническим заданием. </w:t>
            </w:r>
            <w:r>
              <w:rPr>
                <w:bCs/>
                <w:sz w:val="22"/>
                <w:szCs w:val="22"/>
              </w:rPr>
              <w:t>Заказчик получает топливные карты на автомобильное топливо по месту фактического нахождения Поставщика (</w:t>
            </w:r>
            <w:r>
              <w:rPr>
                <w:bCs/>
                <w:i/>
                <w:sz w:val="22"/>
                <w:szCs w:val="22"/>
              </w:rPr>
              <w:t>лица, с которым заключен договора по результатам проведения аукциона)</w:t>
            </w:r>
            <w:r>
              <w:rPr>
                <w:bCs/>
                <w:sz w:val="22"/>
                <w:szCs w:val="22"/>
              </w:rPr>
              <w:t xml:space="preserve"> или его обособленного подразделения.</w:t>
            </w:r>
          </w:p>
          <w:p>
            <w:pPr>
              <w:jc w:val="both"/>
              <w:rPr>
                <w:sz w:val="22"/>
                <w:szCs w:val="22"/>
              </w:rPr>
            </w:pPr>
            <w:bookmarkStart w:id="8" w:name="_Hlk523235840"/>
            <w:r>
              <w:rPr>
                <w:b/>
                <w:sz w:val="22"/>
                <w:szCs w:val="22"/>
                <w:u w:val="single"/>
              </w:rPr>
              <w:t>Срок поставки:</w:t>
            </w:r>
            <w:r>
              <w:rPr>
                <w:b/>
                <w:i/>
                <w:sz w:val="22"/>
                <w:szCs w:val="22"/>
              </w:rPr>
              <w:t xml:space="preserve"> </w:t>
            </w:r>
            <w:bookmarkEnd w:id="8"/>
            <w:r>
              <w:rPr>
                <w:sz w:val="22"/>
                <w:szCs w:val="22"/>
              </w:rPr>
              <w:t>топливные карты с указанным в настоящем техническом задании лимитом предоставляются Поставщиком в течение трех рабочих дней с момента поступления заявки от Заказчика. Автомобильное топливо незамедлительно и круглосуточно (кроме технических перерывов) предоставляется по топливным картам на АЗС Поставщика. Поставка дизельного топлива осуществляется путем его выборки Заказчиком с даты заключения договора по 31.03.2023 г.</w:t>
            </w:r>
          </w:p>
        </w:tc>
      </w:tr>
      <w:tr>
        <w:tblPrEx>
          <w:tblCellMar>
            <w:top w:w="0" w:type="dxa"/>
            <w:left w:w="108" w:type="dxa"/>
            <w:bottom w:w="0" w:type="dxa"/>
            <w:right w:w="108" w:type="dxa"/>
          </w:tblCellMar>
        </w:tblPrEx>
        <w:tc>
          <w:tcPr>
            <w:tcW w:w="575" w:type="dxa"/>
            <w:tcBorders>
              <w:top w:val="single" w:color="000000" w:sz="4" w:space="0"/>
              <w:left w:val="single" w:color="000000" w:sz="4" w:space="0"/>
              <w:bottom w:val="single" w:color="000000" w:sz="4" w:space="0"/>
            </w:tcBorders>
            <w:shd w:val="clear" w:color="auto" w:fill="auto"/>
          </w:tcPr>
          <w:p>
            <w:pPr>
              <w:pStyle w:val="32"/>
              <w:widowControl w:val="0"/>
              <w:numPr>
                <w:ilvl w:val="0"/>
                <w:numId w:val="7"/>
              </w:numPr>
              <w:snapToGrid w:val="0"/>
              <w:jc w:val="center"/>
              <w:rPr>
                <w:sz w:val="22"/>
                <w:szCs w:val="22"/>
              </w:rPr>
            </w:pPr>
          </w:p>
        </w:tc>
        <w:tc>
          <w:tcPr>
            <w:tcW w:w="4496" w:type="dxa"/>
            <w:tcBorders>
              <w:top w:val="single" w:color="000000" w:sz="4" w:space="0"/>
              <w:left w:val="single" w:color="000000" w:sz="4" w:space="0"/>
              <w:bottom w:val="single" w:color="000000" w:sz="4" w:space="0"/>
            </w:tcBorders>
            <w:shd w:val="clear" w:color="auto" w:fill="auto"/>
          </w:tcPr>
          <w:p>
            <w:pPr>
              <w:jc w:val="both"/>
              <w:rPr>
                <w:sz w:val="22"/>
                <w:szCs w:val="22"/>
              </w:rPr>
            </w:pPr>
            <w:r>
              <w:rPr>
                <w:b/>
                <w:sz w:val="22"/>
                <w:szCs w:val="22"/>
              </w:rPr>
              <w:t>Форма, сроки и порядок оплаты товаров</w:t>
            </w:r>
          </w:p>
        </w:tc>
        <w:tc>
          <w:tcPr>
            <w:tcW w:w="5450"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2"/>
                <w:szCs w:val="22"/>
                <w:lang w:eastAsia="ar-SA"/>
              </w:rPr>
            </w:pPr>
            <w:r>
              <w:rPr>
                <w:sz w:val="22"/>
                <w:szCs w:val="22"/>
              </w:rPr>
              <w:t>в соответствии с проектом договора.</w:t>
            </w:r>
          </w:p>
        </w:tc>
      </w:tr>
      <w:tr>
        <w:tblPrEx>
          <w:tblCellMar>
            <w:top w:w="0" w:type="dxa"/>
            <w:left w:w="108" w:type="dxa"/>
            <w:bottom w:w="0" w:type="dxa"/>
            <w:right w:w="108" w:type="dxa"/>
          </w:tblCellMar>
        </w:tblPrEx>
        <w:tc>
          <w:tcPr>
            <w:tcW w:w="575" w:type="dxa"/>
            <w:tcBorders>
              <w:top w:val="single" w:color="000000" w:sz="4" w:space="0"/>
              <w:left w:val="single" w:color="000000" w:sz="4" w:space="0"/>
              <w:bottom w:val="single" w:color="000000" w:sz="4" w:space="0"/>
            </w:tcBorders>
            <w:shd w:val="clear" w:color="auto" w:fill="auto"/>
          </w:tcPr>
          <w:p>
            <w:pPr>
              <w:pStyle w:val="32"/>
              <w:widowControl w:val="0"/>
              <w:numPr>
                <w:ilvl w:val="0"/>
                <w:numId w:val="7"/>
              </w:numPr>
              <w:snapToGrid w:val="0"/>
              <w:jc w:val="center"/>
              <w:rPr>
                <w:sz w:val="22"/>
                <w:szCs w:val="22"/>
              </w:rPr>
            </w:pPr>
          </w:p>
        </w:tc>
        <w:tc>
          <w:tcPr>
            <w:tcW w:w="4496" w:type="dxa"/>
            <w:tcBorders>
              <w:top w:val="single" w:color="000000" w:sz="4" w:space="0"/>
              <w:left w:val="single" w:color="000000" w:sz="4" w:space="0"/>
              <w:bottom w:val="single" w:color="000000" w:sz="4" w:space="0"/>
            </w:tcBorders>
            <w:shd w:val="clear" w:color="auto" w:fill="auto"/>
          </w:tcPr>
          <w:p>
            <w:pPr>
              <w:jc w:val="both"/>
              <w:rPr>
                <w:b/>
                <w:sz w:val="22"/>
                <w:szCs w:val="22"/>
              </w:rPr>
            </w:pPr>
            <w:r>
              <w:rPr>
                <w:b/>
                <w:sz w:val="22"/>
                <w:szCs w:val="22"/>
              </w:rPr>
              <w:t>Порядок подачи участниками закупки ценовых предложений, в том числе «шаг аукциона», условия выбора победителя аукциона</w:t>
            </w:r>
          </w:p>
        </w:tc>
        <w:tc>
          <w:tcPr>
            <w:tcW w:w="5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sz w:val="22"/>
                <w:szCs w:val="22"/>
              </w:rPr>
            </w:pPr>
            <w:r>
              <w:rPr>
                <w:sz w:val="22"/>
                <w:szCs w:val="22"/>
              </w:rPr>
              <w:t xml:space="preserve">Проведение аукциона в электронной форме (электронного аукциона) обеспечивается оператором электронной площадки на сайте в информационно-телекоммуникационной сети «Интернет» в указанный в извещении и документации о закупке день. Правила и процедуры проведения закупки с использованием электронной торговой площадки устанавливаются регламентом работы электронной торговой площадки и соглашением, заключенным между Заказчиком и оператором электронной торговой площадки, и документацией об аукционе с учетом Положения о закупке. </w:t>
            </w:r>
            <w:r>
              <w:rPr>
                <w:rFonts w:eastAsia="Calibri"/>
                <w:bCs/>
                <w:sz w:val="22"/>
                <w:szCs w:val="22"/>
              </w:rPr>
              <w:t>Электронный аукцион проводится путем снижения начальной (максимальной) цены договора, указанной в извещении о проведении такого аукциона, в порядке, установленном регламентом электронной площадки.</w:t>
            </w:r>
          </w:p>
          <w:p>
            <w:pPr>
              <w:tabs>
                <w:tab w:val="left" w:pos="106"/>
              </w:tabs>
              <w:autoSpaceDE w:val="0"/>
              <w:autoSpaceDN w:val="0"/>
              <w:adjustRightInd w:val="0"/>
              <w:jc w:val="both"/>
              <w:rPr>
                <w:sz w:val="22"/>
                <w:szCs w:val="22"/>
              </w:rPr>
            </w:pPr>
            <w:r>
              <w:rPr>
                <w:sz w:val="22"/>
                <w:szCs w:val="22"/>
              </w:rPr>
              <w:t>Аукцион в электронной форме включает в себя торг, осуществляемый путем подачи его участниками предложений о цене договора (ценовое предложение) с учетом следующих требований:</w:t>
            </w:r>
          </w:p>
          <w:p>
            <w:pPr>
              <w:tabs>
                <w:tab w:val="left" w:pos="106"/>
              </w:tabs>
              <w:autoSpaceDE w:val="0"/>
              <w:autoSpaceDN w:val="0"/>
              <w:adjustRightInd w:val="0"/>
              <w:jc w:val="both"/>
              <w:rPr>
                <w:sz w:val="22"/>
                <w:szCs w:val="22"/>
              </w:rPr>
            </w:pPr>
            <w:r>
              <w:rPr>
                <w:sz w:val="22"/>
                <w:szCs w:val="22"/>
              </w:rPr>
              <w:t>1) «шаг аукциона» составляет от 0,5 процента до пяти процентов начальной (максимальной) цены договора;</w:t>
            </w:r>
          </w:p>
          <w:p>
            <w:pPr>
              <w:tabs>
                <w:tab w:val="left" w:pos="106"/>
              </w:tabs>
              <w:autoSpaceDE w:val="0"/>
              <w:autoSpaceDN w:val="0"/>
              <w:adjustRightInd w:val="0"/>
              <w:jc w:val="both"/>
              <w:rPr>
                <w:sz w:val="22"/>
                <w:szCs w:val="22"/>
              </w:rPr>
            </w:pPr>
            <w:r>
              <w:rPr>
                <w:sz w:val="22"/>
                <w:szCs w:val="22"/>
              </w:rPr>
              <w:t>2) снижение текущего минимального предложения о цене договора осуществляется на величину в пределах «шага аукциона»;</w:t>
            </w:r>
          </w:p>
          <w:p>
            <w:pPr>
              <w:tabs>
                <w:tab w:val="left" w:pos="106"/>
              </w:tabs>
              <w:autoSpaceDE w:val="0"/>
              <w:autoSpaceDN w:val="0"/>
              <w:adjustRightInd w:val="0"/>
              <w:jc w:val="both"/>
              <w:rPr>
                <w:sz w:val="22"/>
                <w:szCs w:val="22"/>
              </w:rPr>
            </w:pPr>
            <w:r>
              <w:rPr>
                <w:sz w:val="22"/>
                <w:szCs w:val="22"/>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pPr>
              <w:tabs>
                <w:tab w:val="left" w:pos="106"/>
              </w:tabs>
              <w:autoSpaceDE w:val="0"/>
              <w:autoSpaceDN w:val="0"/>
              <w:adjustRightInd w:val="0"/>
              <w:jc w:val="both"/>
              <w:rPr>
                <w:sz w:val="22"/>
                <w:szCs w:val="22"/>
              </w:rPr>
            </w:pPr>
            <w:r>
              <w:rPr>
                <w:sz w:val="22"/>
                <w:szCs w:val="22"/>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pPr>
              <w:tabs>
                <w:tab w:val="left" w:pos="106"/>
              </w:tabs>
              <w:autoSpaceDE w:val="0"/>
              <w:autoSpaceDN w:val="0"/>
              <w:adjustRightInd w:val="0"/>
              <w:jc w:val="both"/>
              <w:rPr>
                <w:sz w:val="22"/>
                <w:szCs w:val="22"/>
              </w:rPr>
            </w:pPr>
            <w:r>
              <w:rPr>
                <w:sz w:val="22"/>
                <w:szCs w:val="22"/>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pPr>
              <w:tabs>
                <w:tab w:val="left" w:pos="106"/>
              </w:tabs>
              <w:autoSpaceDE w:val="0"/>
              <w:autoSpaceDN w:val="0"/>
              <w:adjustRightInd w:val="0"/>
              <w:jc w:val="both"/>
              <w:rPr>
                <w:sz w:val="22"/>
                <w:szCs w:val="22"/>
              </w:rPr>
            </w:pPr>
            <w:r>
              <w:rPr>
                <w:sz w:val="22"/>
                <w:szCs w:val="22"/>
              </w:rPr>
              <w:t>Договор заключается по начальной (максимальной) цене договора или по цене, согласованной с участником закупки и не превышающей начальной (максимальной) цены Договора, с участником закупки, заявка которого подана:</w:t>
            </w:r>
          </w:p>
          <w:p>
            <w:pPr>
              <w:tabs>
                <w:tab w:val="left" w:pos="106"/>
              </w:tabs>
              <w:autoSpaceDE w:val="0"/>
              <w:autoSpaceDN w:val="0"/>
              <w:adjustRightInd w:val="0"/>
              <w:jc w:val="both"/>
              <w:rPr>
                <w:sz w:val="22"/>
                <w:szCs w:val="22"/>
              </w:rPr>
            </w:pPr>
            <w:r>
              <w:rPr>
                <w:sz w:val="22"/>
                <w:szCs w:val="22"/>
              </w:rPr>
              <w:t>а) ранее других заявок на участие в аукционе в электронной форме, если несколько участников такого аукциона и поданные ими заявки признаны соответствующими требованиям документации о закупке;</w:t>
            </w:r>
          </w:p>
          <w:p>
            <w:pPr>
              <w:tabs>
                <w:tab w:val="left" w:pos="106"/>
              </w:tabs>
              <w:autoSpaceDE w:val="0"/>
              <w:autoSpaceDN w:val="0"/>
              <w:adjustRightInd w:val="0"/>
              <w:jc w:val="both"/>
              <w:rPr>
                <w:sz w:val="22"/>
                <w:szCs w:val="22"/>
              </w:rPr>
            </w:pPr>
            <w:r>
              <w:rPr>
                <w:sz w:val="22"/>
                <w:szCs w:val="22"/>
              </w:rPr>
              <w:t>б) единственным участником такого аукциона, если только один участник такого аукциона и поданная им заявка признаны соответствующими требованиям документации о закупке.</w:t>
            </w:r>
          </w:p>
          <w:p>
            <w:pPr>
              <w:tabs>
                <w:tab w:val="left" w:pos="106"/>
                <w:tab w:val="left" w:pos="540"/>
                <w:tab w:val="left" w:pos="900"/>
                <w:tab w:val="left" w:pos="1701"/>
              </w:tabs>
              <w:jc w:val="both"/>
              <w:rPr>
                <w:sz w:val="22"/>
                <w:szCs w:val="22"/>
              </w:rPr>
            </w:pPr>
            <w:r>
              <w:rPr>
                <w:sz w:val="22"/>
                <w:szCs w:val="22"/>
              </w:rPr>
              <w:t>При этом участник закупки признается победителем аукциона и не вправе отказаться от заключения договора.</w:t>
            </w:r>
          </w:p>
          <w:p>
            <w:pPr>
              <w:widowControl w:val="0"/>
              <w:tabs>
                <w:tab w:val="left" w:pos="1276"/>
              </w:tabs>
              <w:jc w:val="both"/>
              <w:rPr>
                <w:sz w:val="22"/>
                <w:szCs w:val="22"/>
              </w:rPr>
            </w:pPr>
            <w:r>
              <w:rPr>
                <w:sz w:val="22"/>
                <w:szCs w:val="22"/>
              </w:rPr>
              <w:t>Победителем аукциона в электронной форме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или в случае, если при проведении аукциона в электронной форме цена договора снижена до нуля и аукцион в электронной форме проводится на право заключить договор, наиболее высокую цену Договора.</w:t>
            </w:r>
          </w:p>
          <w:p>
            <w:pPr>
              <w:tabs>
                <w:tab w:val="left" w:pos="106"/>
                <w:tab w:val="left" w:pos="540"/>
                <w:tab w:val="left" w:pos="900"/>
                <w:tab w:val="left" w:pos="1701"/>
              </w:tabs>
              <w:jc w:val="both"/>
              <w:rPr>
                <w:sz w:val="22"/>
                <w:szCs w:val="22"/>
              </w:rPr>
            </w:pPr>
            <w:r>
              <w:rPr>
                <w:sz w:val="22"/>
                <w:szCs w:val="22"/>
              </w:rPr>
              <w:t xml:space="preserve">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 </w:t>
            </w:r>
          </w:p>
          <w:p>
            <w:pPr>
              <w:jc w:val="both"/>
              <w:rPr>
                <w:sz w:val="22"/>
                <w:szCs w:val="22"/>
              </w:rPr>
            </w:pPr>
            <w:r>
              <w:rPr>
                <w:sz w:val="22"/>
                <w:szCs w:val="22"/>
              </w:rPr>
              <w:t>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 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tc>
      </w:tr>
      <w:tr>
        <w:tblPrEx>
          <w:tblCellMar>
            <w:top w:w="0" w:type="dxa"/>
            <w:left w:w="108" w:type="dxa"/>
            <w:bottom w:w="0" w:type="dxa"/>
            <w:right w:w="108" w:type="dxa"/>
          </w:tblCellMar>
        </w:tblPrEx>
        <w:tc>
          <w:tcPr>
            <w:tcW w:w="575" w:type="dxa"/>
            <w:tcBorders>
              <w:top w:val="single" w:color="000000" w:sz="4" w:space="0"/>
              <w:left w:val="single" w:color="000000" w:sz="4" w:space="0"/>
              <w:bottom w:val="single" w:color="000000" w:sz="4" w:space="0"/>
            </w:tcBorders>
            <w:shd w:val="clear" w:color="auto" w:fill="auto"/>
          </w:tcPr>
          <w:p>
            <w:pPr>
              <w:pStyle w:val="32"/>
              <w:widowControl w:val="0"/>
              <w:numPr>
                <w:ilvl w:val="0"/>
                <w:numId w:val="7"/>
              </w:numPr>
              <w:snapToGrid w:val="0"/>
              <w:jc w:val="center"/>
              <w:rPr>
                <w:sz w:val="22"/>
                <w:szCs w:val="22"/>
              </w:rPr>
            </w:pPr>
          </w:p>
        </w:tc>
        <w:tc>
          <w:tcPr>
            <w:tcW w:w="4496" w:type="dxa"/>
            <w:tcBorders>
              <w:top w:val="single" w:color="000000" w:sz="4" w:space="0"/>
              <w:left w:val="single" w:color="000000" w:sz="4" w:space="0"/>
              <w:bottom w:val="single" w:color="000000" w:sz="4" w:space="0"/>
            </w:tcBorders>
            <w:shd w:val="clear" w:color="auto" w:fill="auto"/>
          </w:tcPr>
          <w:p>
            <w:pPr>
              <w:jc w:val="both"/>
              <w:rPr>
                <w:sz w:val="22"/>
                <w:szCs w:val="22"/>
              </w:rPr>
            </w:pPr>
            <w:r>
              <w:rPr>
                <w:b/>
                <w:sz w:val="22"/>
                <w:szCs w:val="22"/>
              </w:rPr>
              <w:t>Информация об ответственных лицах Заказчика за заключение договора, срок, в течение которого победитель аукциона или иной участник, с которым заключается договор при уклонении победителя аукциона от заключения договора, должен подписать договор, условия признания победителя аукциона или иного участника аукциона уклонившимся от заключения договора:</w:t>
            </w:r>
          </w:p>
        </w:tc>
        <w:tc>
          <w:tcPr>
            <w:tcW w:w="5450"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2"/>
                <w:szCs w:val="22"/>
              </w:rPr>
            </w:pPr>
            <w:r>
              <w:rPr>
                <w:sz w:val="22"/>
                <w:szCs w:val="22"/>
              </w:rPr>
              <w:t>в течение пяти дней со дня получения проекта договора участник аукциона направляет оператору электронной площадки проект договора, подписанный электронной цифровой подписью лица, имеющего право действовать от имени участника аукциона или направить протокол разногласий в соответствии с законодательством РФ.</w:t>
            </w:r>
          </w:p>
          <w:p>
            <w:pPr>
              <w:jc w:val="both"/>
              <w:rPr>
                <w:sz w:val="22"/>
                <w:szCs w:val="22"/>
              </w:rPr>
            </w:pPr>
            <w:r>
              <w:rPr>
                <w:sz w:val="22"/>
                <w:szCs w:val="22"/>
              </w:rPr>
              <w:t>Победитель аукциона признается уклонившимся от заключения договора в случае, если в установленные сроки  он не направил Заказчику проект договора, подписанный лицом, имеющим право действовать от имени победителя аукциона.</w:t>
            </w:r>
          </w:p>
          <w:p>
            <w:pPr>
              <w:jc w:val="both"/>
              <w:rPr>
                <w:sz w:val="22"/>
                <w:szCs w:val="22"/>
              </w:rPr>
            </w:pPr>
            <w:r>
              <w:rPr>
                <w:sz w:val="22"/>
                <w:szCs w:val="22"/>
              </w:rPr>
              <w:t>В случае, если победитель аукциона признан уклонившимся от заключения договора,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аукционе, и заключить договор с участником аукциона, который предложил такую же, как и победитель аукциона, цена договора или предложение о цене договора которого содержит лучшие условия по цене договора, следующие после условий, предложенных победителем аукциона.</w:t>
            </w:r>
          </w:p>
        </w:tc>
      </w:tr>
      <w:tr>
        <w:tblPrEx>
          <w:tblCellMar>
            <w:top w:w="0" w:type="dxa"/>
            <w:left w:w="108" w:type="dxa"/>
            <w:bottom w:w="0" w:type="dxa"/>
            <w:right w:w="108" w:type="dxa"/>
          </w:tblCellMar>
        </w:tblPrEx>
        <w:tc>
          <w:tcPr>
            <w:tcW w:w="575" w:type="dxa"/>
            <w:tcBorders>
              <w:top w:val="single" w:color="000000" w:sz="4" w:space="0"/>
              <w:left w:val="single" w:color="000000" w:sz="4" w:space="0"/>
              <w:bottom w:val="single" w:color="000000" w:sz="4" w:space="0"/>
            </w:tcBorders>
            <w:shd w:val="clear" w:color="auto" w:fill="auto"/>
          </w:tcPr>
          <w:p>
            <w:pPr>
              <w:pStyle w:val="32"/>
              <w:widowControl w:val="0"/>
              <w:numPr>
                <w:ilvl w:val="0"/>
                <w:numId w:val="7"/>
              </w:numPr>
              <w:snapToGrid w:val="0"/>
              <w:jc w:val="center"/>
              <w:rPr>
                <w:sz w:val="22"/>
                <w:szCs w:val="22"/>
              </w:rPr>
            </w:pPr>
          </w:p>
        </w:tc>
        <w:tc>
          <w:tcPr>
            <w:tcW w:w="4496" w:type="dxa"/>
            <w:tcBorders>
              <w:top w:val="single" w:color="000000" w:sz="4" w:space="0"/>
              <w:left w:val="single" w:color="000000" w:sz="4" w:space="0"/>
              <w:bottom w:val="single" w:color="000000" w:sz="4" w:space="0"/>
            </w:tcBorders>
            <w:shd w:val="clear" w:color="auto" w:fill="auto"/>
          </w:tcPr>
          <w:p>
            <w:pPr>
              <w:jc w:val="both"/>
              <w:rPr>
                <w:b/>
                <w:bCs/>
                <w:sz w:val="22"/>
                <w:szCs w:val="22"/>
              </w:rPr>
            </w:pPr>
            <w:r>
              <w:rPr>
                <w:b/>
                <w:bCs/>
                <w:sz w:val="22"/>
                <w:szCs w:val="22"/>
              </w:rPr>
              <w:t>Порядок заключения договора</w:t>
            </w:r>
          </w:p>
        </w:tc>
        <w:tc>
          <w:tcPr>
            <w:tcW w:w="5450" w:type="dxa"/>
            <w:tcBorders>
              <w:top w:val="single" w:color="000000" w:sz="4" w:space="0"/>
              <w:left w:val="single" w:color="000000" w:sz="4" w:space="0"/>
              <w:bottom w:val="single" w:color="000000" w:sz="4" w:space="0"/>
              <w:right w:val="single" w:color="000000" w:sz="4" w:space="0"/>
            </w:tcBorders>
            <w:shd w:val="clear" w:color="auto" w:fill="auto"/>
          </w:tcPr>
          <w:p>
            <w:pPr>
              <w:widowControl w:val="0"/>
              <w:jc w:val="both"/>
              <w:rPr>
                <w:sz w:val="22"/>
                <w:szCs w:val="22"/>
              </w:rPr>
            </w:pPr>
            <w:r>
              <w:rPr>
                <w:sz w:val="22"/>
                <w:szCs w:val="22"/>
              </w:rPr>
              <w:t>Договор по результатам аукциона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аукциона.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pPr>
              <w:widowControl w:val="0"/>
              <w:jc w:val="both"/>
              <w:rPr>
                <w:sz w:val="22"/>
                <w:szCs w:val="22"/>
              </w:rPr>
            </w:pPr>
            <w:r>
              <w:rPr>
                <w:sz w:val="22"/>
                <w:szCs w:val="22"/>
              </w:rPr>
              <w:t>Договор заключается на условиях, указанных в извещении о проведении аукциона и аукционной документации, по цене, предложенной победителем аукциона, либо в случае заключения договора с участником закупки, который сделал предпоследнее предложение о цене договора, по цене, предложенной таким участником, или иной согласованной с указанным участником закупки цене договора, не превышающей цену договора (цену лота), предложенную таким участником.</w:t>
            </w:r>
          </w:p>
        </w:tc>
      </w:tr>
      <w:tr>
        <w:tblPrEx>
          <w:tblCellMar>
            <w:top w:w="0" w:type="dxa"/>
            <w:left w:w="108" w:type="dxa"/>
            <w:bottom w:w="0" w:type="dxa"/>
            <w:right w:w="108" w:type="dxa"/>
          </w:tblCellMar>
        </w:tblPrEx>
        <w:tc>
          <w:tcPr>
            <w:tcW w:w="575" w:type="dxa"/>
            <w:tcBorders>
              <w:top w:val="single" w:color="000000" w:sz="4" w:space="0"/>
              <w:left w:val="single" w:color="000000" w:sz="4" w:space="0"/>
              <w:bottom w:val="single" w:color="000000" w:sz="4" w:space="0"/>
            </w:tcBorders>
            <w:shd w:val="clear" w:color="auto" w:fill="auto"/>
          </w:tcPr>
          <w:p>
            <w:pPr>
              <w:pStyle w:val="32"/>
              <w:widowControl w:val="0"/>
              <w:numPr>
                <w:ilvl w:val="0"/>
                <w:numId w:val="7"/>
              </w:numPr>
              <w:snapToGrid w:val="0"/>
              <w:jc w:val="center"/>
              <w:rPr>
                <w:sz w:val="22"/>
                <w:szCs w:val="22"/>
              </w:rPr>
            </w:pPr>
          </w:p>
        </w:tc>
        <w:tc>
          <w:tcPr>
            <w:tcW w:w="4496" w:type="dxa"/>
            <w:tcBorders>
              <w:top w:val="single" w:color="000000" w:sz="4" w:space="0"/>
              <w:left w:val="single" w:color="000000" w:sz="4" w:space="0"/>
              <w:bottom w:val="single" w:color="000000" w:sz="4" w:space="0"/>
            </w:tcBorders>
            <w:shd w:val="clear" w:color="auto" w:fill="auto"/>
            <w:vAlign w:val="center"/>
          </w:tcPr>
          <w:p>
            <w:pPr>
              <w:jc w:val="both"/>
              <w:rPr>
                <w:b/>
                <w:bCs/>
                <w:sz w:val="22"/>
                <w:szCs w:val="22"/>
              </w:rPr>
            </w:pPr>
            <w:r>
              <w:rPr>
                <w:b/>
                <w:bCs/>
                <w:color w:val="000000"/>
                <w:sz w:val="22"/>
                <w:szCs w:val="22"/>
              </w:rPr>
              <w:t xml:space="preserve">Сведения о праве Заказчика </w:t>
            </w:r>
            <w:r>
              <w:rPr>
                <w:b/>
                <w:bCs/>
                <w:sz w:val="22"/>
                <w:szCs w:val="22"/>
              </w:rPr>
              <w:t>внести</w:t>
            </w:r>
            <w:r>
              <w:rPr>
                <w:b/>
                <w:bCs/>
                <w:color w:val="000000"/>
                <w:sz w:val="22"/>
                <w:szCs w:val="22"/>
              </w:rPr>
              <w:t xml:space="preserve"> изменения в извещение и (или) документацию о закупке</w:t>
            </w:r>
          </w:p>
        </w:tc>
        <w:tc>
          <w:tcPr>
            <w:tcW w:w="5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sz w:val="22"/>
                <w:szCs w:val="22"/>
              </w:rPr>
            </w:pPr>
            <w:r>
              <w:rPr>
                <w:sz w:val="22"/>
                <w:szCs w:val="22"/>
              </w:rPr>
              <w:t>Заказчик по собственной инициативе или в соответствии с поступившим запросом о даче разъяснений положений документации о закупке вправе принять решение о внесении изменений в извещение о проведении аукциона в электронной форме и (или) документацию о закупке.</w:t>
            </w:r>
          </w:p>
          <w:p>
            <w:pPr>
              <w:widowControl w:val="0"/>
              <w:jc w:val="both"/>
              <w:rPr>
                <w:sz w:val="22"/>
                <w:szCs w:val="22"/>
              </w:rPr>
            </w:pPr>
            <w:r>
              <w:rPr>
                <w:sz w:val="22"/>
                <w:szCs w:val="22"/>
              </w:rPr>
              <w:t>Изменения, вносимые в извещение о проведении аукциона в электронной форме, документацию о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w:t>
            </w:r>
          </w:p>
          <w:p>
            <w:pPr>
              <w:widowControl w:val="0"/>
              <w:jc w:val="both"/>
              <w:rPr>
                <w:sz w:val="22"/>
                <w:szCs w:val="22"/>
              </w:rPr>
            </w:pPr>
            <w:r>
              <w:rPr>
                <w:sz w:val="22"/>
                <w:szCs w:val="22"/>
              </w:rPr>
              <w:t>В случае внесения изменений в извещение о проведении аукциона в электронной форме, документацию о закупке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оставалось не менее половина срока подачи заявок.</w:t>
            </w:r>
          </w:p>
        </w:tc>
      </w:tr>
      <w:tr>
        <w:tblPrEx>
          <w:tblCellMar>
            <w:top w:w="0" w:type="dxa"/>
            <w:left w:w="108" w:type="dxa"/>
            <w:bottom w:w="0" w:type="dxa"/>
            <w:right w:w="108" w:type="dxa"/>
          </w:tblCellMar>
        </w:tblPrEx>
        <w:tc>
          <w:tcPr>
            <w:tcW w:w="575" w:type="dxa"/>
            <w:tcBorders>
              <w:top w:val="single" w:color="000000" w:sz="4" w:space="0"/>
              <w:left w:val="single" w:color="000000" w:sz="4" w:space="0"/>
              <w:bottom w:val="single" w:color="000000" w:sz="4" w:space="0"/>
            </w:tcBorders>
            <w:shd w:val="clear" w:color="auto" w:fill="auto"/>
          </w:tcPr>
          <w:p>
            <w:pPr>
              <w:pStyle w:val="32"/>
              <w:widowControl w:val="0"/>
              <w:numPr>
                <w:ilvl w:val="0"/>
                <w:numId w:val="7"/>
              </w:numPr>
              <w:snapToGrid w:val="0"/>
              <w:jc w:val="center"/>
              <w:rPr>
                <w:sz w:val="22"/>
                <w:szCs w:val="22"/>
              </w:rPr>
            </w:pPr>
          </w:p>
        </w:tc>
        <w:tc>
          <w:tcPr>
            <w:tcW w:w="4496" w:type="dxa"/>
            <w:tcBorders>
              <w:top w:val="single" w:color="000000" w:sz="4" w:space="0"/>
              <w:left w:val="single" w:color="000000" w:sz="4" w:space="0"/>
              <w:bottom w:val="single" w:color="000000" w:sz="4" w:space="0"/>
            </w:tcBorders>
            <w:shd w:val="clear" w:color="auto" w:fill="auto"/>
            <w:vAlign w:val="center"/>
          </w:tcPr>
          <w:p>
            <w:pPr>
              <w:widowControl w:val="0"/>
              <w:tabs>
                <w:tab w:val="left" w:pos="1276"/>
              </w:tabs>
              <w:rPr>
                <w:sz w:val="22"/>
                <w:szCs w:val="22"/>
              </w:rPr>
            </w:pPr>
            <w:r>
              <w:rPr>
                <w:b/>
                <w:bCs/>
                <w:color w:val="000000"/>
                <w:sz w:val="22"/>
                <w:szCs w:val="22"/>
              </w:rPr>
              <w:t>Сведения о праве Заказчика отказаться от проведения процедуры закупки</w:t>
            </w:r>
          </w:p>
        </w:tc>
        <w:tc>
          <w:tcPr>
            <w:tcW w:w="5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both"/>
              <w:rPr>
                <w:sz w:val="22"/>
                <w:szCs w:val="22"/>
              </w:rPr>
            </w:pPr>
            <w:r>
              <w:rPr>
                <w:sz w:val="22"/>
                <w:szCs w:val="22"/>
              </w:rPr>
              <w:t>Заказчик вправе отменить аукцион в электронной форме до наступления даты и времени окончания срока подачи заявок на участие в аукционе в электронной форме. Решение об отмене аукциона в электронной форме размещается в единой информационной системе в день принятия этого решения. По истечении указанного срока отмены и до заключения договора Заказчик вправе отменить аукцион в электронной форме только в случае возникновения обстоятельств непреодолимой силы в соответствии с гражданским законодательством.</w:t>
            </w:r>
          </w:p>
        </w:tc>
      </w:tr>
      <w:tr>
        <w:tblPrEx>
          <w:tblCellMar>
            <w:top w:w="0" w:type="dxa"/>
            <w:left w:w="108" w:type="dxa"/>
            <w:bottom w:w="0" w:type="dxa"/>
            <w:right w:w="108" w:type="dxa"/>
          </w:tblCellMar>
        </w:tblPrEx>
        <w:tc>
          <w:tcPr>
            <w:tcW w:w="575" w:type="dxa"/>
            <w:tcBorders>
              <w:top w:val="single" w:color="000000" w:sz="4" w:space="0"/>
              <w:left w:val="single" w:color="000000" w:sz="4" w:space="0"/>
              <w:bottom w:val="single" w:color="000000" w:sz="4" w:space="0"/>
            </w:tcBorders>
            <w:shd w:val="clear" w:color="auto" w:fill="auto"/>
          </w:tcPr>
          <w:p>
            <w:pPr>
              <w:pStyle w:val="32"/>
              <w:widowControl w:val="0"/>
              <w:numPr>
                <w:ilvl w:val="0"/>
                <w:numId w:val="7"/>
              </w:numPr>
              <w:snapToGrid w:val="0"/>
              <w:jc w:val="center"/>
              <w:rPr>
                <w:sz w:val="22"/>
                <w:szCs w:val="22"/>
              </w:rPr>
            </w:pPr>
          </w:p>
        </w:tc>
        <w:tc>
          <w:tcPr>
            <w:tcW w:w="99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left="96" w:right="70"/>
              <w:jc w:val="both"/>
              <w:rPr>
                <w:b/>
                <w:bCs/>
                <w:color w:val="000000"/>
                <w:sz w:val="22"/>
                <w:szCs w:val="22"/>
              </w:rPr>
            </w:pPr>
            <w:r>
              <w:rPr>
                <w:b/>
                <w:bCs/>
                <w:color w:val="000000"/>
                <w:sz w:val="22"/>
                <w:szCs w:val="22"/>
              </w:rPr>
              <w:t>Установлен приоритет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pPr>
              <w:ind w:left="96" w:right="70"/>
              <w:jc w:val="both"/>
              <w:rPr>
                <w:color w:val="000000"/>
                <w:sz w:val="22"/>
                <w:szCs w:val="22"/>
              </w:rPr>
            </w:pPr>
            <w:r>
              <w:rPr>
                <w:color w:val="000000"/>
                <w:sz w:val="22"/>
                <w:szCs w:val="22"/>
              </w:rPr>
              <w:t xml:space="preserve"> Для предоставления приоритета товарам российского происхождения, работам, услугам, выполняемым, оказываемым российскими лицами, при осуществлении закупок товаров, работ, услуг путем проведения аукциона в электронной форме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 925 установлено:</w:t>
            </w:r>
          </w:p>
          <w:p>
            <w:pPr>
              <w:ind w:left="96" w:right="70"/>
              <w:jc w:val="both"/>
              <w:rPr>
                <w:color w:val="000000"/>
                <w:sz w:val="22"/>
                <w:szCs w:val="22"/>
              </w:rPr>
            </w:pPr>
            <w:r>
              <w:rPr>
                <w:color w:val="000000"/>
                <w:sz w:val="22"/>
                <w:szCs w:val="22"/>
              </w:rPr>
              <w:t>а) требование об указании (декларировании) участником закупки в заявке на участие в аукционе в электронной форме (в соответствующей части заявки, содержащей предложение о поставке товара) наименования страны происхождения поставляемых товаров, а также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аукционе в электронной форме;</w:t>
            </w:r>
          </w:p>
          <w:p>
            <w:pPr>
              <w:ind w:left="96" w:right="70"/>
              <w:jc w:val="both"/>
              <w:rPr>
                <w:color w:val="000000"/>
                <w:sz w:val="22"/>
                <w:szCs w:val="22"/>
              </w:rPr>
            </w:pPr>
            <w:r>
              <w:rPr>
                <w:color w:val="000000"/>
                <w:sz w:val="22"/>
                <w:szCs w:val="22"/>
              </w:rPr>
              <w:t>б) условие о том, что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такой заявки и такая заявка рассматривается как содержащая предложение о поставке иностранных товаров;</w:t>
            </w:r>
          </w:p>
          <w:p>
            <w:pPr>
              <w:ind w:left="96" w:right="70"/>
              <w:jc w:val="both"/>
              <w:rPr>
                <w:color w:val="000000"/>
                <w:sz w:val="22"/>
                <w:szCs w:val="22"/>
              </w:rPr>
            </w:pPr>
            <w:r>
              <w:rPr>
                <w:color w:val="000000"/>
                <w:sz w:val="22"/>
                <w:szCs w:val="22"/>
              </w:rPr>
              <w:t>в)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если в заявке на участие в аукционе в электронной форме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pPr>
              <w:ind w:left="96" w:right="70"/>
              <w:jc w:val="both"/>
              <w:rPr>
                <w:color w:val="000000"/>
                <w:sz w:val="22"/>
                <w:szCs w:val="22"/>
              </w:rPr>
            </w:pPr>
            <w:r>
              <w:rPr>
                <w:color w:val="000000"/>
                <w:sz w:val="22"/>
                <w:szCs w:val="22"/>
              </w:rPr>
              <w:t>г)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pPr>
              <w:ind w:left="96" w:right="70"/>
              <w:jc w:val="both"/>
              <w:rPr>
                <w:color w:val="000000"/>
                <w:sz w:val="22"/>
                <w:szCs w:val="22"/>
              </w:rPr>
            </w:pPr>
            <w:r>
              <w:rPr>
                <w:color w:val="000000"/>
                <w:sz w:val="22"/>
                <w:szCs w:val="22"/>
              </w:rPr>
              <w:t>д) условие об указании в договоре страны происхождения поставляемого товара на основании сведений, содержащихся в заявке на участие в аукционе в электронной форме, представленной участником закупки, с которым заключается договор;</w:t>
            </w:r>
          </w:p>
          <w:p>
            <w:pPr>
              <w:ind w:left="96" w:right="70"/>
              <w:jc w:val="both"/>
              <w:rPr>
                <w:color w:val="000000"/>
                <w:sz w:val="22"/>
                <w:szCs w:val="22"/>
              </w:rPr>
            </w:pPr>
            <w:r>
              <w:rPr>
                <w:color w:val="000000"/>
                <w:sz w:val="22"/>
                <w:szCs w:val="22"/>
              </w:rPr>
              <w:t>е) положение о заключении договора с участником закупки, который предложил такие же, как и победитель аукциона, условия исполнения договора или предложение которого содержит лучшие условия исполнения договора, следующие после условий, предложенных победителем аукциона, который признан уклонившемся от заключения договора;</w:t>
            </w:r>
          </w:p>
          <w:p>
            <w:pPr>
              <w:ind w:left="96" w:right="70"/>
              <w:jc w:val="both"/>
              <w:rPr>
                <w:color w:val="000000"/>
                <w:sz w:val="22"/>
                <w:szCs w:val="22"/>
              </w:rPr>
            </w:pPr>
            <w:r>
              <w:rPr>
                <w:color w:val="000000"/>
                <w:sz w:val="22"/>
                <w:szCs w:val="22"/>
              </w:rPr>
              <w:t>ж) условие о том, что при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pPr>
              <w:ind w:left="96" w:right="70"/>
              <w:jc w:val="both"/>
              <w:rPr>
                <w:color w:val="000000"/>
                <w:sz w:val="22"/>
                <w:szCs w:val="22"/>
              </w:rPr>
            </w:pPr>
            <w:r>
              <w:rPr>
                <w:color w:val="000000"/>
                <w:sz w:val="22"/>
                <w:szCs w:val="22"/>
              </w:rPr>
              <w:t>В случае, если победителем аукциона представлена заявка,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заключается по цене, сниженной на 15 процентов от предложенной им цены договора.</w:t>
            </w:r>
          </w:p>
          <w:p>
            <w:pPr>
              <w:ind w:left="96" w:right="70"/>
              <w:jc w:val="both"/>
              <w:rPr>
                <w:color w:val="000000"/>
                <w:sz w:val="22"/>
                <w:szCs w:val="22"/>
              </w:rPr>
            </w:pPr>
            <w:r>
              <w:rPr>
                <w:color w:val="000000"/>
                <w:sz w:val="22"/>
                <w:szCs w:val="22"/>
              </w:rPr>
              <w:t>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сниженной на 30 процентов от предложенной им цены договора.</w:t>
            </w:r>
          </w:p>
          <w:p>
            <w:pPr>
              <w:ind w:left="96" w:right="70"/>
              <w:jc w:val="both"/>
              <w:rPr>
                <w:color w:val="000000"/>
                <w:sz w:val="22"/>
                <w:szCs w:val="22"/>
              </w:rPr>
            </w:pPr>
            <w:r>
              <w:rPr>
                <w:color w:val="000000"/>
                <w:sz w:val="22"/>
                <w:szCs w:val="22"/>
              </w:rPr>
              <w:t xml:space="preserve"> В случае, если победителем аукциона, при проведении которого цена договора снижена до нуля и который проводился на право заключить договор, представлена заявка на участие в аукционе,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размер платы за право заключать договор увеличивается на 15 процентов от предложенной победителем открытого аукциона платы. </w:t>
            </w:r>
          </w:p>
          <w:p>
            <w:pPr>
              <w:ind w:left="96" w:right="70"/>
              <w:jc w:val="both"/>
              <w:rPr>
                <w:color w:val="000000"/>
                <w:sz w:val="22"/>
                <w:szCs w:val="22"/>
              </w:rPr>
            </w:pPr>
            <w:r>
              <w:rPr>
                <w:color w:val="000000"/>
                <w:sz w:val="22"/>
                <w:szCs w:val="22"/>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увеличенной на 30 процентов от предложенной им цены договора.</w:t>
            </w:r>
          </w:p>
          <w:p>
            <w:pPr>
              <w:ind w:left="96" w:right="70"/>
              <w:jc w:val="both"/>
              <w:rPr>
                <w:color w:val="000000"/>
                <w:sz w:val="22"/>
                <w:szCs w:val="22"/>
              </w:rPr>
            </w:pPr>
            <w:r>
              <w:rPr>
                <w:color w:val="000000"/>
                <w:sz w:val="22"/>
                <w:szCs w:val="22"/>
              </w:rPr>
              <w:t>Приоритет не предоставляется /снижение цены договора не  производится/ в случаях, если:</w:t>
            </w:r>
          </w:p>
          <w:p>
            <w:pPr>
              <w:ind w:left="96" w:right="70"/>
              <w:jc w:val="both"/>
              <w:rPr>
                <w:color w:val="000000"/>
                <w:sz w:val="22"/>
                <w:szCs w:val="22"/>
              </w:rPr>
            </w:pPr>
            <w:r>
              <w:rPr>
                <w:color w:val="000000"/>
                <w:sz w:val="22"/>
                <w:szCs w:val="22"/>
              </w:rPr>
              <w:t>а) аукцион признан несостоявшимся и договор заключается с   единственным участником аукциона;</w:t>
            </w:r>
          </w:p>
          <w:p>
            <w:pPr>
              <w:ind w:left="96" w:right="70"/>
              <w:jc w:val="both"/>
              <w:rPr>
                <w:color w:val="000000"/>
                <w:sz w:val="22"/>
                <w:szCs w:val="22"/>
              </w:rPr>
            </w:pPr>
            <w:r>
              <w:rPr>
                <w:color w:val="000000"/>
                <w:sz w:val="22"/>
                <w:szCs w:val="22"/>
              </w:rPr>
              <w:t>б) в заявке на участие в аукционе в электронной форме не содержится предложений о поставке товаров российского происхождения, выполнении работ, оказании услуг российскими лицами;</w:t>
            </w:r>
          </w:p>
          <w:p>
            <w:pPr>
              <w:ind w:left="96" w:right="70"/>
              <w:jc w:val="both"/>
              <w:rPr>
                <w:color w:val="000000"/>
                <w:sz w:val="22"/>
                <w:szCs w:val="22"/>
              </w:rPr>
            </w:pPr>
            <w:r>
              <w:rPr>
                <w:color w:val="000000"/>
                <w:sz w:val="22"/>
                <w:szCs w:val="22"/>
              </w:rPr>
              <w:t>в) в заявке на участие в аукционе в электронной форме не содержится предложений о поставке товаров иностранного происхождения, выполнении работ, оказании услуг иностранными лицами;</w:t>
            </w:r>
          </w:p>
          <w:p>
            <w:pPr>
              <w:jc w:val="both"/>
              <w:rPr>
                <w:sz w:val="22"/>
                <w:szCs w:val="22"/>
              </w:rPr>
            </w:pPr>
            <w:r>
              <w:rPr>
                <w:color w:val="000000"/>
                <w:sz w:val="22"/>
                <w:szCs w:val="22"/>
              </w:rPr>
              <w:t>г) в заявке на участие в аукционе в электронной форме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участником закупки товаров, работ, услуг.</w:t>
            </w:r>
          </w:p>
        </w:tc>
      </w:tr>
      <w:tr>
        <w:tblPrEx>
          <w:tblCellMar>
            <w:top w:w="0" w:type="dxa"/>
            <w:left w:w="108" w:type="dxa"/>
            <w:bottom w:w="0" w:type="dxa"/>
            <w:right w:w="108" w:type="dxa"/>
          </w:tblCellMar>
        </w:tblPrEx>
        <w:tc>
          <w:tcPr>
            <w:tcW w:w="575" w:type="dxa"/>
            <w:tcBorders>
              <w:top w:val="single" w:color="000000" w:sz="4" w:space="0"/>
              <w:left w:val="single" w:color="000000" w:sz="4" w:space="0"/>
              <w:bottom w:val="single" w:color="000000" w:sz="4" w:space="0"/>
            </w:tcBorders>
            <w:shd w:val="clear" w:color="auto" w:fill="auto"/>
          </w:tcPr>
          <w:p>
            <w:pPr>
              <w:pStyle w:val="32"/>
              <w:widowControl w:val="0"/>
              <w:numPr>
                <w:ilvl w:val="0"/>
                <w:numId w:val="7"/>
              </w:numPr>
              <w:snapToGrid w:val="0"/>
              <w:rPr>
                <w:sz w:val="22"/>
                <w:szCs w:val="22"/>
              </w:rPr>
            </w:pPr>
          </w:p>
        </w:tc>
        <w:tc>
          <w:tcPr>
            <w:tcW w:w="9946" w:type="dxa"/>
            <w:gridSpan w:val="2"/>
            <w:tcBorders>
              <w:top w:val="single" w:color="000000" w:sz="4" w:space="0"/>
              <w:left w:val="single" w:color="000000" w:sz="4" w:space="0"/>
              <w:bottom w:val="single" w:color="000000" w:sz="4" w:space="0"/>
              <w:right w:val="single" w:color="000000" w:sz="4" w:space="0"/>
            </w:tcBorders>
            <w:shd w:val="clear" w:color="auto" w:fill="auto"/>
          </w:tcPr>
          <w:p>
            <w:pPr>
              <w:rPr>
                <w:sz w:val="22"/>
                <w:szCs w:val="22"/>
              </w:rPr>
            </w:pPr>
            <w:r>
              <w:rPr>
                <w:b/>
                <w:sz w:val="22"/>
                <w:szCs w:val="22"/>
              </w:rPr>
              <w:t>Требования к участникам закупки:</w:t>
            </w:r>
          </w:p>
        </w:tc>
      </w:tr>
      <w:tr>
        <w:tblPrEx>
          <w:tblCellMar>
            <w:top w:w="0" w:type="dxa"/>
            <w:left w:w="108" w:type="dxa"/>
            <w:bottom w:w="0" w:type="dxa"/>
            <w:right w:w="108" w:type="dxa"/>
          </w:tblCellMar>
        </w:tblPrEx>
        <w:tc>
          <w:tcPr>
            <w:tcW w:w="575" w:type="dxa"/>
            <w:tcBorders>
              <w:top w:val="single" w:color="000000" w:sz="4" w:space="0"/>
              <w:left w:val="single" w:color="000000" w:sz="4" w:space="0"/>
              <w:bottom w:val="single" w:color="000000" w:sz="4" w:space="0"/>
            </w:tcBorders>
            <w:shd w:val="clear" w:color="auto" w:fill="auto"/>
          </w:tcPr>
          <w:p>
            <w:pPr>
              <w:pStyle w:val="32"/>
              <w:widowControl w:val="0"/>
              <w:rPr>
                <w:sz w:val="22"/>
                <w:szCs w:val="22"/>
              </w:rPr>
            </w:pPr>
            <w:r>
              <w:rPr>
                <w:sz w:val="22"/>
                <w:szCs w:val="22"/>
              </w:rPr>
              <w:t>1)</w:t>
            </w:r>
          </w:p>
        </w:tc>
        <w:tc>
          <w:tcPr>
            <w:tcW w:w="9946"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345"/>
              <w:widowControl w:val="0"/>
              <w:spacing w:after="0" w:line="240" w:lineRule="auto"/>
              <w:ind w:left="0"/>
              <w:jc w:val="both"/>
              <w:textAlignment w:val="baseline"/>
              <w:rPr>
                <w:sz w:val="22"/>
                <w:szCs w:val="22"/>
              </w:rPr>
            </w:pPr>
            <w:r>
              <w:rPr>
                <w:sz w:val="22"/>
                <w:szCs w:val="22"/>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являющихся предметом торгов.</w:t>
            </w:r>
          </w:p>
        </w:tc>
      </w:tr>
      <w:tr>
        <w:tblPrEx>
          <w:tblCellMar>
            <w:top w:w="0" w:type="dxa"/>
            <w:left w:w="108" w:type="dxa"/>
            <w:bottom w:w="0" w:type="dxa"/>
            <w:right w:w="108" w:type="dxa"/>
          </w:tblCellMar>
        </w:tblPrEx>
        <w:tc>
          <w:tcPr>
            <w:tcW w:w="575" w:type="dxa"/>
            <w:tcBorders>
              <w:top w:val="single" w:color="000000" w:sz="4" w:space="0"/>
              <w:left w:val="single" w:color="000000" w:sz="4" w:space="0"/>
              <w:bottom w:val="single" w:color="000000" w:sz="4" w:space="0"/>
            </w:tcBorders>
            <w:shd w:val="clear" w:color="auto" w:fill="auto"/>
          </w:tcPr>
          <w:p>
            <w:pPr>
              <w:pStyle w:val="32"/>
              <w:widowControl w:val="0"/>
              <w:rPr>
                <w:sz w:val="22"/>
                <w:szCs w:val="22"/>
              </w:rPr>
            </w:pPr>
            <w:r>
              <w:rPr>
                <w:sz w:val="22"/>
                <w:szCs w:val="22"/>
              </w:rPr>
              <w:t>2)</w:t>
            </w:r>
          </w:p>
        </w:tc>
        <w:tc>
          <w:tcPr>
            <w:tcW w:w="9946" w:type="dxa"/>
            <w:gridSpan w:val="2"/>
            <w:tcBorders>
              <w:top w:val="single" w:color="000000" w:sz="4" w:space="0"/>
              <w:left w:val="single" w:color="000000" w:sz="4" w:space="0"/>
              <w:bottom w:val="single" w:color="000000" w:sz="4" w:space="0"/>
              <w:right w:val="single" w:color="000000" w:sz="4" w:space="0"/>
            </w:tcBorders>
            <w:shd w:val="clear" w:color="auto" w:fill="auto"/>
          </w:tcPr>
          <w:p>
            <w:pPr>
              <w:jc w:val="both"/>
              <w:rPr>
                <w:sz w:val="22"/>
                <w:szCs w:val="22"/>
              </w:rPr>
            </w:pPr>
            <w:r>
              <w:rPr>
                <w:sz w:val="22"/>
                <w:szCs w:val="22"/>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tc>
      </w:tr>
      <w:tr>
        <w:tblPrEx>
          <w:tblCellMar>
            <w:top w:w="0" w:type="dxa"/>
            <w:left w:w="108" w:type="dxa"/>
            <w:bottom w:w="0" w:type="dxa"/>
            <w:right w:w="108" w:type="dxa"/>
          </w:tblCellMar>
        </w:tblPrEx>
        <w:tc>
          <w:tcPr>
            <w:tcW w:w="575" w:type="dxa"/>
            <w:tcBorders>
              <w:top w:val="single" w:color="000000" w:sz="4" w:space="0"/>
              <w:left w:val="single" w:color="000000" w:sz="4" w:space="0"/>
              <w:bottom w:val="single" w:color="000000" w:sz="4" w:space="0"/>
            </w:tcBorders>
            <w:shd w:val="clear" w:color="auto" w:fill="auto"/>
          </w:tcPr>
          <w:p>
            <w:pPr>
              <w:pStyle w:val="32"/>
              <w:widowControl w:val="0"/>
              <w:rPr>
                <w:sz w:val="22"/>
                <w:szCs w:val="22"/>
              </w:rPr>
            </w:pPr>
            <w:r>
              <w:rPr>
                <w:sz w:val="22"/>
                <w:szCs w:val="22"/>
              </w:rPr>
              <w:t>3)</w:t>
            </w:r>
          </w:p>
        </w:tc>
        <w:tc>
          <w:tcPr>
            <w:tcW w:w="9946" w:type="dxa"/>
            <w:gridSpan w:val="2"/>
            <w:tcBorders>
              <w:top w:val="single" w:color="000000" w:sz="4" w:space="0"/>
              <w:left w:val="single" w:color="000000" w:sz="4" w:space="0"/>
              <w:bottom w:val="single" w:color="000000" w:sz="4" w:space="0"/>
              <w:right w:val="single" w:color="000000" w:sz="4" w:space="0"/>
            </w:tcBorders>
            <w:shd w:val="clear" w:color="auto" w:fill="auto"/>
          </w:tcPr>
          <w:p>
            <w:pPr>
              <w:jc w:val="both"/>
              <w:rPr>
                <w:sz w:val="22"/>
                <w:szCs w:val="22"/>
              </w:rPr>
            </w:pPr>
            <w:r>
              <w:rPr>
                <w:sz w:val="22"/>
                <w:szCs w:val="22"/>
              </w:rPr>
              <w:t>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r>
        <w:tblPrEx>
          <w:tblCellMar>
            <w:top w:w="0" w:type="dxa"/>
            <w:left w:w="108" w:type="dxa"/>
            <w:bottom w:w="0" w:type="dxa"/>
            <w:right w:w="108" w:type="dxa"/>
          </w:tblCellMar>
        </w:tblPrEx>
        <w:tc>
          <w:tcPr>
            <w:tcW w:w="575" w:type="dxa"/>
            <w:tcBorders>
              <w:top w:val="single" w:color="000000" w:sz="4" w:space="0"/>
              <w:left w:val="single" w:color="000000" w:sz="4" w:space="0"/>
              <w:bottom w:val="single" w:color="000000" w:sz="4" w:space="0"/>
            </w:tcBorders>
            <w:shd w:val="clear" w:color="auto" w:fill="auto"/>
          </w:tcPr>
          <w:p>
            <w:pPr>
              <w:pStyle w:val="32"/>
              <w:widowControl w:val="0"/>
              <w:rPr>
                <w:sz w:val="22"/>
                <w:szCs w:val="22"/>
              </w:rPr>
            </w:pPr>
            <w:r>
              <w:rPr>
                <w:sz w:val="22"/>
                <w:szCs w:val="22"/>
              </w:rPr>
              <w:t>4)</w:t>
            </w:r>
          </w:p>
        </w:tc>
        <w:tc>
          <w:tcPr>
            <w:tcW w:w="9946" w:type="dxa"/>
            <w:gridSpan w:val="2"/>
            <w:tcBorders>
              <w:top w:val="single" w:color="000000" w:sz="4" w:space="0"/>
              <w:left w:val="single" w:color="000000" w:sz="4" w:space="0"/>
              <w:bottom w:val="single" w:color="000000" w:sz="4" w:space="0"/>
              <w:right w:val="single" w:color="000000" w:sz="4" w:space="0"/>
            </w:tcBorders>
            <w:shd w:val="clear" w:color="auto" w:fill="auto"/>
          </w:tcPr>
          <w:p>
            <w:pPr>
              <w:jc w:val="both"/>
              <w:rPr>
                <w:sz w:val="22"/>
                <w:szCs w:val="22"/>
              </w:rPr>
            </w:pPr>
            <w:r>
              <w:rPr>
                <w:sz w:val="22"/>
                <w:szCs w:val="22"/>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или заявки на участие в аукционе не принято.</w:t>
            </w:r>
          </w:p>
        </w:tc>
      </w:tr>
      <w:tr>
        <w:tblPrEx>
          <w:tblCellMar>
            <w:top w:w="0" w:type="dxa"/>
            <w:left w:w="108" w:type="dxa"/>
            <w:bottom w:w="0" w:type="dxa"/>
            <w:right w:w="108" w:type="dxa"/>
          </w:tblCellMar>
        </w:tblPrEx>
        <w:tc>
          <w:tcPr>
            <w:tcW w:w="575" w:type="dxa"/>
            <w:tcBorders>
              <w:top w:val="single" w:color="000000" w:sz="4" w:space="0"/>
              <w:left w:val="single" w:color="000000" w:sz="4" w:space="0"/>
              <w:bottom w:val="single" w:color="000000" w:sz="4" w:space="0"/>
            </w:tcBorders>
            <w:shd w:val="clear" w:color="auto" w:fill="auto"/>
          </w:tcPr>
          <w:p>
            <w:pPr>
              <w:pStyle w:val="32"/>
              <w:widowControl w:val="0"/>
              <w:rPr>
                <w:sz w:val="22"/>
                <w:szCs w:val="22"/>
              </w:rPr>
            </w:pPr>
            <w:r>
              <w:rPr>
                <w:sz w:val="22"/>
                <w:szCs w:val="22"/>
              </w:rPr>
              <w:t>5)</w:t>
            </w:r>
          </w:p>
        </w:tc>
        <w:tc>
          <w:tcPr>
            <w:tcW w:w="9946" w:type="dxa"/>
            <w:gridSpan w:val="2"/>
            <w:tcBorders>
              <w:top w:val="single" w:color="000000" w:sz="4" w:space="0"/>
              <w:left w:val="single" w:color="000000" w:sz="4" w:space="0"/>
              <w:bottom w:val="single" w:color="000000" w:sz="4" w:space="0"/>
              <w:right w:val="single" w:color="000000" w:sz="4" w:space="0"/>
            </w:tcBorders>
            <w:shd w:val="clear" w:color="auto" w:fill="auto"/>
          </w:tcPr>
          <w:p>
            <w:pPr>
              <w:jc w:val="both"/>
              <w:rPr>
                <w:sz w:val="22"/>
                <w:szCs w:val="22"/>
              </w:rPr>
            </w:pPr>
            <w:r>
              <w:rPr>
                <w:sz w:val="22"/>
                <w:szCs w:val="22"/>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r>
      <w:tr>
        <w:tblPrEx>
          <w:tblCellMar>
            <w:top w:w="0" w:type="dxa"/>
            <w:left w:w="108" w:type="dxa"/>
            <w:bottom w:w="0" w:type="dxa"/>
            <w:right w:w="108" w:type="dxa"/>
          </w:tblCellMar>
        </w:tblPrEx>
        <w:tc>
          <w:tcPr>
            <w:tcW w:w="575" w:type="dxa"/>
            <w:tcBorders>
              <w:top w:val="single" w:color="000000" w:sz="4" w:space="0"/>
              <w:left w:val="single" w:color="000000" w:sz="4" w:space="0"/>
              <w:bottom w:val="single" w:color="000000" w:sz="4" w:space="0"/>
            </w:tcBorders>
            <w:shd w:val="clear" w:color="auto" w:fill="auto"/>
          </w:tcPr>
          <w:p>
            <w:pPr>
              <w:pStyle w:val="32"/>
              <w:widowControl w:val="0"/>
              <w:rPr>
                <w:sz w:val="22"/>
                <w:szCs w:val="22"/>
              </w:rPr>
            </w:pPr>
            <w:r>
              <w:rPr>
                <w:sz w:val="22"/>
                <w:szCs w:val="22"/>
              </w:rPr>
              <w:t>6)</w:t>
            </w:r>
          </w:p>
        </w:tc>
        <w:tc>
          <w:tcPr>
            <w:tcW w:w="9946" w:type="dxa"/>
            <w:gridSpan w:val="2"/>
            <w:tcBorders>
              <w:top w:val="single" w:color="000000" w:sz="4" w:space="0"/>
              <w:left w:val="single" w:color="000000" w:sz="4" w:space="0"/>
              <w:bottom w:val="single" w:color="000000" w:sz="4" w:space="0"/>
              <w:right w:val="single" w:color="000000" w:sz="4" w:space="0"/>
            </w:tcBorders>
            <w:shd w:val="clear" w:color="auto" w:fill="auto"/>
          </w:tcPr>
          <w:p>
            <w:pPr>
              <w:jc w:val="both"/>
              <w:rPr>
                <w:sz w:val="22"/>
                <w:szCs w:val="22"/>
              </w:rPr>
            </w:pPr>
            <w:r>
              <w:rPr>
                <w:sz w:val="22"/>
                <w:szCs w:val="22"/>
              </w:rPr>
              <w:t>Участник закупки не включен в реестр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(или) в реестр недобросовестных поставщиков, предусмотренный Федеральным законом от 05.04.2013 N 44-ФЗ (с последними изменениями) "О контрактной системе в сфере закупок товаров, работ, услуг для обеспечения государственных и муниципальных нужд".</w:t>
            </w:r>
          </w:p>
        </w:tc>
      </w:tr>
      <w:tr>
        <w:tblPrEx>
          <w:tblCellMar>
            <w:top w:w="0" w:type="dxa"/>
            <w:left w:w="108" w:type="dxa"/>
            <w:bottom w:w="0" w:type="dxa"/>
            <w:right w:w="108" w:type="dxa"/>
          </w:tblCellMar>
        </w:tblPrEx>
        <w:tc>
          <w:tcPr>
            <w:tcW w:w="575" w:type="dxa"/>
            <w:tcBorders>
              <w:top w:val="single" w:color="000000" w:sz="4" w:space="0"/>
              <w:left w:val="single" w:color="000000" w:sz="4" w:space="0"/>
              <w:bottom w:val="single" w:color="000000" w:sz="4" w:space="0"/>
            </w:tcBorders>
            <w:shd w:val="clear" w:color="auto" w:fill="auto"/>
          </w:tcPr>
          <w:p>
            <w:pPr>
              <w:pStyle w:val="32"/>
              <w:widowControl w:val="0"/>
              <w:rPr>
                <w:sz w:val="22"/>
                <w:szCs w:val="22"/>
              </w:rPr>
            </w:pPr>
            <w:r>
              <w:rPr>
                <w:b/>
                <w:sz w:val="22"/>
                <w:szCs w:val="22"/>
              </w:rPr>
              <w:t>31.</w:t>
            </w:r>
          </w:p>
        </w:tc>
        <w:tc>
          <w:tcPr>
            <w:tcW w:w="9946" w:type="dxa"/>
            <w:gridSpan w:val="2"/>
            <w:tcBorders>
              <w:top w:val="single" w:color="000000" w:sz="4" w:space="0"/>
              <w:left w:val="single" w:color="000000" w:sz="4" w:space="0"/>
              <w:bottom w:val="single" w:color="000000" w:sz="4" w:space="0"/>
              <w:right w:val="single" w:color="000000" w:sz="4" w:space="0"/>
            </w:tcBorders>
            <w:shd w:val="clear" w:color="auto" w:fill="auto"/>
          </w:tcPr>
          <w:p>
            <w:pPr>
              <w:jc w:val="both"/>
              <w:rPr>
                <w:sz w:val="22"/>
                <w:szCs w:val="22"/>
              </w:rPr>
            </w:pPr>
            <w:r>
              <w:rPr>
                <w:sz w:val="22"/>
                <w:szCs w:val="22"/>
              </w:rPr>
              <w:t xml:space="preserve">Преимущества при участии в размещении заказа учреждениям и предприятиям уголовно-исполнительной системы, и организациям инвалидов - </w:t>
            </w:r>
            <w:r>
              <w:rPr>
                <w:b/>
                <w:bCs/>
                <w:sz w:val="22"/>
                <w:szCs w:val="22"/>
              </w:rPr>
              <w:t>НЕ ПРЕДОСТАВЛЕНЫ</w:t>
            </w:r>
            <w:r>
              <w:rPr>
                <w:sz w:val="22"/>
                <w:szCs w:val="22"/>
              </w:rPr>
              <w:t>.</w:t>
            </w:r>
          </w:p>
        </w:tc>
      </w:tr>
      <w:tr>
        <w:tblPrEx>
          <w:tblCellMar>
            <w:top w:w="0" w:type="dxa"/>
            <w:left w:w="108" w:type="dxa"/>
            <w:bottom w:w="0" w:type="dxa"/>
            <w:right w:w="108" w:type="dxa"/>
          </w:tblCellMar>
        </w:tblPrEx>
        <w:tc>
          <w:tcPr>
            <w:tcW w:w="575" w:type="dxa"/>
            <w:tcBorders>
              <w:top w:val="single" w:color="000000" w:sz="4" w:space="0"/>
              <w:left w:val="single" w:color="000000" w:sz="4" w:space="0"/>
              <w:bottom w:val="single" w:color="000000" w:sz="4" w:space="0"/>
            </w:tcBorders>
            <w:shd w:val="clear" w:color="auto" w:fill="auto"/>
          </w:tcPr>
          <w:p>
            <w:pPr>
              <w:pStyle w:val="32"/>
              <w:widowControl w:val="0"/>
              <w:rPr>
                <w:sz w:val="22"/>
                <w:szCs w:val="22"/>
              </w:rPr>
            </w:pPr>
            <w:r>
              <w:rPr>
                <w:b/>
                <w:sz w:val="22"/>
                <w:szCs w:val="22"/>
              </w:rPr>
              <w:t>32.</w:t>
            </w:r>
          </w:p>
        </w:tc>
        <w:tc>
          <w:tcPr>
            <w:tcW w:w="9946" w:type="dxa"/>
            <w:gridSpan w:val="2"/>
            <w:tcBorders>
              <w:top w:val="single" w:color="000000" w:sz="4" w:space="0"/>
              <w:left w:val="single" w:color="000000" w:sz="4" w:space="0"/>
              <w:bottom w:val="single" w:color="000000" w:sz="4" w:space="0"/>
              <w:right w:val="single" w:color="000000" w:sz="4" w:space="0"/>
            </w:tcBorders>
            <w:shd w:val="clear" w:color="auto" w:fill="auto"/>
          </w:tcPr>
          <w:p>
            <w:pPr>
              <w:jc w:val="both"/>
              <w:rPr>
                <w:sz w:val="22"/>
                <w:szCs w:val="22"/>
              </w:rPr>
            </w:pPr>
            <w:r>
              <w:rPr>
                <w:sz w:val="22"/>
                <w:szCs w:val="22"/>
              </w:rPr>
              <w:t xml:space="preserve">Преимущества, предоставляемые Заказчиком отдельным категориям участников субъектам малого и среднего предпринимательства - </w:t>
            </w:r>
            <w:r>
              <w:rPr>
                <w:b/>
                <w:bCs/>
                <w:sz w:val="22"/>
                <w:szCs w:val="22"/>
              </w:rPr>
              <w:t>НЕ ПРЕДОСТАВЛЕНЫ</w:t>
            </w:r>
            <w:r>
              <w:rPr>
                <w:sz w:val="22"/>
                <w:szCs w:val="22"/>
              </w:rPr>
              <w:t>.</w:t>
            </w:r>
          </w:p>
        </w:tc>
      </w:tr>
      <w:tr>
        <w:tblPrEx>
          <w:tblCellMar>
            <w:top w:w="0" w:type="dxa"/>
            <w:left w:w="108" w:type="dxa"/>
            <w:bottom w:w="0" w:type="dxa"/>
            <w:right w:w="108" w:type="dxa"/>
          </w:tblCellMar>
        </w:tblPrEx>
        <w:tc>
          <w:tcPr>
            <w:tcW w:w="575" w:type="dxa"/>
            <w:tcBorders>
              <w:top w:val="single" w:color="000000" w:sz="4" w:space="0"/>
              <w:left w:val="single" w:color="000000" w:sz="4" w:space="0"/>
              <w:bottom w:val="single" w:color="000000" w:sz="4" w:space="0"/>
            </w:tcBorders>
            <w:shd w:val="clear" w:color="auto" w:fill="auto"/>
          </w:tcPr>
          <w:p>
            <w:pPr>
              <w:pStyle w:val="32"/>
              <w:widowControl w:val="0"/>
              <w:rPr>
                <w:sz w:val="22"/>
                <w:szCs w:val="22"/>
              </w:rPr>
            </w:pPr>
            <w:r>
              <w:rPr>
                <w:b/>
                <w:sz w:val="22"/>
                <w:szCs w:val="22"/>
              </w:rPr>
              <w:t>33.</w:t>
            </w:r>
          </w:p>
        </w:tc>
        <w:tc>
          <w:tcPr>
            <w:tcW w:w="9946" w:type="dxa"/>
            <w:gridSpan w:val="2"/>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sz w:val="22"/>
                <w:szCs w:val="22"/>
              </w:rPr>
            </w:pPr>
            <w:r>
              <w:rPr>
                <w:sz w:val="22"/>
                <w:szCs w:val="22"/>
              </w:rPr>
              <w:t>Особые условия:</w:t>
            </w:r>
          </w:p>
          <w:p>
            <w:pPr>
              <w:snapToGrid w:val="0"/>
              <w:jc w:val="both"/>
              <w:rPr>
                <w:sz w:val="22"/>
                <w:szCs w:val="22"/>
              </w:rPr>
            </w:pPr>
            <w:r>
              <w:rPr>
                <w:sz w:val="22"/>
                <w:szCs w:val="22"/>
              </w:rPr>
              <w:t xml:space="preserve">При противоречии между требованиями настоящей документации об аукционе в электронной форме и требованиями нормативно – правовых актов Российской Федерации, регулирующих вопросы поставки товаров, выполнения работ, оказания услуг, применяются требования указанных нормативных правовых актов. </w:t>
            </w:r>
          </w:p>
          <w:p>
            <w:pPr>
              <w:jc w:val="both"/>
              <w:rPr>
                <w:sz w:val="22"/>
                <w:szCs w:val="22"/>
              </w:rPr>
            </w:pPr>
            <w:r>
              <w:rPr>
                <w:sz w:val="22"/>
                <w:szCs w:val="22"/>
              </w:rPr>
              <w:t>В случае наличия расхождений в сведениях, определенных разделом 2 «ИНФОРМАЦИОННАЯ КАРТА АУКЦИОНА» и другими разделами документации об аукционе принимаются во внимание сведения, указанные в разделе 2 «ИНФОРМАЦИОННАЯ КАРТА АУКЦИОНА» документации об аукционе.</w:t>
            </w:r>
          </w:p>
        </w:tc>
      </w:tr>
    </w:tbl>
    <w:p>
      <w:pPr>
        <w:pStyle w:val="2"/>
        <w:pageBreakBefore/>
        <w:ind w:left="0" w:right="0" w:firstLine="0"/>
        <w:jc w:val="left"/>
        <w:rPr>
          <w:b/>
          <w:caps/>
          <w:sz w:val="22"/>
          <w:szCs w:val="22"/>
        </w:rPr>
      </w:pPr>
      <w:r>
        <w:rPr>
          <w:b/>
          <w:caps/>
          <w:sz w:val="22"/>
          <w:szCs w:val="22"/>
        </w:rPr>
        <w:t>3. Техническое задание (Техническая часть)</w:t>
      </w:r>
    </w:p>
    <w:p>
      <w:pPr>
        <w:rPr>
          <w:b/>
          <w:caps/>
          <w:sz w:val="22"/>
          <w:szCs w:val="22"/>
        </w:rPr>
      </w:pPr>
    </w:p>
    <w:p>
      <w:pPr>
        <w:suppressAutoHyphens w:val="0"/>
        <w:jc w:val="center"/>
        <w:rPr>
          <w:rFonts w:eastAsia="Calibri"/>
          <w:b/>
          <w:sz w:val="22"/>
          <w:szCs w:val="22"/>
          <w:lang w:eastAsia="en-US"/>
        </w:rPr>
      </w:pPr>
      <w:r>
        <w:rPr>
          <w:rFonts w:eastAsia="Calibri"/>
          <w:b/>
          <w:sz w:val="22"/>
          <w:szCs w:val="22"/>
          <w:lang w:eastAsia="en-US"/>
        </w:rPr>
        <w:t>ТЕХНИЧЕСКОЕ ЗАДАНИЕ</w:t>
      </w:r>
    </w:p>
    <w:p>
      <w:pPr>
        <w:suppressAutoHyphens w:val="0"/>
        <w:jc w:val="center"/>
        <w:rPr>
          <w:rFonts w:eastAsia="Calibri"/>
          <w:sz w:val="22"/>
          <w:szCs w:val="22"/>
          <w:lang w:eastAsia="en-US"/>
        </w:rPr>
      </w:pPr>
      <w:r>
        <w:rPr>
          <w:rFonts w:eastAsia="Calibri"/>
          <w:sz w:val="22"/>
          <w:szCs w:val="22"/>
          <w:lang w:eastAsia="en-US"/>
        </w:rPr>
        <w:t xml:space="preserve">на поставку дизельного топлива </w:t>
      </w:r>
    </w:p>
    <w:p>
      <w:pPr>
        <w:suppressAutoHyphens w:val="0"/>
        <w:jc w:val="center"/>
        <w:rPr>
          <w:rFonts w:eastAsia="Calibri"/>
          <w:sz w:val="22"/>
          <w:szCs w:val="22"/>
          <w:lang w:eastAsia="en-US"/>
        </w:rPr>
      </w:pPr>
    </w:p>
    <w:p>
      <w:pPr>
        <w:suppressAutoHyphens w:val="0"/>
        <w:jc w:val="both"/>
        <w:rPr>
          <w:sz w:val="22"/>
          <w:szCs w:val="22"/>
        </w:rPr>
      </w:pPr>
      <w:r>
        <w:rPr>
          <w:b/>
          <w:iCs/>
          <w:sz w:val="22"/>
          <w:szCs w:val="22"/>
          <w:u w:val="single"/>
        </w:rPr>
        <w:t>Заказчик:</w:t>
      </w:r>
      <w:r>
        <w:rPr>
          <w:b/>
          <w:i/>
          <w:iCs/>
          <w:sz w:val="22"/>
          <w:szCs w:val="22"/>
        </w:rPr>
        <w:t xml:space="preserve"> </w:t>
      </w:r>
      <w:r>
        <w:rPr>
          <w:sz w:val="22"/>
          <w:szCs w:val="22"/>
        </w:rPr>
        <w:t xml:space="preserve"> Государственное унитарное предприятие Республики Карелии «Карелавтотранс-Сервис» (сокращенное наименование ГУП РК «Карелавтотранс-Сервис»).</w:t>
      </w:r>
    </w:p>
    <w:p>
      <w:pPr>
        <w:spacing w:after="120"/>
        <w:jc w:val="both"/>
        <w:rPr>
          <w:b/>
          <w:i/>
          <w:sz w:val="22"/>
          <w:szCs w:val="22"/>
          <w:u w:val="single"/>
        </w:rPr>
      </w:pPr>
      <w:r>
        <w:rPr>
          <w:b/>
          <w:sz w:val="22"/>
          <w:szCs w:val="22"/>
          <w:u w:val="single"/>
        </w:rPr>
        <w:t>Поставщик:</w:t>
      </w:r>
      <w:r>
        <w:rPr>
          <w:b/>
          <w:i/>
          <w:sz w:val="22"/>
          <w:szCs w:val="22"/>
        </w:rPr>
        <w:t xml:space="preserve"> </w:t>
      </w:r>
      <w:r>
        <w:rPr>
          <w:b/>
          <w:i/>
          <w:sz w:val="22"/>
          <w:szCs w:val="22"/>
          <w:u w:val="single"/>
        </w:rPr>
        <w:t>_____________________(</w:t>
      </w:r>
      <w:r>
        <w:rPr>
          <w:i/>
          <w:color w:val="000000"/>
          <w:sz w:val="22"/>
          <w:szCs w:val="22"/>
        </w:rPr>
        <w:t xml:space="preserve">лицо, с которым заключен контракт </w:t>
      </w:r>
      <w:r>
        <w:rPr>
          <w:i/>
          <w:sz w:val="22"/>
          <w:szCs w:val="22"/>
        </w:rPr>
        <w:t>по результатам аукциона.)</w:t>
      </w:r>
    </w:p>
    <w:p>
      <w:pPr>
        <w:spacing w:after="120"/>
        <w:jc w:val="both"/>
        <w:rPr>
          <w:sz w:val="22"/>
          <w:szCs w:val="22"/>
        </w:rPr>
      </w:pPr>
      <w:r>
        <w:rPr>
          <w:b/>
          <w:iCs/>
          <w:sz w:val="22"/>
          <w:szCs w:val="22"/>
          <w:u w:val="single"/>
        </w:rPr>
        <w:t>Задача:</w:t>
      </w:r>
      <w:r>
        <w:rPr>
          <w:sz w:val="22"/>
          <w:szCs w:val="22"/>
        </w:rPr>
        <w:t xml:space="preserve"> Поставщику необходимо осуществлять поставку дизельного топлива (далее также «товары») на автозаправочной станции или автозаправочных станциях (далее также «АЗС») Поставщика согласно Спецификации поставляемых товаров (Таблица 1). Технические и функциональные характеристики, общее количество поставляемого автомобильного топлива должны соответствовать указанным в Таблице 1.</w:t>
      </w:r>
    </w:p>
    <w:p>
      <w:pPr>
        <w:pStyle w:val="46"/>
        <w:spacing w:before="0" w:after="0"/>
        <w:jc w:val="center"/>
        <w:rPr>
          <w:b/>
          <w:sz w:val="22"/>
          <w:szCs w:val="22"/>
        </w:rPr>
      </w:pPr>
      <w:r>
        <w:rPr>
          <w:b/>
          <w:sz w:val="22"/>
          <w:szCs w:val="22"/>
        </w:rPr>
        <w:t>Таблица 1. Спецификация поставляемых товаров</w:t>
      </w:r>
    </w:p>
    <w:p>
      <w:pPr>
        <w:jc w:val="both"/>
        <w:rPr>
          <w:b/>
          <w:i/>
          <w:sz w:val="22"/>
          <w:szCs w:val="22"/>
          <w:u w:val="single"/>
        </w:rPr>
      </w:pPr>
    </w:p>
    <w:tbl>
      <w:tblPr>
        <w:tblStyle w:val="12"/>
        <w:tblW w:w="9498" w:type="dxa"/>
        <w:tblInd w:w="108" w:type="dxa"/>
        <w:tblLayout w:type="fixed"/>
        <w:tblCellMar>
          <w:top w:w="0" w:type="dxa"/>
          <w:left w:w="108" w:type="dxa"/>
          <w:bottom w:w="0" w:type="dxa"/>
          <w:right w:w="108" w:type="dxa"/>
        </w:tblCellMar>
      </w:tblPr>
      <w:tblGrid>
        <w:gridCol w:w="964"/>
        <w:gridCol w:w="2121"/>
        <w:gridCol w:w="3470"/>
        <w:gridCol w:w="1525"/>
        <w:gridCol w:w="1418"/>
      </w:tblGrid>
      <w:tr>
        <w:tblPrEx>
          <w:tblCellMar>
            <w:top w:w="0" w:type="dxa"/>
            <w:left w:w="108" w:type="dxa"/>
            <w:bottom w:w="0" w:type="dxa"/>
            <w:right w:w="108" w:type="dxa"/>
          </w:tblCellMar>
        </w:tblPrEx>
        <w:trPr>
          <w:trHeight w:val="437" w:hRule="atLeast"/>
        </w:trPr>
        <w:tc>
          <w:tcPr>
            <w:tcW w:w="964" w:type="dxa"/>
            <w:tcBorders>
              <w:top w:val="single" w:color="000000" w:sz="4" w:space="0"/>
              <w:left w:val="single" w:color="000000" w:sz="4" w:space="0"/>
              <w:bottom w:val="single" w:color="000000" w:sz="4" w:space="0"/>
            </w:tcBorders>
            <w:vAlign w:val="center"/>
          </w:tcPr>
          <w:p>
            <w:pPr>
              <w:widowControl w:val="0"/>
              <w:snapToGrid w:val="0"/>
              <w:jc w:val="center"/>
              <w:rPr>
                <w:b/>
                <w:bCs/>
                <w:kern w:val="1"/>
                <w:sz w:val="22"/>
                <w:szCs w:val="22"/>
              </w:rPr>
            </w:pPr>
            <w:r>
              <w:rPr>
                <w:b/>
                <w:bCs/>
                <w:kern w:val="1"/>
                <w:sz w:val="22"/>
                <w:szCs w:val="22"/>
              </w:rPr>
              <w:t>№</w:t>
            </w:r>
          </w:p>
          <w:p>
            <w:pPr>
              <w:widowControl w:val="0"/>
              <w:snapToGrid w:val="0"/>
              <w:jc w:val="center"/>
              <w:rPr>
                <w:b/>
                <w:bCs/>
                <w:kern w:val="1"/>
                <w:sz w:val="22"/>
                <w:szCs w:val="22"/>
              </w:rPr>
            </w:pPr>
            <w:r>
              <w:rPr>
                <w:b/>
                <w:bCs/>
                <w:kern w:val="1"/>
                <w:sz w:val="22"/>
                <w:szCs w:val="22"/>
              </w:rPr>
              <w:t>п/п</w:t>
            </w:r>
          </w:p>
        </w:tc>
        <w:tc>
          <w:tcPr>
            <w:tcW w:w="2121" w:type="dxa"/>
            <w:tcBorders>
              <w:top w:val="single" w:color="000000" w:sz="4" w:space="0"/>
              <w:left w:val="single" w:color="auto" w:sz="4" w:space="0"/>
              <w:bottom w:val="single" w:color="000000" w:sz="4" w:space="0"/>
            </w:tcBorders>
            <w:vAlign w:val="center"/>
          </w:tcPr>
          <w:p>
            <w:pPr>
              <w:widowControl w:val="0"/>
              <w:snapToGrid w:val="0"/>
              <w:jc w:val="center"/>
              <w:rPr>
                <w:b/>
                <w:bCs/>
                <w:kern w:val="1"/>
                <w:sz w:val="22"/>
                <w:szCs w:val="22"/>
              </w:rPr>
            </w:pPr>
            <w:r>
              <w:rPr>
                <w:b/>
                <w:bCs/>
                <w:kern w:val="1"/>
                <w:sz w:val="22"/>
                <w:szCs w:val="22"/>
              </w:rPr>
              <w:t>Наименование товара</w:t>
            </w:r>
          </w:p>
        </w:tc>
        <w:tc>
          <w:tcPr>
            <w:tcW w:w="3470" w:type="dxa"/>
            <w:tcBorders>
              <w:top w:val="single" w:color="000000" w:sz="4" w:space="0"/>
              <w:left w:val="single" w:color="000000" w:sz="4" w:space="0"/>
              <w:right w:val="single" w:color="auto" w:sz="4" w:space="0"/>
            </w:tcBorders>
            <w:vAlign w:val="center"/>
          </w:tcPr>
          <w:p>
            <w:pPr>
              <w:widowControl w:val="0"/>
              <w:snapToGrid w:val="0"/>
              <w:jc w:val="center"/>
              <w:rPr>
                <w:b/>
                <w:bCs/>
                <w:kern w:val="1"/>
                <w:sz w:val="22"/>
                <w:szCs w:val="22"/>
              </w:rPr>
            </w:pPr>
            <w:r>
              <w:rPr>
                <w:b/>
                <w:sz w:val="22"/>
                <w:szCs w:val="22"/>
              </w:rPr>
              <w:t>Характеристики (показатели)</w:t>
            </w:r>
          </w:p>
        </w:tc>
        <w:tc>
          <w:tcPr>
            <w:tcW w:w="1525" w:type="dxa"/>
            <w:tcBorders>
              <w:top w:val="single" w:color="000000" w:sz="4" w:space="0"/>
              <w:left w:val="single" w:color="auto" w:sz="4" w:space="0"/>
              <w:right w:val="single" w:color="000000" w:sz="4" w:space="0"/>
            </w:tcBorders>
            <w:vAlign w:val="center"/>
          </w:tcPr>
          <w:p>
            <w:pPr>
              <w:widowControl w:val="0"/>
              <w:snapToGrid w:val="0"/>
              <w:jc w:val="center"/>
              <w:rPr>
                <w:b/>
                <w:bCs/>
                <w:kern w:val="1"/>
                <w:sz w:val="22"/>
                <w:szCs w:val="22"/>
              </w:rPr>
            </w:pPr>
            <w:r>
              <w:rPr>
                <w:b/>
                <w:bCs/>
                <w:kern w:val="1"/>
                <w:sz w:val="22"/>
                <w:szCs w:val="22"/>
              </w:rPr>
              <w:t>Единица измерения</w:t>
            </w:r>
          </w:p>
        </w:tc>
        <w:tc>
          <w:tcPr>
            <w:tcW w:w="1418" w:type="dxa"/>
            <w:tcBorders>
              <w:top w:val="single" w:color="000000" w:sz="4" w:space="0"/>
              <w:left w:val="single" w:color="000000" w:sz="4" w:space="0"/>
              <w:right w:val="single" w:color="000000" w:sz="4" w:space="0"/>
            </w:tcBorders>
            <w:vAlign w:val="center"/>
          </w:tcPr>
          <w:p>
            <w:pPr>
              <w:widowControl w:val="0"/>
              <w:snapToGrid w:val="0"/>
              <w:jc w:val="center"/>
              <w:rPr>
                <w:b/>
                <w:bCs/>
                <w:kern w:val="1"/>
                <w:sz w:val="22"/>
                <w:szCs w:val="22"/>
              </w:rPr>
            </w:pPr>
            <w:r>
              <w:rPr>
                <w:b/>
                <w:bCs/>
                <w:kern w:val="1"/>
                <w:sz w:val="22"/>
                <w:szCs w:val="22"/>
              </w:rPr>
              <w:t>Кол-во</w:t>
            </w:r>
          </w:p>
          <w:p>
            <w:pPr>
              <w:widowControl w:val="0"/>
              <w:snapToGrid w:val="0"/>
              <w:jc w:val="center"/>
              <w:rPr>
                <w:b/>
                <w:bCs/>
                <w:kern w:val="1"/>
                <w:sz w:val="22"/>
                <w:szCs w:val="22"/>
              </w:rPr>
            </w:pPr>
          </w:p>
        </w:tc>
      </w:tr>
      <w:tr>
        <w:tblPrEx>
          <w:tblCellMar>
            <w:top w:w="0" w:type="dxa"/>
            <w:left w:w="108" w:type="dxa"/>
            <w:bottom w:w="0" w:type="dxa"/>
            <w:right w:w="108" w:type="dxa"/>
          </w:tblCellMar>
        </w:tblPrEx>
        <w:trPr>
          <w:trHeight w:val="556" w:hRule="atLeast"/>
        </w:trPr>
        <w:tc>
          <w:tcPr>
            <w:tcW w:w="964" w:type="dxa"/>
            <w:tcBorders>
              <w:top w:val="single" w:color="000000" w:sz="4" w:space="0"/>
              <w:left w:val="single" w:color="000000" w:sz="4" w:space="0"/>
              <w:bottom w:val="single" w:color="000000" w:sz="4" w:space="0"/>
            </w:tcBorders>
            <w:vAlign w:val="center"/>
          </w:tcPr>
          <w:p>
            <w:pPr>
              <w:snapToGrid w:val="0"/>
              <w:jc w:val="center"/>
              <w:rPr>
                <w:b/>
                <w:sz w:val="22"/>
                <w:szCs w:val="22"/>
              </w:rPr>
            </w:pPr>
            <w:r>
              <w:rPr>
                <w:b/>
                <w:sz w:val="22"/>
                <w:szCs w:val="22"/>
              </w:rPr>
              <w:t>1</w:t>
            </w:r>
          </w:p>
        </w:tc>
        <w:tc>
          <w:tcPr>
            <w:tcW w:w="2121" w:type="dxa"/>
            <w:tcBorders>
              <w:top w:val="single" w:color="000000" w:sz="4" w:space="0"/>
              <w:left w:val="single" w:color="auto" w:sz="4" w:space="0"/>
              <w:bottom w:val="single" w:color="000000" w:sz="4" w:space="0"/>
            </w:tcBorders>
            <w:vAlign w:val="center"/>
          </w:tcPr>
          <w:p>
            <w:pPr>
              <w:snapToGrid w:val="0"/>
              <w:rPr>
                <w:sz w:val="22"/>
                <w:szCs w:val="22"/>
                <w:lang w:eastAsia="ru-RU"/>
              </w:rPr>
            </w:pPr>
            <w:r>
              <w:rPr>
                <w:sz w:val="22"/>
                <w:szCs w:val="22"/>
                <w:lang w:eastAsia="ru-RU"/>
              </w:rPr>
              <w:t>Дизельное топливо</w:t>
            </w:r>
          </w:p>
          <w:p>
            <w:pPr>
              <w:snapToGrid w:val="0"/>
              <w:rPr>
                <w:sz w:val="22"/>
                <w:szCs w:val="22"/>
              </w:rPr>
            </w:pPr>
          </w:p>
        </w:tc>
        <w:tc>
          <w:tcPr>
            <w:tcW w:w="3470" w:type="dxa"/>
            <w:tcBorders>
              <w:top w:val="single" w:color="000000" w:sz="4" w:space="0"/>
              <w:left w:val="single" w:color="000000" w:sz="4" w:space="0"/>
              <w:bottom w:val="single" w:color="000000" w:sz="4" w:space="0"/>
              <w:right w:val="single" w:color="auto" w:sz="4" w:space="0"/>
            </w:tcBorders>
            <w:vAlign w:val="center"/>
          </w:tcPr>
          <w:p>
            <w:pPr>
              <w:snapToGrid w:val="0"/>
              <w:jc w:val="center"/>
              <w:rPr>
                <w:b/>
                <w:sz w:val="22"/>
                <w:szCs w:val="22"/>
              </w:rPr>
            </w:pPr>
            <w:r>
              <w:rPr>
                <w:b/>
                <w:sz w:val="22"/>
                <w:szCs w:val="22"/>
              </w:rPr>
              <w:t>ГОСТ 32511-2013</w:t>
            </w:r>
          </w:p>
          <w:p>
            <w:pPr>
              <w:snapToGrid w:val="0"/>
              <w:rPr>
                <w:sz w:val="22"/>
                <w:szCs w:val="22"/>
              </w:rPr>
            </w:pPr>
            <w:r>
              <w:rPr>
                <w:b/>
                <w:sz w:val="22"/>
                <w:szCs w:val="22"/>
              </w:rPr>
              <w:t>Экологический класс не ниже 5</w:t>
            </w:r>
          </w:p>
        </w:tc>
        <w:tc>
          <w:tcPr>
            <w:tcW w:w="1525" w:type="dxa"/>
            <w:tcBorders>
              <w:top w:val="single" w:color="000000" w:sz="4" w:space="0"/>
              <w:left w:val="single" w:color="auto" w:sz="4" w:space="0"/>
              <w:bottom w:val="single" w:color="000000" w:sz="4" w:space="0"/>
              <w:right w:val="single" w:color="000000" w:sz="4" w:space="0"/>
            </w:tcBorders>
            <w:vAlign w:val="center"/>
          </w:tcPr>
          <w:p>
            <w:pPr>
              <w:pStyle w:val="46"/>
              <w:spacing w:before="0" w:after="0"/>
              <w:jc w:val="center"/>
              <w:rPr>
                <w:sz w:val="22"/>
                <w:szCs w:val="22"/>
              </w:rPr>
            </w:pPr>
            <w:r>
              <w:rPr>
                <w:sz w:val="22"/>
                <w:szCs w:val="22"/>
              </w:rPr>
              <w:t>Литры</w:t>
            </w: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46"/>
              <w:spacing w:before="0" w:after="0"/>
              <w:jc w:val="center"/>
              <w:rPr>
                <w:b/>
                <w:sz w:val="22"/>
                <w:szCs w:val="22"/>
                <w:highlight w:val="yellow"/>
              </w:rPr>
            </w:pPr>
            <w:r>
              <w:rPr>
                <w:rFonts w:hint="default"/>
                <w:lang w:val="ru-RU"/>
              </w:rPr>
              <w:t>165</w:t>
            </w:r>
            <w:r>
              <w:t> 000,00</w:t>
            </w:r>
          </w:p>
        </w:tc>
      </w:tr>
    </w:tbl>
    <w:p>
      <w:pPr>
        <w:jc w:val="both"/>
        <w:rPr>
          <w:b/>
          <w:i/>
          <w:sz w:val="22"/>
          <w:szCs w:val="22"/>
          <w:u w:val="single"/>
        </w:rPr>
      </w:pPr>
    </w:p>
    <w:p>
      <w:pPr>
        <w:jc w:val="both"/>
        <w:rPr>
          <w:b/>
          <w:i/>
          <w:sz w:val="22"/>
          <w:szCs w:val="22"/>
        </w:rPr>
      </w:pPr>
      <w:r>
        <w:rPr>
          <w:b/>
          <w:sz w:val="22"/>
          <w:szCs w:val="22"/>
          <w:u w:val="single"/>
        </w:rPr>
        <w:t>Место поставки товаров:</w:t>
      </w:r>
      <w:r>
        <w:rPr>
          <w:sz w:val="22"/>
          <w:szCs w:val="22"/>
        </w:rPr>
        <w:t xml:space="preserve"> Заказчик получает топливные карты на автомобильное топливо по месту фактического нахождения Поставщика (</w:t>
      </w:r>
      <w:r>
        <w:rPr>
          <w:i/>
          <w:sz w:val="22"/>
          <w:szCs w:val="22"/>
        </w:rPr>
        <w:t>лица, с которым заключен контракт по результатам проведения аукциона)</w:t>
      </w:r>
      <w:r>
        <w:rPr>
          <w:sz w:val="22"/>
          <w:szCs w:val="22"/>
        </w:rPr>
        <w:t xml:space="preserve"> или его обособленного подразделения.</w:t>
      </w:r>
    </w:p>
    <w:p>
      <w:pPr>
        <w:pStyle w:val="408"/>
        <w:jc w:val="both"/>
        <w:rPr>
          <w:sz w:val="22"/>
          <w:szCs w:val="22"/>
        </w:rPr>
      </w:pPr>
      <w:r>
        <w:rPr>
          <w:b/>
          <w:sz w:val="22"/>
          <w:szCs w:val="22"/>
          <w:u w:val="single"/>
        </w:rPr>
        <w:t>Расположение автозаправочных станций (АЗС), на которых осуществляется предоставление топлива по предоставленным Поставщиком Картам</w:t>
      </w:r>
      <w:r>
        <w:rPr>
          <w:sz w:val="22"/>
          <w:szCs w:val="22"/>
        </w:rPr>
        <w:t xml:space="preserve">: Республики Карелия: г. Петрозаводск; не менее 1 заправки на территории г.Петрозаводск, Кондопожский район. </w:t>
      </w:r>
    </w:p>
    <w:p>
      <w:pPr>
        <w:jc w:val="both"/>
        <w:rPr>
          <w:sz w:val="22"/>
          <w:szCs w:val="22"/>
        </w:rPr>
      </w:pPr>
      <w:r>
        <w:rPr>
          <w:b/>
          <w:sz w:val="22"/>
          <w:szCs w:val="22"/>
          <w:u w:val="single"/>
        </w:rPr>
        <w:t>Сроки поставки товаров</w:t>
      </w:r>
      <w:r>
        <w:rPr>
          <w:sz w:val="22"/>
          <w:szCs w:val="22"/>
        </w:rPr>
        <w:t>: топливные карты с указанным в настоящем техническом задании лимитом предоставляются Поставщиком в течение трех рабочих дней с момента поступления заявки от Заказчика. Автомобильное топливо незамедлительно и круглосуточно (кроме технических перерывов) предоставляется по топливным картам на АЗС Поставщика. Поставка дизельного топлива осуществляется путем его выборки Заказчиком с даты заключения договора по 3</w:t>
      </w:r>
      <w:r>
        <w:rPr>
          <w:rFonts w:hint="default"/>
          <w:sz w:val="22"/>
          <w:szCs w:val="22"/>
          <w:lang w:val="ru-RU"/>
        </w:rPr>
        <w:t>1</w:t>
      </w:r>
      <w:r>
        <w:rPr>
          <w:sz w:val="22"/>
          <w:szCs w:val="22"/>
        </w:rPr>
        <w:t>.0</w:t>
      </w:r>
      <w:r>
        <w:rPr>
          <w:rFonts w:hint="default"/>
          <w:sz w:val="22"/>
          <w:szCs w:val="22"/>
          <w:lang w:val="ru-RU"/>
        </w:rPr>
        <w:t>3</w:t>
      </w:r>
      <w:bookmarkStart w:id="13" w:name="_GoBack"/>
      <w:bookmarkEnd w:id="13"/>
      <w:r>
        <w:rPr>
          <w:sz w:val="22"/>
          <w:szCs w:val="22"/>
        </w:rPr>
        <w:t>.202</w:t>
      </w:r>
      <w:r>
        <w:rPr>
          <w:rFonts w:hint="default"/>
          <w:sz w:val="22"/>
          <w:szCs w:val="22"/>
          <w:lang w:val="ru-RU"/>
        </w:rPr>
        <w:t>3</w:t>
      </w:r>
      <w:r>
        <w:rPr>
          <w:sz w:val="22"/>
          <w:szCs w:val="22"/>
        </w:rPr>
        <w:t>г.</w:t>
      </w:r>
    </w:p>
    <w:p>
      <w:pPr>
        <w:jc w:val="both"/>
        <w:rPr>
          <w:color w:val="000000"/>
          <w:sz w:val="22"/>
          <w:szCs w:val="22"/>
        </w:rPr>
      </w:pPr>
      <w:r>
        <w:rPr>
          <w:sz w:val="22"/>
          <w:szCs w:val="22"/>
        </w:rPr>
        <w:t xml:space="preserve">Поставщик должен гарантировать качество поставляемого автомобильного топлива. Срок и объем гарантии на поставляемое автомобильное топливо должны быть согласно гарантии изготовителя. </w:t>
      </w:r>
      <w:r>
        <w:rPr>
          <w:color w:val="000000"/>
          <w:sz w:val="22"/>
          <w:szCs w:val="22"/>
        </w:rPr>
        <w:t>Наличие сертификатов соответствия и гарантий на поставляемые товары согласно законодательству РФ.</w:t>
      </w:r>
    </w:p>
    <w:p>
      <w:pPr>
        <w:jc w:val="both"/>
        <w:rPr>
          <w:color w:val="000000"/>
          <w:sz w:val="22"/>
          <w:szCs w:val="22"/>
        </w:rPr>
      </w:pPr>
      <w:r>
        <w:rPr>
          <w:bCs/>
          <w:sz w:val="22"/>
          <w:szCs w:val="22"/>
        </w:rPr>
        <w:t>Поставщик обеспечивает передачу топливных карт в необходимом для Заказчика количестве: на момент заключения Договора – в количестве 40 шт., и в случае необходимости дополнительного количества топливных карт (но всего не более 70 шт.) – в течение 3 рабочих дней с момента поступления заявки от Заказчика.</w:t>
      </w:r>
    </w:p>
    <w:p>
      <w:pPr>
        <w:pStyle w:val="366"/>
        <w:tabs>
          <w:tab w:val="left" w:pos="567"/>
        </w:tabs>
        <w:ind w:left="0"/>
        <w:rPr>
          <w:bCs/>
          <w:sz w:val="22"/>
          <w:szCs w:val="22"/>
        </w:rPr>
      </w:pPr>
      <w:r>
        <w:rPr>
          <w:bCs/>
          <w:sz w:val="22"/>
          <w:szCs w:val="22"/>
        </w:rPr>
        <w:t>Поставщик обеспечивает доступ и сопровождение электронного личного кабинета Заказчика на интернет-сайте Поставщика, с возможностью отслеживать количество поставленного Товара, получать реестр операций по топливным картам.</w:t>
      </w:r>
    </w:p>
    <w:p>
      <w:pPr>
        <w:rPr>
          <w:bCs/>
          <w:sz w:val="22"/>
          <w:szCs w:val="22"/>
        </w:rPr>
      </w:pPr>
      <w:r>
        <w:rPr>
          <w:bCs/>
          <w:sz w:val="22"/>
          <w:szCs w:val="22"/>
        </w:rPr>
        <w:t>Качество дизельного топлива должно соответствовать климатическому сезону на момент его приобретения, требованиям технических регламентов и подтверждаться сертификатами качества на данный вид товара.</w:t>
      </w:r>
    </w:p>
    <w:p>
      <w:pPr>
        <w:rPr>
          <w:sz w:val="22"/>
          <w:szCs w:val="22"/>
        </w:rPr>
        <w:sectPr>
          <w:footerReference r:id="rId5" w:type="first"/>
          <w:footerReference r:id="rId4" w:type="default"/>
          <w:pgSz w:w="11906" w:h="16838"/>
          <w:pgMar w:top="851" w:right="707" w:bottom="1418" w:left="1134" w:header="720" w:footer="720" w:gutter="0"/>
          <w:cols w:space="720" w:num="1"/>
          <w:docGrid w:linePitch="360" w:charSpace="0"/>
        </w:sectPr>
      </w:pPr>
    </w:p>
    <w:p>
      <w:pPr>
        <w:pStyle w:val="2"/>
        <w:ind w:left="0" w:right="-1" w:firstLine="0"/>
        <w:jc w:val="both"/>
        <w:rPr>
          <w:b/>
          <w:sz w:val="22"/>
          <w:szCs w:val="22"/>
        </w:rPr>
      </w:pPr>
      <w:bookmarkStart w:id="9" w:name="__RefHeading___Toc341251622"/>
      <w:r>
        <w:rPr>
          <w:b/>
          <w:sz w:val="22"/>
          <w:szCs w:val="22"/>
        </w:rPr>
        <w:t>4. ПРОЕКТ ДОГОВОРА</w:t>
      </w:r>
      <w:bookmarkEnd w:id="9"/>
      <w:r>
        <w:rPr>
          <w:rStyle w:val="333"/>
          <w:sz w:val="22"/>
          <w:szCs w:val="22"/>
        </w:rPr>
        <w:footnoteReference w:id="0"/>
      </w:r>
    </w:p>
    <w:p>
      <w:pPr>
        <w:jc w:val="right"/>
        <w:rPr>
          <w:b/>
          <w:sz w:val="22"/>
          <w:szCs w:val="22"/>
        </w:rPr>
      </w:pPr>
    </w:p>
    <w:p>
      <w:pPr>
        <w:jc w:val="center"/>
        <w:rPr>
          <w:b/>
          <w:sz w:val="22"/>
          <w:szCs w:val="22"/>
        </w:rPr>
      </w:pPr>
      <w:r>
        <w:rPr>
          <w:b/>
          <w:sz w:val="22"/>
          <w:szCs w:val="22"/>
        </w:rPr>
        <w:t>ДОГОВОР №1</w:t>
      </w:r>
    </w:p>
    <w:p>
      <w:pPr>
        <w:jc w:val="center"/>
        <w:rPr>
          <w:b/>
          <w:sz w:val="22"/>
          <w:szCs w:val="22"/>
        </w:rPr>
      </w:pPr>
      <w:r>
        <w:rPr>
          <w:b/>
          <w:sz w:val="22"/>
          <w:szCs w:val="22"/>
        </w:rPr>
        <w:t>на поставку дизельного топлива</w:t>
      </w:r>
    </w:p>
    <w:p>
      <w:pPr>
        <w:tabs>
          <w:tab w:val="left" w:pos="7230"/>
        </w:tabs>
        <w:jc w:val="both"/>
        <w:rPr>
          <w:b/>
          <w:sz w:val="22"/>
          <w:szCs w:val="22"/>
        </w:rPr>
      </w:pPr>
      <w:r>
        <w:rPr>
          <w:b/>
          <w:sz w:val="22"/>
          <w:szCs w:val="22"/>
        </w:rPr>
        <w:t>Республика Карелия</w:t>
      </w:r>
    </w:p>
    <w:p>
      <w:pPr>
        <w:tabs>
          <w:tab w:val="left" w:pos="6663"/>
        </w:tabs>
        <w:jc w:val="both"/>
        <w:rPr>
          <w:b/>
          <w:bCs/>
          <w:sz w:val="22"/>
          <w:szCs w:val="22"/>
        </w:rPr>
      </w:pPr>
      <w:r>
        <w:rPr>
          <w:b/>
          <w:sz w:val="22"/>
          <w:szCs w:val="22"/>
        </w:rPr>
        <w:t>г. Петрозаводск</w:t>
      </w:r>
      <w:r>
        <w:rPr>
          <w:b/>
          <w:sz w:val="22"/>
          <w:szCs w:val="22"/>
        </w:rPr>
        <w:tab/>
      </w:r>
      <w:r>
        <w:rPr>
          <w:b/>
          <w:sz w:val="22"/>
          <w:szCs w:val="22"/>
        </w:rPr>
        <w:t xml:space="preserve">             «___» ____________ 2022 г.</w:t>
      </w:r>
    </w:p>
    <w:p>
      <w:pPr>
        <w:jc w:val="both"/>
        <w:rPr>
          <w:b/>
          <w:bCs/>
          <w:sz w:val="22"/>
          <w:szCs w:val="22"/>
        </w:rPr>
      </w:pPr>
    </w:p>
    <w:p>
      <w:pPr>
        <w:ind w:firstLine="567"/>
        <w:jc w:val="both"/>
        <w:rPr>
          <w:spacing w:val="-5"/>
          <w:sz w:val="22"/>
          <w:szCs w:val="22"/>
        </w:rPr>
      </w:pPr>
      <w:r>
        <w:rPr>
          <w:sz w:val="22"/>
          <w:szCs w:val="22"/>
        </w:rPr>
        <w:t xml:space="preserve">Государственное унитарное предприятие Республики Карелия «Карелавтотранс-Сервис» (сокращенное наименование </w:t>
      </w:r>
      <w:r>
        <w:rPr>
          <w:bCs/>
          <w:sz w:val="22"/>
          <w:szCs w:val="22"/>
        </w:rPr>
        <w:t>ГУП РК «Карелавтотранс-Сервис»</w:t>
      </w:r>
      <w:r>
        <w:rPr>
          <w:sz w:val="22"/>
          <w:szCs w:val="22"/>
        </w:rPr>
        <w:t>)</w:t>
      </w:r>
      <w:r>
        <w:rPr>
          <w:bCs/>
          <w:sz w:val="22"/>
          <w:szCs w:val="22"/>
        </w:rPr>
        <w:t xml:space="preserve">, </w:t>
      </w:r>
      <w:r>
        <w:rPr>
          <w:sz w:val="22"/>
          <w:szCs w:val="22"/>
        </w:rPr>
        <w:t xml:space="preserve">именуемое в дальнейшем </w:t>
      </w:r>
      <w:r>
        <w:rPr>
          <w:bCs/>
          <w:sz w:val="22"/>
          <w:szCs w:val="22"/>
        </w:rPr>
        <w:t xml:space="preserve">«Заказчик», </w:t>
      </w:r>
      <w:r>
        <w:rPr>
          <w:sz w:val="22"/>
          <w:szCs w:val="22"/>
        </w:rPr>
        <w:t>в лице директора Спицына Алексея Евгеньевича,  действующего на основании Устава, с одной стороны, и ______________________________________________ (_________________________)</w:t>
      </w:r>
      <w:r>
        <w:rPr>
          <w:spacing w:val="-1"/>
          <w:sz w:val="22"/>
          <w:szCs w:val="22"/>
        </w:rPr>
        <w:t>, именуем___</w:t>
      </w:r>
      <w:r>
        <w:rPr>
          <w:sz w:val="22"/>
          <w:szCs w:val="22"/>
        </w:rPr>
        <w:t xml:space="preserve"> в дальнейшем </w:t>
      </w:r>
      <w:r>
        <w:rPr>
          <w:bCs/>
          <w:sz w:val="22"/>
          <w:szCs w:val="22"/>
        </w:rPr>
        <w:t>«Поставщик/Головной Исполнитель»,</w:t>
      </w:r>
      <w:r>
        <w:rPr>
          <w:b/>
          <w:bCs/>
          <w:sz w:val="22"/>
          <w:szCs w:val="22"/>
        </w:rPr>
        <w:t xml:space="preserve"> </w:t>
      </w:r>
      <w:r>
        <w:rPr>
          <w:sz w:val="22"/>
          <w:szCs w:val="22"/>
        </w:rPr>
        <w:t xml:space="preserve">в лице _______________________________________, действующего на основании _____________, с другой стороны, совместно именуемые «Стороны», по результатам проведения Заказчиком аукциона в электронной форме   </w:t>
      </w:r>
      <w:r>
        <w:rPr>
          <w:spacing w:val="-1"/>
          <w:sz w:val="22"/>
          <w:szCs w:val="22"/>
        </w:rPr>
        <w:t xml:space="preserve">(протокол </w:t>
      </w:r>
      <w:r>
        <w:rPr>
          <w:sz w:val="22"/>
          <w:szCs w:val="22"/>
        </w:rPr>
        <w:t>№_____ от ____.____.2021 г.</w:t>
      </w:r>
      <w:r>
        <w:rPr>
          <w:spacing w:val="-4"/>
          <w:sz w:val="22"/>
          <w:szCs w:val="22"/>
        </w:rPr>
        <w:t xml:space="preserve">) </w:t>
      </w:r>
      <w:r>
        <w:rPr>
          <w:spacing w:val="-5"/>
          <w:sz w:val="22"/>
          <w:szCs w:val="22"/>
        </w:rPr>
        <w:t>заключили настоящий договор (далее также «договор») о нижеследующем:</w:t>
      </w:r>
    </w:p>
    <w:p>
      <w:pPr>
        <w:tabs>
          <w:tab w:val="left" w:pos="1134"/>
        </w:tabs>
        <w:ind w:right="58"/>
        <w:jc w:val="both"/>
        <w:rPr>
          <w:snapToGrid w:val="0"/>
          <w:sz w:val="22"/>
          <w:szCs w:val="22"/>
        </w:rPr>
      </w:pPr>
      <w:bookmarkStart w:id="10" w:name="OLE_LINK1412"/>
    </w:p>
    <w:p>
      <w:pPr>
        <w:tabs>
          <w:tab w:val="left" w:pos="567"/>
        </w:tabs>
        <w:jc w:val="center"/>
        <w:rPr>
          <w:b/>
          <w:snapToGrid w:val="0"/>
          <w:sz w:val="22"/>
          <w:szCs w:val="22"/>
        </w:rPr>
      </w:pPr>
      <w:r>
        <w:rPr>
          <w:b/>
          <w:snapToGrid w:val="0"/>
          <w:sz w:val="22"/>
          <w:szCs w:val="22"/>
        </w:rPr>
        <w:t>1.</w:t>
      </w:r>
      <w:r>
        <w:rPr>
          <w:b/>
          <w:snapToGrid w:val="0"/>
          <w:sz w:val="22"/>
          <w:szCs w:val="22"/>
        </w:rPr>
        <w:tab/>
      </w:r>
      <w:r>
        <w:rPr>
          <w:b/>
          <w:snapToGrid w:val="0"/>
          <w:sz w:val="22"/>
          <w:szCs w:val="22"/>
        </w:rPr>
        <w:t>Предмет Договора</w:t>
      </w:r>
    </w:p>
    <w:p>
      <w:pPr>
        <w:tabs>
          <w:tab w:val="left" w:pos="567"/>
        </w:tabs>
        <w:jc w:val="both"/>
        <w:rPr>
          <w:snapToGrid w:val="0"/>
          <w:sz w:val="22"/>
          <w:szCs w:val="22"/>
        </w:rPr>
      </w:pPr>
      <w:r>
        <w:rPr>
          <w:snapToGrid w:val="0"/>
          <w:sz w:val="22"/>
          <w:szCs w:val="22"/>
        </w:rPr>
        <w:t>1.1.</w:t>
      </w:r>
      <w:r>
        <w:rPr>
          <w:snapToGrid w:val="0"/>
          <w:sz w:val="22"/>
          <w:szCs w:val="22"/>
        </w:rPr>
        <w:tab/>
      </w:r>
      <w:r>
        <w:rPr>
          <w:snapToGrid w:val="0"/>
          <w:sz w:val="22"/>
          <w:szCs w:val="22"/>
        </w:rPr>
        <w:t>Поставщик обязуется передать Заказчику Товары, а Заказчик принять и оплатить их на условиях настоящего Договора.</w:t>
      </w:r>
    </w:p>
    <w:p>
      <w:pPr>
        <w:tabs>
          <w:tab w:val="left" w:pos="567"/>
        </w:tabs>
        <w:jc w:val="both"/>
        <w:rPr>
          <w:snapToGrid w:val="0"/>
          <w:sz w:val="22"/>
          <w:szCs w:val="22"/>
        </w:rPr>
      </w:pPr>
      <w:r>
        <w:rPr>
          <w:snapToGrid w:val="0"/>
          <w:sz w:val="22"/>
          <w:szCs w:val="22"/>
        </w:rPr>
        <w:t>1.2.</w:t>
      </w:r>
      <w:r>
        <w:rPr>
          <w:snapToGrid w:val="0"/>
          <w:sz w:val="22"/>
          <w:szCs w:val="22"/>
        </w:rPr>
        <w:tab/>
      </w:r>
      <w:r>
        <w:rPr>
          <w:snapToGrid w:val="0"/>
          <w:sz w:val="22"/>
          <w:szCs w:val="22"/>
        </w:rPr>
        <w:t xml:space="preserve">Наименование, количество, цена и стоимость Товаров указаны в спецификации, являющейся Приложением №1 к настоящему Договору. </w:t>
      </w:r>
    </w:p>
    <w:p>
      <w:pPr>
        <w:tabs>
          <w:tab w:val="left" w:pos="502"/>
          <w:tab w:val="left" w:pos="567"/>
        </w:tabs>
        <w:jc w:val="both"/>
        <w:rPr>
          <w:snapToGrid w:val="0"/>
          <w:sz w:val="22"/>
          <w:szCs w:val="22"/>
        </w:rPr>
      </w:pPr>
      <w:r>
        <w:rPr>
          <w:snapToGrid w:val="0"/>
          <w:sz w:val="22"/>
          <w:szCs w:val="22"/>
        </w:rPr>
        <w:t>1.3.</w:t>
      </w:r>
      <w:r>
        <w:rPr>
          <w:snapToGrid w:val="0"/>
          <w:sz w:val="22"/>
          <w:szCs w:val="22"/>
        </w:rPr>
        <w:tab/>
      </w:r>
      <w:r>
        <w:rPr>
          <w:snapToGrid w:val="0"/>
          <w:sz w:val="22"/>
          <w:szCs w:val="22"/>
        </w:rPr>
        <w:t>Поставка Товаров осуществляется на условиях их выборки Заказчиком</w:t>
      </w:r>
      <w:r>
        <w:rPr>
          <w:sz w:val="22"/>
          <w:szCs w:val="22"/>
        </w:rPr>
        <w:t xml:space="preserve"> с даты заключения договора по 31.03.2023 г.</w:t>
      </w:r>
    </w:p>
    <w:p>
      <w:pPr>
        <w:tabs>
          <w:tab w:val="left" w:pos="0"/>
          <w:tab w:val="left" w:pos="567"/>
        </w:tabs>
        <w:jc w:val="both"/>
        <w:rPr>
          <w:snapToGrid w:val="0"/>
          <w:sz w:val="22"/>
          <w:szCs w:val="22"/>
        </w:rPr>
      </w:pPr>
      <w:r>
        <w:rPr>
          <w:snapToGrid w:val="0"/>
          <w:sz w:val="22"/>
          <w:szCs w:val="22"/>
        </w:rPr>
        <w:t>1.4.</w:t>
      </w:r>
      <w:r>
        <w:rPr>
          <w:snapToGrid w:val="0"/>
          <w:sz w:val="22"/>
          <w:szCs w:val="22"/>
        </w:rPr>
        <w:tab/>
      </w:r>
      <w:r>
        <w:rPr>
          <w:snapToGrid w:val="0"/>
          <w:sz w:val="22"/>
          <w:szCs w:val="22"/>
        </w:rPr>
        <w:t>Поставка Товаров осуществляется с использованием топливных карт (далее – Карты) и терминалов для учета транзакций по получению Товаров.</w:t>
      </w:r>
    </w:p>
    <w:p>
      <w:pPr>
        <w:tabs>
          <w:tab w:val="left" w:pos="567"/>
        </w:tabs>
        <w:jc w:val="both"/>
        <w:rPr>
          <w:snapToGrid w:val="0"/>
          <w:sz w:val="22"/>
          <w:szCs w:val="22"/>
        </w:rPr>
      </w:pPr>
      <w:r>
        <w:rPr>
          <w:snapToGrid w:val="0"/>
          <w:sz w:val="22"/>
          <w:szCs w:val="22"/>
        </w:rPr>
        <w:t>1.5.</w:t>
      </w:r>
      <w:r>
        <w:rPr>
          <w:snapToGrid w:val="0"/>
          <w:sz w:val="22"/>
          <w:szCs w:val="22"/>
        </w:rPr>
        <w:tab/>
      </w:r>
      <w:r>
        <w:rPr>
          <w:snapToGrid w:val="0"/>
          <w:sz w:val="22"/>
          <w:szCs w:val="22"/>
        </w:rPr>
        <w:t>Поставка Товаров осуществляется на АЗС, указанных в Приложении №2 к настоящему Договору. Поставщик вправе изменять список АЗС в одностороннем порядке с последующим уведомлением Заказчика. Поставка Товаров осуществляется в соответствие с режимом работы АЗС с учетом технических перерывов в работе терминалов.</w:t>
      </w:r>
    </w:p>
    <w:p>
      <w:pPr>
        <w:tabs>
          <w:tab w:val="left" w:pos="0"/>
          <w:tab w:val="left" w:pos="567"/>
        </w:tabs>
        <w:jc w:val="both"/>
        <w:rPr>
          <w:snapToGrid w:val="0"/>
          <w:sz w:val="22"/>
          <w:szCs w:val="22"/>
        </w:rPr>
      </w:pPr>
      <w:r>
        <w:rPr>
          <w:snapToGrid w:val="0"/>
          <w:sz w:val="22"/>
          <w:szCs w:val="22"/>
        </w:rPr>
        <w:t>1.6.</w:t>
      </w:r>
      <w:r>
        <w:rPr>
          <w:snapToGrid w:val="0"/>
          <w:sz w:val="22"/>
          <w:szCs w:val="22"/>
        </w:rPr>
        <w:tab/>
      </w:r>
      <w:r>
        <w:rPr>
          <w:snapToGrid w:val="0"/>
          <w:sz w:val="22"/>
          <w:szCs w:val="22"/>
        </w:rPr>
        <w:t>Правила пользования Картами указаны в Приложении №3 к настоящему Договору.</w:t>
      </w:r>
    </w:p>
    <w:p>
      <w:pPr>
        <w:tabs>
          <w:tab w:val="left" w:pos="567"/>
        </w:tabs>
        <w:jc w:val="both"/>
        <w:rPr>
          <w:snapToGrid w:val="0"/>
          <w:sz w:val="22"/>
          <w:szCs w:val="22"/>
        </w:rPr>
      </w:pPr>
      <w:r>
        <w:rPr>
          <w:snapToGrid w:val="0"/>
          <w:sz w:val="22"/>
          <w:szCs w:val="22"/>
        </w:rPr>
        <w:t>1.7.</w:t>
      </w:r>
      <w:r>
        <w:rPr>
          <w:snapToGrid w:val="0"/>
          <w:sz w:val="22"/>
          <w:szCs w:val="22"/>
        </w:rPr>
        <w:tab/>
      </w:r>
      <w:r>
        <w:rPr>
          <w:snapToGrid w:val="0"/>
          <w:sz w:val="22"/>
          <w:szCs w:val="22"/>
        </w:rPr>
        <w:t>Фактическое количество поставленных Товаров определяется исходя из данных системы учета Поставщика, но не может превышать количество, указанное в спецификации, являющейся Приложением 1 к настоящему Договору.</w:t>
      </w:r>
    </w:p>
    <w:p>
      <w:pPr>
        <w:tabs>
          <w:tab w:val="left" w:pos="0"/>
          <w:tab w:val="left" w:pos="567"/>
        </w:tabs>
        <w:jc w:val="both"/>
        <w:rPr>
          <w:sz w:val="22"/>
          <w:szCs w:val="22"/>
        </w:rPr>
      </w:pPr>
      <w:r>
        <w:rPr>
          <w:snapToGrid w:val="0"/>
          <w:sz w:val="22"/>
          <w:szCs w:val="22"/>
        </w:rPr>
        <w:t>Д</w:t>
      </w:r>
      <w:r>
        <w:rPr>
          <w:sz w:val="22"/>
          <w:szCs w:val="22"/>
        </w:rPr>
        <w:t>окументом, подтверждающим стоимость, количество и ассортимент, поставленных в течении всего срока действия Договора, Товаров является реестр операций по Картам, составляемый по данным системы учета Поставщика.</w:t>
      </w:r>
    </w:p>
    <w:p>
      <w:pPr>
        <w:tabs>
          <w:tab w:val="left" w:pos="567"/>
        </w:tabs>
        <w:jc w:val="both"/>
        <w:rPr>
          <w:snapToGrid w:val="0"/>
          <w:sz w:val="22"/>
          <w:szCs w:val="22"/>
        </w:rPr>
      </w:pPr>
      <w:r>
        <w:rPr>
          <w:snapToGrid w:val="0"/>
          <w:sz w:val="22"/>
          <w:szCs w:val="22"/>
        </w:rPr>
        <w:t>1.8.</w:t>
      </w:r>
      <w:r>
        <w:rPr>
          <w:snapToGrid w:val="0"/>
          <w:sz w:val="22"/>
          <w:szCs w:val="22"/>
        </w:rPr>
        <w:tab/>
      </w:r>
      <w:r>
        <w:rPr>
          <w:snapToGrid w:val="0"/>
          <w:sz w:val="22"/>
          <w:szCs w:val="22"/>
        </w:rPr>
        <w:t>Право собственности на Товары переходит от Поставщика к Заказчику при получении Заказчиком Товаров (топлива) на АЗС в момент слива Товаров (топлива) в бак транспортного средства или иную соответствующую емкость.</w:t>
      </w:r>
    </w:p>
    <w:p>
      <w:pPr>
        <w:tabs>
          <w:tab w:val="left" w:pos="1134"/>
        </w:tabs>
        <w:ind w:right="58" w:firstLine="426"/>
        <w:jc w:val="both"/>
        <w:rPr>
          <w:snapToGrid w:val="0"/>
          <w:sz w:val="22"/>
          <w:szCs w:val="22"/>
        </w:rPr>
      </w:pPr>
    </w:p>
    <w:p>
      <w:pPr>
        <w:tabs>
          <w:tab w:val="left" w:pos="567"/>
        </w:tabs>
        <w:jc w:val="center"/>
        <w:rPr>
          <w:b/>
          <w:snapToGrid w:val="0"/>
          <w:sz w:val="22"/>
          <w:szCs w:val="22"/>
        </w:rPr>
      </w:pPr>
      <w:r>
        <w:rPr>
          <w:b/>
          <w:snapToGrid w:val="0"/>
          <w:sz w:val="22"/>
          <w:szCs w:val="22"/>
        </w:rPr>
        <w:t>2.</w:t>
      </w:r>
      <w:r>
        <w:rPr>
          <w:b/>
          <w:snapToGrid w:val="0"/>
          <w:sz w:val="22"/>
          <w:szCs w:val="22"/>
        </w:rPr>
        <w:tab/>
      </w:r>
      <w:r>
        <w:rPr>
          <w:b/>
          <w:snapToGrid w:val="0"/>
          <w:sz w:val="22"/>
          <w:szCs w:val="22"/>
        </w:rPr>
        <w:t>Порядок расчетов</w:t>
      </w:r>
    </w:p>
    <w:p>
      <w:pPr>
        <w:tabs>
          <w:tab w:val="left" w:pos="567"/>
        </w:tabs>
        <w:suppressAutoHyphens w:val="0"/>
        <w:jc w:val="both"/>
        <w:rPr>
          <w:rFonts w:eastAsia="Calibri"/>
          <w:sz w:val="22"/>
          <w:szCs w:val="22"/>
        </w:rPr>
      </w:pPr>
      <w:r>
        <w:rPr>
          <w:snapToGrid w:val="0"/>
          <w:sz w:val="22"/>
          <w:szCs w:val="22"/>
        </w:rPr>
        <w:t>2.1.</w:t>
      </w:r>
      <w:r>
        <w:rPr>
          <w:snapToGrid w:val="0"/>
          <w:sz w:val="22"/>
          <w:szCs w:val="22"/>
        </w:rPr>
        <w:tab/>
      </w:r>
      <w:r>
        <w:rPr>
          <w:snapToGrid w:val="0"/>
          <w:sz w:val="22"/>
          <w:szCs w:val="22"/>
        </w:rPr>
        <w:t xml:space="preserve">Сумма настоящего Договора указана в спецификации, являющейся Приложением №1 к настоящему Договору. </w:t>
      </w:r>
      <w:r>
        <w:rPr>
          <w:rFonts w:eastAsia="Calibri"/>
          <w:sz w:val="22"/>
          <w:szCs w:val="22"/>
        </w:rPr>
        <w:t>Максимальное значение цены настоящего Договора составляет __________</w:t>
      </w:r>
      <w:r>
        <w:rPr>
          <w:rFonts w:eastAsia="Calibri"/>
          <w:i/>
          <w:sz w:val="22"/>
          <w:szCs w:val="22"/>
        </w:rPr>
        <w:t>.</w:t>
      </w:r>
      <w:r>
        <w:rPr>
          <w:rFonts w:eastAsia="Calibri"/>
          <w:sz w:val="22"/>
          <w:szCs w:val="22"/>
        </w:rPr>
        <w:t xml:space="preserve"> </w:t>
      </w:r>
    </w:p>
    <w:p>
      <w:pPr>
        <w:tabs>
          <w:tab w:val="left" w:pos="567"/>
        </w:tabs>
        <w:autoSpaceDE w:val="0"/>
        <w:autoSpaceDN w:val="0"/>
        <w:adjustRightInd w:val="0"/>
        <w:jc w:val="both"/>
        <w:rPr>
          <w:snapToGrid w:val="0"/>
          <w:sz w:val="22"/>
          <w:szCs w:val="22"/>
        </w:rPr>
      </w:pPr>
      <w:r>
        <w:rPr>
          <w:snapToGrid w:val="0"/>
          <w:sz w:val="22"/>
          <w:szCs w:val="22"/>
        </w:rPr>
        <w:t>Выборка Заказчиком Товаров на меньшую сумму не является недопоставкой / нарушением обязательств со стороны Поставщика. Цена договора является твердой на весь срок исполнения договора, изменению и пересмотру не подлежит, за исключением случаев, предусмотренных договором.</w:t>
      </w:r>
    </w:p>
    <w:p>
      <w:pPr>
        <w:tabs>
          <w:tab w:val="left" w:pos="567"/>
        </w:tabs>
        <w:autoSpaceDE w:val="0"/>
        <w:autoSpaceDN w:val="0"/>
        <w:adjustRightInd w:val="0"/>
        <w:jc w:val="both"/>
        <w:rPr>
          <w:sz w:val="22"/>
          <w:szCs w:val="22"/>
        </w:rPr>
      </w:pPr>
      <w:r>
        <w:rPr>
          <w:snapToGrid w:val="0"/>
          <w:sz w:val="22"/>
          <w:szCs w:val="22"/>
        </w:rPr>
        <w:t>Заказчик не обязан осуществить выборку Товаров на указанную выше сумму в пределах срока действия настоящего Договора.</w:t>
      </w:r>
    </w:p>
    <w:p>
      <w:pPr>
        <w:tabs>
          <w:tab w:val="left" w:pos="567"/>
        </w:tabs>
        <w:jc w:val="both"/>
        <w:rPr>
          <w:snapToGrid w:val="0"/>
          <w:sz w:val="22"/>
          <w:szCs w:val="22"/>
        </w:rPr>
      </w:pPr>
      <w:r>
        <w:rPr>
          <w:color w:val="000000"/>
          <w:sz w:val="22"/>
          <w:szCs w:val="22"/>
        </w:rPr>
        <w:t>2.2.</w:t>
      </w:r>
      <w:r>
        <w:rPr>
          <w:color w:val="000000"/>
          <w:sz w:val="22"/>
          <w:szCs w:val="22"/>
        </w:rPr>
        <w:tab/>
      </w:r>
      <w:r>
        <w:rPr>
          <w:sz w:val="22"/>
          <w:szCs w:val="22"/>
          <w:lang w:eastAsia="ar-SA"/>
        </w:rPr>
        <w:t>Цена Договора включает все расходы, связанные с поставкой товаров в соответствии с требованиями договора, в том числе: стоимость товаров; стоимость упаковки и тары; стоимость оформления всех сопутствующих договору документов; транспортные расходы; стоимость разгрузочно - погрузочных работ, прочие затраты Поставщика; расходы на страхование, уплату налогов, сборов, таможенных пошлин и другие обязательные платежи, предусмотренные законодательством и/или условиями исполнения договора.</w:t>
      </w:r>
    </w:p>
    <w:p>
      <w:pPr>
        <w:tabs>
          <w:tab w:val="left" w:pos="567"/>
        </w:tabs>
        <w:jc w:val="both"/>
        <w:rPr>
          <w:snapToGrid w:val="0"/>
          <w:sz w:val="22"/>
          <w:szCs w:val="22"/>
        </w:rPr>
      </w:pPr>
      <w:r>
        <w:rPr>
          <w:snapToGrid w:val="0"/>
          <w:sz w:val="22"/>
          <w:szCs w:val="22"/>
        </w:rPr>
        <w:t>2.3.</w:t>
      </w:r>
      <w:r>
        <w:rPr>
          <w:sz w:val="22"/>
          <w:szCs w:val="22"/>
        </w:rPr>
        <w:tab/>
      </w:r>
      <w:r>
        <w:rPr>
          <w:sz w:val="22"/>
          <w:szCs w:val="22"/>
        </w:rPr>
        <w:t xml:space="preserve">Заказчик обязан получить счет по месту фактического нахождения Поставщика или посредством факсимильной связи либо по электронной почте, либо посредством электронного документооборота. На счетах допускается использование факсимильной подписи. </w:t>
      </w:r>
      <w:r>
        <w:rPr>
          <w:color w:val="222222"/>
          <w:sz w:val="22"/>
          <w:szCs w:val="22"/>
          <w:shd w:val="clear" w:color="auto" w:fill="FFFFFF"/>
        </w:rPr>
        <w:t>При наличии технической возможности выставление, направление, получение, подписание и обмен Отчетными документами (счета-фактуры, товарные накладные, счет на оплату, отчет о транзакциях, проведенных с использованием Карт, акты сверок взаимных расчетов и иные документы) происходит в электронном виде с использованием усиленной квалифицированной электронной подписи (далее – УКЭП) посредством электронного документооборота в Системе электронного документооборота. При этом Отчетные документы, подписанные УКЭП, являются надлежаще оформленными электронными первичными документами и приравниваются к первичным документам бухгалтерского учета, подписанными уполномоченными лицами Сторон на бумажном носителе; УКЭП документа признается равнозначной собственноручной подписи владельца сертификата и порождает для подписанта юридические последствия в виде установления, изменения и прекращения прав и обязанностей в соответствии с законодательством Российской Федерации.</w:t>
      </w:r>
      <w:r>
        <w:t xml:space="preserve"> </w:t>
      </w:r>
      <w:r>
        <w:rPr>
          <w:color w:val="222222"/>
          <w:sz w:val="22"/>
          <w:szCs w:val="22"/>
          <w:shd w:val="clear" w:color="auto" w:fill="FFFFFF"/>
        </w:rPr>
        <w:t>Порядок обмена Отчетными документами с использованием УКЭП устанавливается в Приложении №4 к настоящему Договору.</w:t>
      </w:r>
    </w:p>
    <w:p>
      <w:pPr>
        <w:tabs>
          <w:tab w:val="left" w:pos="567"/>
        </w:tabs>
        <w:jc w:val="both"/>
        <w:rPr>
          <w:snapToGrid w:val="0"/>
          <w:sz w:val="22"/>
          <w:szCs w:val="22"/>
        </w:rPr>
      </w:pPr>
      <w:r>
        <w:rPr>
          <w:snapToGrid w:val="0"/>
          <w:sz w:val="22"/>
          <w:szCs w:val="22"/>
        </w:rPr>
        <w:t>2.4.</w:t>
      </w:r>
      <w:r>
        <w:rPr>
          <w:snapToGrid w:val="0"/>
          <w:sz w:val="22"/>
          <w:szCs w:val="22"/>
        </w:rPr>
        <w:tab/>
      </w:r>
      <w:r>
        <w:rPr>
          <w:sz w:val="22"/>
          <w:szCs w:val="22"/>
        </w:rPr>
        <w:t>Оплата стоимости поставляемых Товаров по настоящему Договору производится Покупателем путем перечисления денежных средств на расчетный счет Поставщика до 15 (пятнадцатого) числа месяца, следующего за месяцем, в котором производилась выборка Товаров.</w:t>
      </w:r>
      <w:r>
        <w:rPr>
          <w:color w:val="FF0000"/>
          <w:sz w:val="22"/>
          <w:szCs w:val="22"/>
        </w:rPr>
        <w:t xml:space="preserve"> </w:t>
      </w:r>
      <w:r>
        <w:rPr>
          <w:sz w:val="22"/>
          <w:szCs w:val="22"/>
        </w:rPr>
        <w:t xml:space="preserve">и предоставления Поставщиком справки-счета (или аналогичного документа на оплату), счета-фактуры по поставленным товарам. Авансирование не предусмотрено. </w:t>
      </w:r>
      <w:r>
        <w:rPr>
          <w:snapToGrid w:val="0"/>
          <w:sz w:val="22"/>
          <w:szCs w:val="22"/>
        </w:rPr>
        <w:t>Карты предоставляются Поставщиком в течение трех рабочих дней с момента получения заявки от Заказчика. Заказчик оплачивает стоимость Товара по формуле цены Договора, указанной в пункте 2.4 Договора, в пределах максимального значения цены Договора, предусмотренного пунктом 2.1. настоящего Договора. Превышение ПОКУПАТЕЛЕМ максимального значения цены Договора, указанной в пункте 2.1 настоящего Договора, при поставке Товара оплачивается ПОСТАВЩИКОМ за его счёт.</w:t>
      </w:r>
    </w:p>
    <w:p>
      <w:pPr>
        <w:shd w:val="clear" w:color="auto" w:fill="FFFFFF"/>
        <w:tabs>
          <w:tab w:val="left" w:pos="567"/>
        </w:tabs>
        <w:autoSpaceDE w:val="0"/>
        <w:autoSpaceDN w:val="0"/>
        <w:adjustRightInd w:val="0"/>
        <w:jc w:val="both"/>
        <w:rPr>
          <w:color w:val="000000"/>
          <w:sz w:val="22"/>
          <w:szCs w:val="22"/>
        </w:rPr>
      </w:pPr>
      <w:r>
        <w:rPr>
          <w:color w:val="000000"/>
          <w:sz w:val="22"/>
          <w:szCs w:val="22"/>
        </w:rPr>
        <w:t>Оплата по настоящему Договору осуществляется путём перечисления денежных средств на расчётный счёт ПОСТАВЩИКА за фактически поставленный товар на основании счета (счета-фактуры) и товарной накладной (или аналогичного документа), по следующей формуле цены Договора:</w:t>
      </w:r>
    </w:p>
    <w:p>
      <w:pPr>
        <w:shd w:val="clear" w:color="auto" w:fill="FFFFFF"/>
        <w:tabs>
          <w:tab w:val="left" w:pos="993"/>
        </w:tabs>
        <w:autoSpaceDE w:val="0"/>
        <w:ind w:firstLine="709"/>
        <w:rPr>
          <w:sz w:val="22"/>
          <w:szCs w:val="22"/>
        </w:rPr>
      </w:pPr>
      <w:r>
        <w:rPr>
          <w:sz w:val="22"/>
          <w:szCs w:val="22"/>
        </w:rPr>
        <w:fldChar w:fldCharType="begin"/>
      </w:r>
      <w:r>
        <w:rPr>
          <w:sz w:val="22"/>
          <w:szCs w:val="22"/>
        </w:rPr>
        <w:instrText xml:space="preserve"> QUOTE </w:instrText>
      </w:r>
      <w:r>
        <w:rPr>
          <w:position w:val="-12"/>
          <w:sz w:val="22"/>
          <w:szCs w:val="22"/>
        </w:rPr>
        <w:pict>
          <v:shape id="_x0000_i1025" o:spt="75" type="#_x0000_t75" style="height:17.25pt;width:67.5pt;" filled="f" o:preferrelative="t" stroked="f" coordsize="21600,21600" equationxml="&lt;">
            <v:path/>
            <v:fill on="f" focussize="0,0"/>
            <v:stroke on="f" joinstyle="miter"/>
            <v:imagedata r:id="rId10" chromakey="#FFFFFF" o:title=""/>
            <o:lock v:ext="edit" aspectratio="t"/>
            <w10:wrap type="none"/>
            <w10:anchorlock/>
          </v:shape>
        </w:pict>
      </w:r>
      <w:r>
        <w:rPr>
          <w:sz w:val="22"/>
          <w:szCs w:val="22"/>
        </w:rPr>
        <w:instrText xml:space="preserve"> </w:instrText>
      </w:r>
      <w:r>
        <w:rPr>
          <w:sz w:val="22"/>
          <w:szCs w:val="22"/>
        </w:rPr>
        <w:fldChar w:fldCharType="separate"/>
      </w:r>
      <w:r>
        <w:rPr>
          <w:position w:val="-12"/>
          <w:sz w:val="22"/>
          <w:szCs w:val="22"/>
        </w:rPr>
        <w:pict>
          <v:shape id="_x0000_i1026" o:spt="75" type="#_x0000_t75" style="height:17.25pt;width:67.5pt;" filled="f" o:preferrelative="t" stroked="f" coordsize="21600,21600" equationxml="&lt;">
            <v:path/>
            <v:fill on="f" focussize="0,0"/>
            <v:stroke on="f" joinstyle="miter"/>
            <v:imagedata r:id="rId10" chromakey="#FFFFFF" o:title=""/>
            <o:lock v:ext="edit" aspectratio="t"/>
            <w10:wrap type="none"/>
            <w10:anchorlock/>
          </v:shape>
        </w:pict>
      </w:r>
      <w:r>
        <w:rPr>
          <w:sz w:val="22"/>
          <w:szCs w:val="22"/>
        </w:rPr>
        <w:fldChar w:fldCharType="end"/>
      </w:r>
      <w:r>
        <w:rPr>
          <w:sz w:val="22"/>
          <w:szCs w:val="22"/>
        </w:rPr>
        <w:t xml:space="preserve">, </w:t>
      </w:r>
    </w:p>
    <w:p>
      <w:pPr>
        <w:shd w:val="clear" w:color="auto" w:fill="FFFFFF"/>
        <w:tabs>
          <w:tab w:val="left" w:pos="993"/>
        </w:tabs>
        <w:autoSpaceDE w:val="0"/>
        <w:ind w:firstLine="709"/>
        <w:rPr>
          <w:sz w:val="22"/>
          <w:szCs w:val="22"/>
        </w:rPr>
      </w:pPr>
      <w:r>
        <w:rPr>
          <w:sz w:val="22"/>
          <w:szCs w:val="22"/>
        </w:rPr>
        <w:t>где:</w:t>
      </w:r>
    </w:p>
    <w:p>
      <w:pPr>
        <w:shd w:val="clear" w:color="auto" w:fill="FFFFFF"/>
        <w:tabs>
          <w:tab w:val="left" w:pos="993"/>
        </w:tabs>
        <w:autoSpaceDE w:val="0"/>
        <w:ind w:firstLine="709"/>
        <w:rPr>
          <w:sz w:val="22"/>
          <w:szCs w:val="22"/>
        </w:rPr>
      </w:pPr>
      <w:r>
        <w:rPr>
          <w:sz w:val="22"/>
          <w:szCs w:val="22"/>
        </w:rPr>
        <w:fldChar w:fldCharType="begin"/>
      </w:r>
      <w:r>
        <w:rPr>
          <w:sz w:val="22"/>
          <w:szCs w:val="22"/>
        </w:rPr>
        <w:instrText xml:space="preserve"> QUOTE </w:instrText>
      </w:r>
      <w:r>
        <w:rPr>
          <w:position w:val="-6"/>
          <w:sz w:val="22"/>
          <w:szCs w:val="22"/>
        </w:rPr>
        <w:pict>
          <v:shape id="_x0000_i1027" o:spt="75" type="#_x0000_t75" style="height:14.25pt;width:13.5pt;" filled="f" o:preferrelative="t" stroked="f" coordsize="21600,21600" equationxml="&lt;">
            <v:path/>
            <v:fill on="f" focussize="0,0"/>
            <v:stroke on="f" joinstyle="miter"/>
            <v:imagedata r:id="rId11" chromakey="#FFFFFF" o:title=""/>
            <o:lock v:ext="edit" aspectratio="t"/>
            <w10:wrap type="none"/>
            <w10:anchorlock/>
          </v:shape>
        </w:pict>
      </w:r>
      <w:r>
        <w:rPr>
          <w:sz w:val="22"/>
          <w:szCs w:val="22"/>
        </w:rPr>
        <w:instrText xml:space="preserve"> </w:instrText>
      </w:r>
      <w:r>
        <w:rPr>
          <w:sz w:val="22"/>
          <w:szCs w:val="22"/>
        </w:rPr>
        <w:fldChar w:fldCharType="separate"/>
      </w:r>
      <w:r>
        <w:rPr>
          <w:position w:val="-6"/>
          <w:sz w:val="22"/>
          <w:szCs w:val="22"/>
        </w:rPr>
        <w:pict>
          <v:shape id="_x0000_i1028" o:spt="75" type="#_x0000_t75" style="height:14.25pt;width:13.5pt;" filled="f" o:preferrelative="t" stroked="f" coordsize="21600,21600" equationxml="&lt;">
            <v:path/>
            <v:fill on="f" focussize="0,0"/>
            <v:stroke on="f" joinstyle="miter"/>
            <v:imagedata r:id="rId11" chromakey="#FFFFFF" o:title=""/>
            <o:lock v:ext="edit" aspectratio="t"/>
            <w10:wrap type="none"/>
            <w10:anchorlock/>
          </v:shape>
        </w:pict>
      </w:r>
      <w:r>
        <w:rPr>
          <w:sz w:val="22"/>
          <w:szCs w:val="22"/>
        </w:rPr>
        <w:fldChar w:fldCharType="end"/>
      </w:r>
      <w:r>
        <w:rPr>
          <w:sz w:val="22"/>
          <w:szCs w:val="22"/>
        </w:rPr>
        <w:t xml:space="preserve"> – цена договора в рублях;</w:t>
      </w:r>
    </w:p>
    <w:p>
      <w:pPr>
        <w:shd w:val="clear" w:color="auto" w:fill="FFFFFF"/>
        <w:tabs>
          <w:tab w:val="left" w:pos="993"/>
        </w:tabs>
        <w:autoSpaceDE w:val="0"/>
        <w:ind w:firstLine="709"/>
        <w:rPr>
          <w:sz w:val="22"/>
          <w:szCs w:val="22"/>
        </w:rPr>
      </w:pPr>
      <w:r>
        <w:rPr>
          <w:sz w:val="22"/>
          <w:szCs w:val="22"/>
        </w:rPr>
        <w:fldChar w:fldCharType="begin"/>
      </w:r>
      <w:r>
        <w:rPr>
          <w:sz w:val="22"/>
          <w:szCs w:val="22"/>
        </w:rPr>
        <w:instrText xml:space="preserve"> QUOTE </w:instrText>
      </w:r>
      <w:r>
        <w:rPr>
          <w:position w:val="-12"/>
          <w:sz w:val="22"/>
          <w:szCs w:val="22"/>
        </w:rPr>
        <w:pict>
          <v:shape id="_x0000_i1029" o:spt="75" type="#_x0000_t75" style="height:17.25pt;width:28.5pt;" filled="f" o:preferrelative="t" stroked="f" coordsize="21600,21600" equationxml="&lt;">
            <v:path/>
            <v:fill on="f" focussize="0,0"/>
            <v:stroke on="f" joinstyle="miter"/>
            <v:imagedata r:id="rId12" chromakey="#FFFFFF" o:title=""/>
            <o:lock v:ext="edit" aspectratio="t"/>
            <w10:wrap type="none"/>
            <w10:anchorlock/>
          </v:shape>
        </w:pict>
      </w:r>
      <w:r>
        <w:rPr>
          <w:sz w:val="22"/>
          <w:szCs w:val="22"/>
        </w:rPr>
        <w:instrText xml:space="preserve"> </w:instrText>
      </w:r>
      <w:r>
        <w:rPr>
          <w:sz w:val="22"/>
          <w:szCs w:val="22"/>
        </w:rPr>
        <w:fldChar w:fldCharType="separate"/>
      </w:r>
      <w:r>
        <w:rPr>
          <w:position w:val="-12"/>
          <w:sz w:val="22"/>
          <w:szCs w:val="22"/>
        </w:rPr>
        <w:pict>
          <v:shape id="_x0000_i1030" o:spt="75" type="#_x0000_t75" style="height:17.25pt;width:28.5pt;" filled="f" o:preferrelative="t" stroked="f" coordsize="21600,21600" equationxml="&lt;">
            <v:path/>
            <v:fill on="f" focussize="0,0"/>
            <v:stroke on="f" joinstyle="miter"/>
            <v:imagedata r:id="rId12" chromakey="#FFFFFF" o:title=""/>
            <o:lock v:ext="edit" aspectratio="t"/>
            <w10:wrap type="none"/>
            <w10:anchorlock/>
          </v:shape>
        </w:pict>
      </w:r>
      <w:r>
        <w:rPr>
          <w:sz w:val="22"/>
          <w:szCs w:val="22"/>
        </w:rPr>
        <w:fldChar w:fldCharType="end"/>
      </w:r>
      <w:r>
        <w:rPr>
          <w:sz w:val="22"/>
          <w:szCs w:val="22"/>
        </w:rPr>
        <w:t xml:space="preserve"> – общая стоимость соответствующего вида ГСМ в рублях;</w:t>
      </w:r>
    </w:p>
    <w:p>
      <w:pPr>
        <w:shd w:val="clear" w:color="auto" w:fill="FFFFFF"/>
        <w:tabs>
          <w:tab w:val="left" w:pos="993"/>
        </w:tabs>
        <w:autoSpaceDE w:val="0"/>
        <w:ind w:firstLine="709"/>
        <w:rPr>
          <w:sz w:val="22"/>
          <w:szCs w:val="22"/>
        </w:rPr>
      </w:pPr>
    </w:p>
    <w:p>
      <w:pPr>
        <w:shd w:val="clear" w:color="auto" w:fill="FFFFFF"/>
        <w:tabs>
          <w:tab w:val="left" w:pos="993"/>
        </w:tabs>
        <w:autoSpaceDE w:val="0"/>
        <w:ind w:firstLine="709"/>
        <w:rPr>
          <w:sz w:val="22"/>
          <w:szCs w:val="22"/>
        </w:rPr>
      </w:pPr>
      <w:r>
        <w:rPr>
          <w:sz w:val="22"/>
          <w:szCs w:val="22"/>
        </w:rPr>
        <w:fldChar w:fldCharType="begin"/>
      </w:r>
      <w:r>
        <w:rPr>
          <w:sz w:val="22"/>
          <w:szCs w:val="22"/>
        </w:rPr>
        <w:instrText xml:space="preserve"> QUOTE </w:instrText>
      </w:r>
      <w:r>
        <w:rPr>
          <w:position w:val="-12"/>
          <w:sz w:val="22"/>
          <w:szCs w:val="22"/>
        </w:rPr>
        <w:pict>
          <v:shape id="_x0000_i1031" o:spt="75" type="#_x0000_t75" style="height:17.25pt;width:95.25pt;" filled="f" o:preferrelative="t" stroked="f" coordsize="21600,21600" equationxml="&lt;">
            <v:path/>
            <v:fill on="f" focussize="0,0"/>
            <v:stroke on="f" joinstyle="miter"/>
            <v:imagedata r:id="rId13" chromakey="#FFFFFF" o:title=""/>
            <o:lock v:ext="edit" aspectratio="t"/>
            <w10:wrap type="none"/>
            <w10:anchorlock/>
          </v:shape>
        </w:pict>
      </w:r>
      <w:r>
        <w:rPr>
          <w:sz w:val="22"/>
          <w:szCs w:val="22"/>
        </w:rPr>
        <w:instrText xml:space="preserve"> </w:instrText>
      </w:r>
      <w:r>
        <w:rPr>
          <w:sz w:val="22"/>
          <w:szCs w:val="22"/>
        </w:rPr>
        <w:fldChar w:fldCharType="separate"/>
      </w:r>
      <w:r>
        <w:rPr>
          <w:position w:val="-12"/>
          <w:sz w:val="22"/>
          <w:szCs w:val="22"/>
        </w:rPr>
        <w:pict>
          <v:shape id="_x0000_i1032" o:spt="75" type="#_x0000_t75" style="height:17.25pt;width:95.25pt;" filled="f" o:preferrelative="t" stroked="f" coordsize="21600,21600" equationxml="&lt;">
            <v:path/>
            <v:fill on="f" focussize="0,0"/>
            <v:stroke on="f" joinstyle="miter"/>
            <v:imagedata r:id="rId13" chromakey="#FFFFFF" o:title=""/>
            <o:lock v:ext="edit" aspectratio="t"/>
            <w10:wrap type="none"/>
            <w10:anchorlock/>
          </v:shape>
        </w:pict>
      </w:r>
      <w:r>
        <w:rPr>
          <w:sz w:val="22"/>
          <w:szCs w:val="22"/>
        </w:rPr>
        <w:fldChar w:fldCharType="end"/>
      </w:r>
      <w:r>
        <w:rPr>
          <w:sz w:val="22"/>
          <w:szCs w:val="22"/>
        </w:rPr>
        <w:t>,</w:t>
      </w:r>
    </w:p>
    <w:p>
      <w:pPr>
        <w:shd w:val="clear" w:color="auto" w:fill="FFFFFF"/>
        <w:tabs>
          <w:tab w:val="left" w:pos="993"/>
        </w:tabs>
        <w:autoSpaceDE w:val="0"/>
        <w:ind w:firstLine="709"/>
        <w:rPr>
          <w:sz w:val="22"/>
          <w:szCs w:val="22"/>
        </w:rPr>
      </w:pPr>
      <w:r>
        <w:rPr>
          <w:sz w:val="22"/>
          <w:szCs w:val="22"/>
        </w:rPr>
        <w:t>где:</w:t>
      </w:r>
    </w:p>
    <w:p>
      <w:pPr>
        <w:shd w:val="clear" w:color="auto" w:fill="FFFFFF"/>
        <w:tabs>
          <w:tab w:val="left" w:pos="993"/>
        </w:tabs>
        <w:autoSpaceDE w:val="0"/>
        <w:ind w:firstLine="709"/>
        <w:rPr>
          <w:sz w:val="22"/>
          <w:szCs w:val="22"/>
        </w:rPr>
      </w:pPr>
      <w:r>
        <w:rPr>
          <w:sz w:val="22"/>
          <w:szCs w:val="22"/>
        </w:rPr>
        <w:fldChar w:fldCharType="begin"/>
      </w:r>
      <w:r>
        <w:rPr>
          <w:sz w:val="22"/>
          <w:szCs w:val="22"/>
        </w:rPr>
        <w:instrText xml:space="preserve"> QUOTE </w:instrText>
      </w:r>
      <w:r>
        <w:rPr>
          <w:position w:val="-6"/>
          <w:sz w:val="22"/>
          <w:szCs w:val="22"/>
        </w:rPr>
        <w:pict>
          <v:shape id="_x0000_i1033" o:spt="75" type="#_x0000_t75" style="height:14.25pt;width:12pt;" filled="f" o:preferrelative="t" stroked="f" coordsize="21600,21600" equationxml="&lt;">
            <v:path/>
            <v:fill on="f" focussize="0,0"/>
            <v:stroke on="f" joinstyle="miter"/>
            <v:imagedata r:id="rId14" chromakey="#FFFFFF" o:title=""/>
            <o:lock v:ext="edit" aspectratio="t"/>
            <w10:wrap type="none"/>
            <w10:anchorlock/>
          </v:shape>
        </w:pict>
      </w:r>
      <w:r>
        <w:rPr>
          <w:sz w:val="22"/>
          <w:szCs w:val="22"/>
        </w:rPr>
        <w:instrText xml:space="preserve"> </w:instrText>
      </w:r>
      <w:r>
        <w:rPr>
          <w:sz w:val="22"/>
          <w:szCs w:val="22"/>
        </w:rPr>
        <w:fldChar w:fldCharType="separate"/>
      </w:r>
      <w:r>
        <w:rPr>
          <w:position w:val="-6"/>
          <w:sz w:val="22"/>
          <w:szCs w:val="22"/>
        </w:rPr>
        <w:pict>
          <v:shape id="_x0000_i1034" o:spt="75" type="#_x0000_t75" style="height:14.25pt;width:12pt;" filled="f" o:preferrelative="t" stroked="f" coordsize="21600,21600" equationxml="&lt;">
            <v:path/>
            <v:fill on="f" focussize="0,0"/>
            <v:stroke on="f" joinstyle="miter"/>
            <v:imagedata r:id="rId14" chromakey="#FFFFFF" o:title=""/>
            <o:lock v:ext="edit" aspectratio="t"/>
            <w10:wrap type="none"/>
            <w10:anchorlock/>
          </v:shape>
        </w:pict>
      </w:r>
      <w:r>
        <w:rPr>
          <w:sz w:val="22"/>
          <w:szCs w:val="22"/>
        </w:rPr>
        <w:fldChar w:fldCharType="end"/>
      </w:r>
      <w:r>
        <w:rPr>
          <w:sz w:val="22"/>
          <w:szCs w:val="22"/>
        </w:rPr>
        <w:t xml:space="preserve"> – цена за 1 литр ГСМ, установленная для розничных продаж на АЗС на день отпуска товара, но не более цены за 1 литр соответствующего вида ГСМ указанной в Спецификации (Приложение №2 </w:t>
      </w:r>
      <w:r>
        <w:rPr>
          <w:snapToGrid w:val="0"/>
          <w:sz w:val="22"/>
          <w:szCs w:val="22"/>
        </w:rPr>
        <w:t>к настоящему Договору</w:t>
      </w:r>
      <w:r>
        <w:rPr>
          <w:sz w:val="22"/>
          <w:szCs w:val="22"/>
        </w:rPr>
        <w:t>);</w:t>
      </w:r>
    </w:p>
    <w:p>
      <w:pPr>
        <w:shd w:val="clear" w:color="auto" w:fill="FFFFFF"/>
        <w:tabs>
          <w:tab w:val="left" w:pos="993"/>
        </w:tabs>
        <w:autoSpaceDE w:val="0"/>
        <w:ind w:firstLine="709"/>
        <w:rPr>
          <w:snapToGrid w:val="0"/>
          <w:sz w:val="22"/>
          <w:szCs w:val="22"/>
        </w:rPr>
      </w:pPr>
      <w:r>
        <w:rPr>
          <w:sz w:val="22"/>
          <w:szCs w:val="22"/>
        </w:rPr>
        <w:fldChar w:fldCharType="begin"/>
      </w:r>
      <w:r>
        <w:rPr>
          <w:sz w:val="22"/>
          <w:szCs w:val="22"/>
        </w:rPr>
        <w:instrText xml:space="preserve"> QUOTE </w:instrText>
      </w:r>
      <w:r>
        <w:rPr>
          <w:position w:val="-6"/>
          <w:sz w:val="22"/>
          <w:szCs w:val="22"/>
        </w:rPr>
        <w:pict>
          <v:shape id="_x0000_i1035" o:spt="75" type="#_x0000_t75" style="height:14.25pt;width:9.75pt;" filled="f" o:preferrelative="t" stroked="f" coordsize="21600,21600" equationxml="&lt;">
            <v:path/>
            <v:fill on="f" focussize="0,0"/>
            <v:stroke on="f" joinstyle="miter"/>
            <v:imagedata r:id="rId15" chromakey="#FFFFFF" o:title=""/>
            <o:lock v:ext="edit" aspectratio="t"/>
            <w10:wrap type="none"/>
            <w10:anchorlock/>
          </v:shape>
        </w:pict>
      </w:r>
      <w:r>
        <w:rPr>
          <w:sz w:val="22"/>
          <w:szCs w:val="22"/>
        </w:rPr>
        <w:instrText xml:space="preserve"> </w:instrText>
      </w:r>
      <w:r>
        <w:rPr>
          <w:sz w:val="22"/>
          <w:szCs w:val="22"/>
        </w:rPr>
        <w:fldChar w:fldCharType="separate"/>
      </w:r>
      <w:r>
        <w:rPr>
          <w:position w:val="-6"/>
          <w:sz w:val="22"/>
          <w:szCs w:val="22"/>
        </w:rPr>
        <w:pict>
          <v:shape id="_x0000_i1036" o:spt="75" type="#_x0000_t75" style="height:14.25pt;width:11.25pt;" filled="f" o:preferrelative="t" stroked="f" coordsize="21600,21600" equationxml="&lt;">
            <v:path/>
            <v:fill on="f" focussize="0,0"/>
            <v:stroke on="f" joinstyle="miter"/>
            <v:imagedata r:id="rId15" chromakey="#FFFFFF" o:title=""/>
            <o:lock v:ext="edit" aspectratio="t"/>
            <w10:wrap type="none"/>
            <w10:anchorlock/>
          </v:shape>
        </w:pict>
      </w:r>
      <w:r>
        <w:rPr>
          <w:sz w:val="22"/>
          <w:szCs w:val="22"/>
        </w:rPr>
        <w:fldChar w:fldCharType="end"/>
      </w:r>
      <w:r>
        <w:rPr>
          <w:sz w:val="22"/>
          <w:szCs w:val="22"/>
        </w:rPr>
        <w:t xml:space="preserve"> – объём ГСМ в литрах по цене </w:t>
      </w:r>
      <w:r>
        <w:rPr>
          <w:sz w:val="22"/>
          <w:szCs w:val="22"/>
        </w:rPr>
        <w:fldChar w:fldCharType="begin"/>
      </w:r>
      <w:r>
        <w:rPr>
          <w:sz w:val="22"/>
          <w:szCs w:val="22"/>
        </w:rPr>
        <w:instrText xml:space="preserve"> QUOTE </w:instrText>
      </w:r>
      <w:r>
        <w:rPr>
          <w:position w:val="-6"/>
          <w:sz w:val="22"/>
          <w:szCs w:val="22"/>
        </w:rPr>
        <w:pict>
          <v:shape id="_x0000_i1037" o:spt="75" type="#_x0000_t75" style="height:14.25pt;width:12pt;" filled="f" o:preferrelative="t" stroked="f" coordsize="21600,21600" equationxml="&lt;">
            <v:path/>
            <v:fill on="f" focussize="0,0"/>
            <v:stroke on="f" joinstyle="miter"/>
            <v:imagedata r:id="rId14" chromakey="#FFFFFF" o:title=""/>
            <o:lock v:ext="edit" aspectratio="t"/>
            <w10:wrap type="none"/>
            <w10:anchorlock/>
          </v:shape>
        </w:pict>
      </w:r>
      <w:r>
        <w:rPr>
          <w:sz w:val="22"/>
          <w:szCs w:val="22"/>
        </w:rPr>
        <w:instrText xml:space="preserve"> </w:instrText>
      </w:r>
      <w:r>
        <w:rPr>
          <w:sz w:val="22"/>
          <w:szCs w:val="22"/>
        </w:rPr>
        <w:fldChar w:fldCharType="separate"/>
      </w:r>
      <w:r>
        <w:rPr>
          <w:position w:val="-6"/>
          <w:sz w:val="22"/>
          <w:szCs w:val="22"/>
        </w:rPr>
        <w:pict>
          <v:shape id="_x0000_i1038" o:spt="75" type="#_x0000_t75" style="height:14.25pt;width:12pt;" filled="f" o:preferrelative="t" stroked="f" coordsize="21600,21600" equationxml="&lt;">
            <v:path/>
            <v:fill on="f" focussize="0,0"/>
            <v:stroke on="f" joinstyle="miter"/>
            <v:imagedata r:id="rId14" chromakey="#FFFFFF" o:title=""/>
            <o:lock v:ext="edit" aspectratio="t"/>
            <w10:wrap type="none"/>
            <w10:anchorlock/>
          </v:shape>
        </w:pict>
      </w:r>
      <w:r>
        <w:rPr>
          <w:sz w:val="22"/>
          <w:szCs w:val="22"/>
        </w:rPr>
        <w:fldChar w:fldCharType="end"/>
      </w:r>
      <w:r>
        <w:rPr>
          <w:sz w:val="22"/>
          <w:szCs w:val="22"/>
        </w:rPr>
        <w:t>.</w:t>
      </w:r>
    </w:p>
    <w:p>
      <w:pPr>
        <w:tabs>
          <w:tab w:val="left" w:pos="567"/>
        </w:tabs>
        <w:jc w:val="both"/>
        <w:rPr>
          <w:snapToGrid w:val="0"/>
          <w:sz w:val="22"/>
          <w:szCs w:val="22"/>
        </w:rPr>
      </w:pPr>
    </w:p>
    <w:p>
      <w:pPr>
        <w:tabs>
          <w:tab w:val="left" w:pos="567"/>
        </w:tabs>
        <w:suppressAutoHyphens w:val="0"/>
        <w:ind w:right="120"/>
        <w:contextualSpacing/>
        <w:jc w:val="both"/>
        <w:rPr>
          <w:snapToGrid w:val="0"/>
          <w:sz w:val="22"/>
          <w:szCs w:val="22"/>
        </w:rPr>
      </w:pPr>
      <w:r>
        <w:rPr>
          <w:snapToGrid w:val="0"/>
          <w:sz w:val="22"/>
          <w:szCs w:val="22"/>
        </w:rPr>
        <w:t>2.5.</w:t>
      </w:r>
      <w:r>
        <w:rPr>
          <w:snapToGrid w:val="0"/>
          <w:sz w:val="22"/>
          <w:szCs w:val="22"/>
        </w:rPr>
        <w:tab/>
      </w:r>
      <w:r>
        <w:rPr>
          <w:snapToGrid w:val="0"/>
          <w:sz w:val="22"/>
          <w:szCs w:val="22"/>
        </w:rPr>
        <w:t>Обязательства Заказчика по оплате Товаров считаются выполненными с момента поступления денежных средств на расчетный счет Поставщика.</w:t>
      </w:r>
    </w:p>
    <w:p>
      <w:pPr>
        <w:tabs>
          <w:tab w:val="left" w:pos="567"/>
        </w:tabs>
        <w:jc w:val="both"/>
        <w:rPr>
          <w:color w:val="000000"/>
          <w:spacing w:val="-5"/>
          <w:sz w:val="22"/>
          <w:szCs w:val="22"/>
        </w:rPr>
      </w:pPr>
      <w:r>
        <w:rPr>
          <w:snapToGrid w:val="0"/>
          <w:sz w:val="22"/>
          <w:szCs w:val="22"/>
        </w:rPr>
        <w:t>2.6.</w:t>
      </w:r>
      <w:r>
        <w:rPr>
          <w:snapToGrid w:val="0"/>
          <w:sz w:val="22"/>
          <w:szCs w:val="22"/>
        </w:rPr>
        <w:tab/>
      </w:r>
      <w:r>
        <w:rPr>
          <w:snapToGrid w:val="0"/>
          <w:sz w:val="22"/>
          <w:szCs w:val="22"/>
        </w:rPr>
        <w:t xml:space="preserve">Источник финансирования Договора: </w:t>
      </w:r>
      <w:r>
        <w:rPr>
          <w:spacing w:val="-2"/>
          <w:sz w:val="22"/>
          <w:szCs w:val="22"/>
        </w:rPr>
        <w:t>средства унитарного предприятия</w:t>
      </w:r>
      <w:r>
        <w:rPr>
          <w:color w:val="000000"/>
          <w:spacing w:val="-5"/>
          <w:sz w:val="22"/>
          <w:szCs w:val="22"/>
        </w:rPr>
        <w:t>.</w:t>
      </w:r>
    </w:p>
    <w:p>
      <w:pPr>
        <w:tabs>
          <w:tab w:val="left" w:pos="567"/>
        </w:tabs>
        <w:jc w:val="both"/>
        <w:rPr>
          <w:color w:val="222222"/>
          <w:sz w:val="22"/>
          <w:szCs w:val="22"/>
          <w:shd w:val="clear" w:color="auto" w:fill="FFFFFF"/>
        </w:rPr>
      </w:pPr>
      <w:r>
        <w:rPr>
          <w:snapToGrid w:val="0"/>
          <w:sz w:val="22"/>
          <w:szCs w:val="22"/>
        </w:rPr>
        <w:t>2.7.</w:t>
      </w:r>
      <w:r>
        <w:rPr>
          <w:color w:val="222222"/>
          <w:sz w:val="22"/>
          <w:szCs w:val="22"/>
          <w:shd w:val="clear" w:color="auto" w:fill="FFFFFF"/>
        </w:rPr>
        <w:tab/>
      </w:r>
      <w:r>
        <w:rPr>
          <w:color w:val="222222"/>
          <w:sz w:val="22"/>
          <w:szCs w:val="22"/>
          <w:shd w:val="clear" w:color="auto" w:fill="FFFFFF"/>
        </w:rPr>
        <w:t>Отсутствие у Покупателя/Заказчика чека терминала на полученные Товары не является основанием для отказа Покупателя/Заказчика от оплаты полученных Товаров, указанных в реестре операций по Картам.</w:t>
      </w:r>
    </w:p>
    <w:p>
      <w:pPr>
        <w:tabs>
          <w:tab w:val="left" w:pos="567"/>
        </w:tabs>
        <w:jc w:val="both"/>
        <w:rPr>
          <w:color w:val="222222"/>
          <w:sz w:val="22"/>
          <w:szCs w:val="22"/>
          <w:shd w:val="clear" w:color="auto" w:fill="FFFFFF"/>
        </w:rPr>
      </w:pPr>
      <w:r>
        <w:rPr>
          <w:color w:val="222222"/>
          <w:sz w:val="22"/>
          <w:szCs w:val="22"/>
          <w:shd w:val="clear" w:color="auto" w:fill="FFFFFF"/>
        </w:rPr>
        <w:t>2.8.</w:t>
      </w:r>
      <w:r>
        <w:rPr>
          <w:color w:val="222222"/>
          <w:sz w:val="22"/>
          <w:szCs w:val="22"/>
          <w:shd w:val="clear" w:color="auto" w:fill="FFFFFF"/>
        </w:rPr>
        <w:tab/>
      </w:r>
      <w:r>
        <w:rPr>
          <w:color w:val="222222"/>
          <w:sz w:val="22"/>
          <w:szCs w:val="22"/>
          <w:shd w:val="clear" w:color="auto" w:fill="FFFFFF"/>
        </w:rPr>
        <w:t>Если Покупатель/Заказчик произвел платеж, сумма которого недостаточна для погашения денежного обязательства полностью, то в первую очередь погашается задолженность за наиболее ранний период.</w:t>
      </w:r>
    </w:p>
    <w:p>
      <w:pPr>
        <w:tabs>
          <w:tab w:val="left" w:pos="567"/>
        </w:tabs>
        <w:jc w:val="both"/>
        <w:rPr>
          <w:snapToGrid w:val="0"/>
          <w:sz w:val="22"/>
          <w:szCs w:val="22"/>
        </w:rPr>
      </w:pPr>
      <w:r>
        <w:rPr>
          <w:snapToGrid w:val="0"/>
          <w:sz w:val="22"/>
          <w:szCs w:val="22"/>
        </w:rPr>
        <w:t>2.9.</w:t>
      </w:r>
      <w:r>
        <w:rPr>
          <w:snapToGrid w:val="0"/>
          <w:sz w:val="22"/>
          <w:szCs w:val="22"/>
        </w:rPr>
        <w:tab/>
      </w:r>
      <w:r>
        <w:rPr>
          <w:snapToGrid w:val="0"/>
          <w:sz w:val="22"/>
          <w:szCs w:val="22"/>
        </w:rPr>
        <w:t>По предложению Заказчика возможно увеличение предусмотренного договором количества товара не более чем на десять процентов или уменьшение предусмотренного договором количества поставляемого товара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предусмотренных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pPr>
        <w:tabs>
          <w:tab w:val="left" w:pos="567"/>
        </w:tabs>
        <w:jc w:val="both"/>
        <w:rPr>
          <w:snapToGrid w:val="0"/>
          <w:sz w:val="22"/>
          <w:szCs w:val="22"/>
        </w:rPr>
      </w:pPr>
      <w:r>
        <w:rPr>
          <w:snapToGrid w:val="0"/>
          <w:sz w:val="22"/>
          <w:szCs w:val="22"/>
        </w:rPr>
        <w:t>2.10.</w:t>
      </w:r>
      <w:r>
        <w:rPr>
          <w:snapToGrid w:val="0"/>
          <w:sz w:val="22"/>
          <w:szCs w:val="22"/>
        </w:rPr>
        <w:tab/>
      </w:r>
      <w:r>
        <w:rPr>
          <w:snapToGrid w:val="0"/>
          <w:sz w:val="22"/>
          <w:szCs w:val="22"/>
        </w:rPr>
        <w:t>В случае, если договор заключен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pPr>
        <w:tabs>
          <w:tab w:val="left" w:pos="567"/>
        </w:tabs>
        <w:jc w:val="both"/>
        <w:rPr>
          <w:snapToGrid w:val="0"/>
          <w:sz w:val="22"/>
          <w:szCs w:val="22"/>
        </w:rPr>
      </w:pPr>
      <w:r>
        <w:rPr>
          <w:snapToGrid w:val="0"/>
          <w:sz w:val="22"/>
          <w:szCs w:val="22"/>
        </w:rPr>
        <w:t>2.11.</w:t>
      </w:r>
      <w:r>
        <w:rPr>
          <w:snapToGrid w:val="0"/>
          <w:sz w:val="22"/>
          <w:szCs w:val="22"/>
        </w:rPr>
        <w:tab/>
      </w:r>
      <w:r>
        <w:rPr>
          <w:snapToGrid w:val="0"/>
          <w:sz w:val="22"/>
          <w:szCs w:val="22"/>
        </w:rPr>
        <w:t>Допускается снижение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pPr>
        <w:tabs>
          <w:tab w:val="left" w:pos="567"/>
        </w:tabs>
        <w:jc w:val="both"/>
        <w:rPr>
          <w:snapToGrid w:val="0"/>
          <w:sz w:val="22"/>
          <w:szCs w:val="22"/>
        </w:rPr>
      </w:pPr>
    </w:p>
    <w:p>
      <w:pPr>
        <w:tabs>
          <w:tab w:val="left" w:pos="567"/>
        </w:tabs>
        <w:jc w:val="center"/>
        <w:rPr>
          <w:b/>
          <w:snapToGrid w:val="0"/>
          <w:sz w:val="22"/>
          <w:szCs w:val="22"/>
        </w:rPr>
      </w:pPr>
      <w:r>
        <w:rPr>
          <w:b/>
          <w:snapToGrid w:val="0"/>
          <w:sz w:val="22"/>
          <w:szCs w:val="22"/>
        </w:rPr>
        <w:t>3.</w:t>
      </w:r>
      <w:r>
        <w:rPr>
          <w:b/>
          <w:snapToGrid w:val="0"/>
          <w:sz w:val="22"/>
          <w:szCs w:val="22"/>
        </w:rPr>
        <w:tab/>
      </w:r>
      <w:r>
        <w:rPr>
          <w:b/>
          <w:snapToGrid w:val="0"/>
          <w:sz w:val="22"/>
          <w:szCs w:val="22"/>
        </w:rPr>
        <w:t>Качество Товаров</w:t>
      </w:r>
    </w:p>
    <w:p>
      <w:pPr>
        <w:tabs>
          <w:tab w:val="left" w:pos="567"/>
          <w:tab w:val="left" w:pos="1134"/>
        </w:tabs>
        <w:jc w:val="both"/>
        <w:rPr>
          <w:sz w:val="22"/>
          <w:szCs w:val="22"/>
        </w:rPr>
      </w:pPr>
      <w:r>
        <w:rPr>
          <w:sz w:val="22"/>
          <w:szCs w:val="22"/>
        </w:rPr>
        <w:t>3.1.</w:t>
      </w:r>
      <w:r>
        <w:rPr>
          <w:sz w:val="22"/>
          <w:szCs w:val="22"/>
        </w:rPr>
        <w:tab/>
      </w:r>
      <w:r>
        <w:rPr>
          <w:sz w:val="22"/>
          <w:szCs w:val="22"/>
        </w:rPr>
        <w:t>Качество Товаров должно соответствовать ГОСТам и ТУ на данный ассортимент Товаров и подтверждаться сертификатом качества, выданным заводом – производителем.</w:t>
      </w:r>
    </w:p>
    <w:p>
      <w:pPr>
        <w:tabs>
          <w:tab w:val="left" w:pos="567"/>
          <w:tab w:val="left" w:pos="1134"/>
        </w:tabs>
        <w:jc w:val="both"/>
        <w:rPr>
          <w:sz w:val="22"/>
          <w:szCs w:val="22"/>
        </w:rPr>
      </w:pPr>
      <w:r>
        <w:rPr>
          <w:sz w:val="22"/>
          <w:szCs w:val="22"/>
        </w:rPr>
        <w:t>3.2.</w:t>
      </w:r>
      <w:r>
        <w:rPr>
          <w:sz w:val="22"/>
          <w:szCs w:val="22"/>
        </w:rPr>
        <w:tab/>
      </w:r>
      <w:r>
        <w:rPr>
          <w:sz w:val="22"/>
          <w:szCs w:val="22"/>
        </w:rPr>
        <w:t>Подтверждением ненадлежащего качества Товаров (несоответствия ГОСТам и ТУ) служит акт экспертизы независимой экспертной организации, аккредитованной при Федеральном агентстве по техническому регулированию и метрологии РФ. Экспертная организация проводит отбор арбитражных проб Товаров на ТО, которая произвела отпуск Товаров Заказчику, а также отбор проб из топливного бака / газового баллона автотранспортного средства по правилам соответствующего стандарта.</w:t>
      </w:r>
    </w:p>
    <w:p>
      <w:pPr>
        <w:tabs>
          <w:tab w:val="left" w:pos="567"/>
          <w:tab w:val="left" w:pos="709"/>
          <w:tab w:val="left" w:pos="1134"/>
        </w:tabs>
        <w:jc w:val="both"/>
        <w:rPr>
          <w:sz w:val="22"/>
          <w:szCs w:val="22"/>
        </w:rPr>
      </w:pPr>
      <w:r>
        <w:rPr>
          <w:sz w:val="22"/>
          <w:szCs w:val="22"/>
        </w:rPr>
        <w:t>3.3.</w:t>
      </w:r>
      <w:r>
        <w:rPr>
          <w:sz w:val="22"/>
          <w:szCs w:val="22"/>
        </w:rPr>
        <w:tab/>
      </w:r>
      <w:r>
        <w:rPr>
          <w:sz w:val="22"/>
          <w:szCs w:val="22"/>
        </w:rPr>
        <w:t>В случае подтверждения экспертной организацией факта отпуска на ТО некачественных Товаров Заказчику, а также факта повреждения транспортного средства Заказчика по причине заправки транспортного средства некачественными Товарами, Поставщик возмещает Заказчику причиненный ущерб и затраты по проведению независимой экспертизы. Размер ущерба и стоимость затрат по проведению независимой экспертизы должны быть реальными и документально подтвержденными.</w:t>
      </w:r>
    </w:p>
    <w:p>
      <w:pPr>
        <w:tabs>
          <w:tab w:val="left" w:pos="567"/>
          <w:tab w:val="left" w:pos="1134"/>
        </w:tabs>
        <w:jc w:val="both"/>
        <w:rPr>
          <w:sz w:val="22"/>
          <w:szCs w:val="22"/>
        </w:rPr>
      </w:pPr>
      <w:r>
        <w:rPr>
          <w:sz w:val="22"/>
          <w:szCs w:val="22"/>
        </w:rPr>
        <w:t>3.4.</w:t>
      </w:r>
      <w:r>
        <w:rPr>
          <w:sz w:val="22"/>
          <w:szCs w:val="22"/>
        </w:rPr>
        <w:tab/>
      </w:r>
      <w:r>
        <w:rPr>
          <w:sz w:val="22"/>
          <w:szCs w:val="22"/>
        </w:rPr>
        <w:t>Товары считаются переданным Поставщиком и принятым Заказчиком по качеству в соответствии с условиями настоящего Договора, если в течение 10 (десяти) календарных дней со дня выборки Товаров Заказчик не заявит претензии по качеству. К претензии обязательно предоставление чека терминала, а также акта экспертизы.</w:t>
      </w:r>
    </w:p>
    <w:p>
      <w:pPr>
        <w:ind w:right="-1" w:firstLine="540"/>
        <w:jc w:val="both"/>
        <w:rPr>
          <w:color w:val="000000"/>
          <w:sz w:val="22"/>
          <w:szCs w:val="22"/>
        </w:rPr>
      </w:pPr>
    </w:p>
    <w:p>
      <w:pPr>
        <w:tabs>
          <w:tab w:val="left" w:pos="567"/>
        </w:tabs>
        <w:jc w:val="center"/>
        <w:rPr>
          <w:b/>
          <w:sz w:val="22"/>
          <w:szCs w:val="22"/>
        </w:rPr>
      </w:pPr>
      <w:r>
        <w:rPr>
          <w:b/>
          <w:sz w:val="22"/>
          <w:szCs w:val="22"/>
        </w:rPr>
        <w:t>4.</w:t>
      </w:r>
      <w:r>
        <w:rPr>
          <w:b/>
          <w:sz w:val="22"/>
          <w:szCs w:val="22"/>
        </w:rPr>
        <w:tab/>
      </w:r>
      <w:r>
        <w:rPr>
          <w:b/>
          <w:sz w:val="22"/>
          <w:szCs w:val="22"/>
        </w:rPr>
        <w:t>Отчетные документы</w:t>
      </w:r>
    </w:p>
    <w:p>
      <w:pPr>
        <w:tabs>
          <w:tab w:val="left" w:pos="567"/>
        </w:tabs>
        <w:jc w:val="both"/>
        <w:rPr>
          <w:snapToGrid w:val="0"/>
          <w:sz w:val="22"/>
          <w:szCs w:val="22"/>
        </w:rPr>
      </w:pPr>
      <w:r>
        <w:rPr>
          <w:snapToGrid w:val="0"/>
          <w:sz w:val="22"/>
          <w:szCs w:val="22"/>
        </w:rPr>
        <w:t>4.1.</w:t>
      </w:r>
      <w:r>
        <w:rPr>
          <w:snapToGrid w:val="0"/>
          <w:sz w:val="22"/>
          <w:szCs w:val="22"/>
        </w:rPr>
        <w:tab/>
      </w:r>
      <w:r>
        <w:rPr>
          <w:snapToGrid w:val="0"/>
          <w:sz w:val="22"/>
          <w:szCs w:val="22"/>
        </w:rPr>
        <w:t>Поставщик выставляет Заказчику следующие документы, содержащие данные за отчетный месяц в течении всего срока действия Договора (далее – Отчетные документы):</w:t>
      </w:r>
    </w:p>
    <w:p>
      <w:pPr>
        <w:tabs>
          <w:tab w:val="left" w:pos="567"/>
        </w:tabs>
        <w:jc w:val="both"/>
        <w:rPr>
          <w:snapToGrid w:val="0"/>
          <w:sz w:val="22"/>
          <w:szCs w:val="22"/>
        </w:rPr>
      </w:pPr>
      <w:r>
        <w:rPr>
          <w:snapToGrid w:val="0"/>
          <w:sz w:val="22"/>
          <w:szCs w:val="22"/>
        </w:rPr>
        <w:t>4.1.1</w:t>
      </w:r>
      <w:r>
        <w:rPr>
          <w:snapToGrid w:val="0"/>
          <w:sz w:val="22"/>
          <w:szCs w:val="22"/>
        </w:rPr>
        <w:tab/>
      </w:r>
      <w:r>
        <w:rPr>
          <w:snapToGrid w:val="0"/>
          <w:sz w:val="22"/>
          <w:szCs w:val="22"/>
        </w:rPr>
        <w:t>счет-фактура;</w:t>
      </w:r>
    </w:p>
    <w:p>
      <w:pPr>
        <w:tabs>
          <w:tab w:val="left" w:pos="567"/>
        </w:tabs>
        <w:jc w:val="both"/>
        <w:rPr>
          <w:snapToGrid w:val="0"/>
          <w:sz w:val="22"/>
          <w:szCs w:val="22"/>
        </w:rPr>
      </w:pPr>
      <w:r>
        <w:rPr>
          <w:snapToGrid w:val="0"/>
          <w:sz w:val="22"/>
          <w:szCs w:val="22"/>
        </w:rPr>
        <w:t>4.1.2</w:t>
      </w:r>
      <w:r>
        <w:rPr>
          <w:snapToGrid w:val="0"/>
          <w:sz w:val="22"/>
          <w:szCs w:val="22"/>
        </w:rPr>
        <w:tab/>
      </w:r>
      <w:r>
        <w:rPr>
          <w:snapToGrid w:val="0"/>
          <w:sz w:val="22"/>
          <w:szCs w:val="22"/>
        </w:rPr>
        <w:t>товарная накладная;</w:t>
      </w:r>
    </w:p>
    <w:p>
      <w:pPr>
        <w:tabs>
          <w:tab w:val="left" w:pos="567"/>
        </w:tabs>
        <w:jc w:val="both"/>
        <w:rPr>
          <w:snapToGrid w:val="0"/>
          <w:sz w:val="22"/>
          <w:szCs w:val="22"/>
        </w:rPr>
      </w:pPr>
      <w:r>
        <w:rPr>
          <w:snapToGrid w:val="0"/>
          <w:sz w:val="22"/>
          <w:szCs w:val="22"/>
        </w:rPr>
        <w:t>4.1.3</w:t>
      </w:r>
      <w:r>
        <w:rPr>
          <w:snapToGrid w:val="0"/>
          <w:sz w:val="22"/>
          <w:szCs w:val="22"/>
        </w:rPr>
        <w:tab/>
      </w:r>
      <w:r>
        <w:rPr>
          <w:snapToGrid w:val="0"/>
          <w:sz w:val="22"/>
          <w:szCs w:val="22"/>
        </w:rPr>
        <w:t>реестр операций по Картам.</w:t>
      </w:r>
    </w:p>
    <w:p>
      <w:pPr>
        <w:tabs>
          <w:tab w:val="left" w:pos="567"/>
        </w:tabs>
        <w:jc w:val="both"/>
        <w:rPr>
          <w:snapToGrid w:val="0"/>
          <w:sz w:val="22"/>
          <w:szCs w:val="22"/>
        </w:rPr>
      </w:pPr>
      <w:r>
        <w:rPr>
          <w:snapToGrid w:val="0"/>
          <w:sz w:val="22"/>
          <w:szCs w:val="22"/>
        </w:rPr>
        <w:t>4.2.</w:t>
      </w:r>
      <w:r>
        <w:rPr>
          <w:snapToGrid w:val="0"/>
          <w:sz w:val="22"/>
          <w:szCs w:val="22"/>
        </w:rPr>
        <w:tab/>
      </w:r>
      <w:r>
        <w:rPr>
          <w:snapToGrid w:val="0"/>
          <w:sz w:val="22"/>
          <w:szCs w:val="22"/>
        </w:rPr>
        <w:t>Отчетные документы датируются последним числом отчетного месяца. Отчетные документы подготавливаются Поставщиком в течение 5 (пяти) рабочих дней месяца, следующего за отчетным.</w:t>
      </w:r>
    </w:p>
    <w:p>
      <w:pPr>
        <w:tabs>
          <w:tab w:val="left" w:pos="567"/>
        </w:tabs>
        <w:jc w:val="both"/>
        <w:rPr>
          <w:snapToGrid w:val="0"/>
          <w:sz w:val="22"/>
          <w:szCs w:val="22"/>
        </w:rPr>
      </w:pPr>
      <w:r>
        <w:rPr>
          <w:snapToGrid w:val="0"/>
          <w:sz w:val="22"/>
          <w:szCs w:val="22"/>
        </w:rPr>
        <w:t>4.3.</w:t>
      </w:r>
      <w:r>
        <w:rPr>
          <w:snapToGrid w:val="0"/>
          <w:sz w:val="22"/>
          <w:szCs w:val="22"/>
        </w:rPr>
        <w:tab/>
      </w:r>
      <w:r>
        <w:rPr>
          <w:snapToGrid w:val="0"/>
          <w:sz w:val="22"/>
          <w:szCs w:val="22"/>
        </w:rPr>
        <w:t>Поставщик подготавливает акт сверки взаимных расчетов по мере необходимости.</w:t>
      </w:r>
    </w:p>
    <w:p>
      <w:pPr>
        <w:tabs>
          <w:tab w:val="left" w:pos="567"/>
        </w:tabs>
        <w:jc w:val="both"/>
        <w:rPr>
          <w:snapToGrid w:val="0"/>
          <w:sz w:val="22"/>
          <w:szCs w:val="22"/>
        </w:rPr>
      </w:pPr>
      <w:r>
        <w:rPr>
          <w:snapToGrid w:val="0"/>
          <w:sz w:val="22"/>
          <w:szCs w:val="22"/>
        </w:rPr>
        <w:t>4.4.</w:t>
      </w:r>
      <w:r>
        <w:rPr>
          <w:snapToGrid w:val="0"/>
          <w:sz w:val="22"/>
          <w:szCs w:val="22"/>
        </w:rPr>
        <w:tab/>
      </w:r>
      <w:r>
        <w:rPr>
          <w:sz w:val="22"/>
          <w:szCs w:val="22"/>
        </w:rPr>
        <w:t>Заказчик обязан получить счет по месту фактического нахождения Поставщика или посредством факсимильной связи либо по электронной почте, либо посредством электронного документооборота. На счетах допускается использование факсимильной подписи.</w:t>
      </w:r>
    </w:p>
    <w:p>
      <w:pPr>
        <w:widowControl w:val="0"/>
        <w:tabs>
          <w:tab w:val="left" w:pos="567"/>
        </w:tabs>
        <w:jc w:val="both"/>
        <w:rPr>
          <w:sz w:val="22"/>
          <w:szCs w:val="22"/>
        </w:rPr>
      </w:pPr>
      <w:r>
        <w:rPr>
          <w:sz w:val="22"/>
          <w:szCs w:val="22"/>
        </w:rPr>
        <w:t>4.5.</w:t>
      </w:r>
      <w:r>
        <w:rPr>
          <w:sz w:val="22"/>
          <w:szCs w:val="22"/>
        </w:rPr>
        <w:tab/>
      </w:r>
      <w:r>
        <w:rPr>
          <w:sz w:val="22"/>
          <w:szCs w:val="22"/>
        </w:rPr>
        <w:t>Если в течение двух недель после окончания срока подготовки Отчетных документов, Поставщик не получил подписанные со стороны Заказчика оригиналы актов приема-передачи и / или актов сверки взаиморасчетов либо мотивированного отказа от их подписания, акты считаются подписанными в редакции Поставщика, а Товары поставленными в количестве и по цене, указанным в актах по данным Поставщика.</w:t>
      </w:r>
    </w:p>
    <w:p>
      <w:pPr>
        <w:ind w:firstLine="567"/>
        <w:jc w:val="both"/>
        <w:rPr>
          <w:snapToGrid w:val="0"/>
          <w:sz w:val="22"/>
          <w:szCs w:val="22"/>
        </w:rPr>
      </w:pPr>
    </w:p>
    <w:p>
      <w:pPr>
        <w:tabs>
          <w:tab w:val="left" w:pos="567"/>
        </w:tabs>
        <w:suppressAutoHyphens w:val="0"/>
        <w:jc w:val="center"/>
        <w:rPr>
          <w:b/>
          <w:snapToGrid w:val="0"/>
          <w:sz w:val="22"/>
          <w:szCs w:val="22"/>
          <w:lang w:eastAsia="ru-RU"/>
        </w:rPr>
      </w:pPr>
      <w:r>
        <w:rPr>
          <w:b/>
          <w:snapToGrid w:val="0"/>
          <w:sz w:val="22"/>
          <w:szCs w:val="22"/>
          <w:lang w:eastAsia="ru-RU"/>
        </w:rPr>
        <w:t>5.</w:t>
      </w:r>
      <w:r>
        <w:rPr>
          <w:b/>
          <w:snapToGrid w:val="0"/>
          <w:sz w:val="22"/>
          <w:szCs w:val="22"/>
          <w:lang w:eastAsia="ru-RU"/>
        </w:rPr>
        <w:tab/>
      </w:r>
      <w:r>
        <w:rPr>
          <w:b/>
          <w:snapToGrid w:val="0"/>
          <w:sz w:val="22"/>
          <w:szCs w:val="22"/>
          <w:lang w:eastAsia="ru-RU"/>
        </w:rPr>
        <w:t>Ответственность сторон</w:t>
      </w:r>
    </w:p>
    <w:p>
      <w:pPr>
        <w:widowControl w:val="0"/>
        <w:tabs>
          <w:tab w:val="left" w:pos="567"/>
        </w:tabs>
        <w:autoSpaceDE w:val="0"/>
        <w:rPr>
          <w:sz w:val="22"/>
          <w:szCs w:val="22"/>
        </w:rPr>
      </w:pPr>
      <w:r>
        <w:rPr>
          <w:sz w:val="22"/>
          <w:szCs w:val="22"/>
        </w:rPr>
        <w:t>5.1.</w:t>
      </w:r>
      <w:r>
        <w:rPr>
          <w:sz w:val="22"/>
          <w:szCs w:val="22"/>
        </w:rPr>
        <w:tab/>
      </w:r>
      <w:r>
        <w:rPr>
          <w:sz w:val="22"/>
          <w:szCs w:val="22"/>
        </w:rPr>
        <w:t>За нарушение условий договора стороны несут ответственность в соответствии с действующим законодательством Российской Федерации.</w:t>
      </w:r>
    </w:p>
    <w:p>
      <w:pPr>
        <w:tabs>
          <w:tab w:val="left" w:pos="567"/>
        </w:tabs>
        <w:autoSpaceDE w:val="0"/>
        <w:autoSpaceDN w:val="0"/>
        <w:adjustRightInd w:val="0"/>
        <w:jc w:val="both"/>
        <w:rPr>
          <w:sz w:val="22"/>
          <w:szCs w:val="22"/>
        </w:rPr>
      </w:pPr>
      <w:r>
        <w:rPr>
          <w:sz w:val="22"/>
          <w:szCs w:val="22"/>
        </w:rPr>
        <w:t>5.2.</w:t>
      </w:r>
      <w:r>
        <w:rPr>
          <w:sz w:val="22"/>
          <w:szCs w:val="22"/>
        </w:rPr>
        <w:tab/>
      </w:r>
      <w:r>
        <w:rPr>
          <w:sz w:val="22"/>
          <w:szCs w:val="22"/>
        </w:rPr>
        <w:t xml:space="preserve">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pPr>
        <w:tabs>
          <w:tab w:val="left" w:pos="567"/>
        </w:tabs>
        <w:autoSpaceDE w:val="0"/>
        <w:autoSpaceDN w:val="0"/>
        <w:adjustRightInd w:val="0"/>
        <w:ind w:firstLine="567"/>
        <w:jc w:val="both"/>
        <w:rPr>
          <w:sz w:val="22"/>
          <w:szCs w:val="22"/>
        </w:rPr>
      </w:pPr>
      <w:r>
        <w:rPr>
          <w:sz w:val="22"/>
          <w:szCs w:val="22"/>
        </w:rPr>
        <w:t>Общая сумма начисленной неустойки (пени) за ненадлежащее исполнение Заказчиком обязательств, предусмотренных договором, не может превышать цену договора.</w:t>
      </w:r>
    </w:p>
    <w:p>
      <w:pPr>
        <w:tabs>
          <w:tab w:val="left" w:pos="567"/>
        </w:tabs>
        <w:autoSpaceDE w:val="0"/>
        <w:autoSpaceDN w:val="0"/>
        <w:adjustRightInd w:val="0"/>
        <w:jc w:val="both"/>
        <w:rPr>
          <w:sz w:val="22"/>
          <w:szCs w:val="22"/>
        </w:rPr>
      </w:pPr>
      <w:r>
        <w:rPr>
          <w:sz w:val="22"/>
          <w:szCs w:val="22"/>
        </w:rPr>
        <w:t>5.3.</w:t>
      </w:r>
      <w:r>
        <w:rPr>
          <w:sz w:val="22"/>
          <w:szCs w:val="22"/>
        </w:rPr>
        <w:tab/>
      </w:r>
      <w:r>
        <w:rPr>
          <w:sz w:val="22"/>
          <w:szCs w:val="22"/>
        </w:rPr>
        <w:t xml:space="preserve">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(пеней).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w:t>
      </w:r>
    </w:p>
    <w:p>
      <w:pPr>
        <w:tabs>
          <w:tab w:val="left" w:pos="567"/>
        </w:tabs>
        <w:autoSpaceDE w:val="0"/>
        <w:autoSpaceDN w:val="0"/>
        <w:adjustRightInd w:val="0"/>
        <w:ind w:firstLine="567"/>
        <w:jc w:val="both"/>
        <w:rPr>
          <w:sz w:val="22"/>
          <w:szCs w:val="22"/>
        </w:rPr>
      </w:pPr>
      <w:r>
        <w:rPr>
          <w:sz w:val="22"/>
          <w:szCs w:val="22"/>
        </w:rPr>
        <w:t>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в размере 1000  руб.</w:t>
      </w:r>
    </w:p>
    <w:p>
      <w:pPr>
        <w:tabs>
          <w:tab w:val="left" w:pos="567"/>
        </w:tabs>
        <w:autoSpaceDE w:val="0"/>
        <w:autoSpaceDN w:val="0"/>
        <w:adjustRightInd w:val="0"/>
        <w:ind w:firstLine="567"/>
        <w:jc w:val="both"/>
        <w:rPr>
          <w:sz w:val="22"/>
          <w:szCs w:val="22"/>
        </w:rPr>
      </w:pPr>
      <w:r>
        <w:rPr>
          <w:sz w:val="22"/>
          <w:szCs w:val="22"/>
        </w:rPr>
        <w:t>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pPr>
        <w:tabs>
          <w:tab w:val="left" w:pos="567"/>
        </w:tabs>
        <w:autoSpaceDE w:val="0"/>
        <w:autoSpaceDN w:val="0"/>
        <w:adjustRightInd w:val="0"/>
        <w:ind w:firstLine="567"/>
        <w:jc w:val="both"/>
        <w:rPr>
          <w:sz w:val="22"/>
          <w:szCs w:val="22"/>
        </w:rPr>
      </w:pPr>
      <w:r>
        <w:rPr>
          <w:sz w:val="22"/>
          <w:szCs w:val="22"/>
        </w:rPr>
        <w:t xml:space="preserve">В случае направления Поставщику требования об уплате неустоек (штрафов, пеней), Заказчик оплачивает фактически </w:t>
      </w:r>
      <w:r>
        <w:rPr>
          <w:rFonts w:eastAsia="Arial"/>
          <w:sz w:val="22"/>
          <w:szCs w:val="22"/>
        </w:rPr>
        <w:t>поставленные товары</w:t>
      </w:r>
      <w:r>
        <w:rPr>
          <w:sz w:val="22"/>
          <w:szCs w:val="22"/>
        </w:rPr>
        <w:t xml:space="preserve"> после перечисления Поставщиком суммы неустоек (пеней) на счет, указанный в таком требовании.</w:t>
      </w:r>
    </w:p>
    <w:p>
      <w:pPr>
        <w:tabs>
          <w:tab w:val="left" w:pos="567"/>
        </w:tabs>
        <w:autoSpaceDE w:val="0"/>
        <w:autoSpaceDN w:val="0"/>
        <w:adjustRightInd w:val="0"/>
        <w:jc w:val="both"/>
        <w:rPr>
          <w:sz w:val="22"/>
          <w:szCs w:val="22"/>
        </w:rPr>
      </w:pPr>
      <w:r>
        <w:rPr>
          <w:sz w:val="22"/>
          <w:szCs w:val="22"/>
        </w:rPr>
        <w:t>5.4.</w:t>
      </w:r>
      <w:r>
        <w:rPr>
          <w:sz w:val="22"/>
          <w:szCs w:val="22"/>
        </w:rPr>
        <w:tab/>
      </w:r>
      <w:r>
        <w:rPr>
          <w:sz w:val="22"/>
          <w:szCs w:val="22"/>
        </w:rPr>
        <w:t>Ответственность сторон в иных случаях определяется в соответствии с законодательством Российской Федерации.</w:t>
      </w:r>
    </w:p>
    <w:p>
      <w:pPr>
        <w:tabs>
          <w:tab w:val="left" w:pos="567"/>
        </w:tabs>
        <w:jc w:val="both"/>
        <w:rPr>
          <w:snapToGrid w:val="0"/>
          <w:sz w:val="22"/>
          <w:szCs w:val="22"/>
        </w:rPr>
      </w:pPr>
      <w:r>
        <w:rPr>
          <w:sz w:val="22"/>
          <w:szCs w:val="22"/>
        </w:rPr>
        <w:t>5.5.</w:t>
      </w:r>
      <w:r>
        <w:rPr>
          <w:sz w:val="22"/>
          <w:szCs w:val="22"/>
        </w:rPr>
        <w:tab/>
      </w:r>
      <w:r>
        <w:rPr>
          <w:sz w:val="22"/>
          <w:szCs w:val="22"/>
        </w:rPr>
        <w:t>Уплата пени не освобождает стороны от исполнения обязательств или устранения нарушений.</w:t>
      </w:r>
    </w:p>
    <w:p>
      <w:pPr>
        <w:widowControl w:val="0"/>
        <w:tabs>
          <w:tab w:val="left" w:pos="567"/>
        </w:tabs>
        <w:jc w:val="center"/>
        <w:rPr>
          <w:b/>
          <w:sz w:val="22"/>
          <w:szCs w:val="22"/>
        </w:rPr>
      </w:pPr>
    </w:p>
    <w:p>
      <w:pPr>
        <w:widowControl w:val="0"/>
        <w:tabs>
          <w:tab w:val="left" w:pos="567"/>
        </w:tabs>
        <w:jc w:val="center"/>
        <w:rPr>
          <w:b/>
          <w:sz w:val="22"/>
          <w:szCs w:val="22"/>
        </w:rPr>
      </w:pPr>
      <w:r>
        <w:rPr>
          <w:b/>
          <w:sz w:val="22"/>
          <w:szCs w:val="22"/>
        </w:rPr>
        <w:t>6.</w:t>
      </w:r>
      <w:r>
        <w:rPr>
          <w:b/>
          <w:sz w:val="22"/>
          <w:szCs w:val="22"/>
        </w:rPr>
        <w:tab/>
      </w:r>
      <w:r>
        <w:rPr>
          <w:b/>
          <w:sz w:val="22"/>
          <w:szCs w:val="22"/>
        </w:rPr>
        <w:t>Разрешение споров</w:t>
      </w:r>
    </w:p>
    <w:p>
      <w:pPr>
        <w:widowControl w:val="0"/>
        <w:tabs>
          <w:tab w:val="left" w:pos="567"/>
        </w:tabs>
        <w:jc w:val="both"/>
        <w:rPr>
          <w:sz w:val="22"/>
          <w:szCs w:val="22"/>
        </w:rPr>
      </w:pPr>
      <w:r>
        <w:rPr>
          <w:sz w:val="22"/>
          <w:szCs w:val="22"/>
        </w:rPr>
        <w:t>6.1.</w:t>
      </w:r>
      <w:r>
        <w:rPr>
          <w:sz w:val="22"/>
          <w:szCs w:val="22"/>
        </w:rPr>
        <w:tab/>
      </w:r>
      <w:r>
        <w:rPr>
          <w:sz w:val="22"/>
          <w:szCs w:val="22"/>
        </w:rPr>
        <w:t xml:space="preserve">В случае возникновения споров при исполнении настоящего Договора или в связи с ним, </w:t>
      </w:r>
      <w:r>
        <w:rPr>
          <w:bCs/>
          <w:sz w:val="22"/>
          <w:szCs w:val="22"/>
        </w:rPr>
        <w:t>Стороны</w:t>
      </w:r>
      <w:r>
        <w:rPr>
          <w:sz w:val="22"/>
          <w:szCs w:val="22"/>
        </w:rPr>
        <w:t xml:space="preserve"> обязуются решать их путем переговоров с соблюдением претензионного порядка. Срок рассмотрения претензии - 30 (тридцать) календарных дней от даты ее получения.</w:t>
      </w:r>
    </w:p>
    <w:p>
      <w:pPr>
        <w:widowControl w:val="0"/>
        <w:tabs>
          <w:tab w:val="left" w:pos="567"/>
        </w:tabs>
        <w:jc w:val="both"/>
        <w:rPr>
          <w:sz w:val="22"/>
          <w:szCs w:val="22"/>
        </w:rPr>
      </w:pPr>
      <w:r>
        <w:rPr>
          <w:sz w:val="22"/>
          <w:szCs w:val="22"/>
        </w:rPr>
        <w:t>6.2.</w:t>
      </w:r>
      <w:r>
        <w:rPr>
          <w:sz w:val="22"/>
          <w:szCs w:val="22"/>
        </w:rPr>
        <w:tab/>
      </w:r>
      <w:r>
        <w:rPr>
          <w:sz w:val="22"/>
          <w:szCs w:val="22"/>
        </w:rPr>
        <w:t>В случае отказа в удовлетворении претензии или неполучения ответа на претензию, споры передаются на рассмотрение в Арбитражный суд Республики Карелия.</w:t>
      </w:r>
    </w:p>
    <w:p>
      <w:pPr>
        <w:widowControl w:val="0"/>
        <w:tabs>
          <w:tab w:val="left" w:pos="1134"/>
        </w:tabs>
        <w:ind w:firstLine="540"/>
        <w:jc w:val="both"/>
        <w:rPr>
          <w:sz w:val="22"/>
          <w:szCs w:val="22"/>
        </w:rPr>
      </w:pPr>
    </w:p>
    <w:p>
      <w:pPr>
        <w:tabs>
          <w:tab w:val="left" w:pos="567"/>
        </w:tabs>
        <w:jc w:val="center"/>
        <w:rPr>
          <w:b/>
          <w:sz w:val="22"/>
          <w:szCs w:val="22"/>
        </w:rPr>
      </w:pPr>
      <w:r>
        <w:rPr>
          <w:b/>
          <w:sz w:val="22"/>
          <w:szCs w:val="22"/>
        </w:rPr>
        <w:t>7.</w:t>
      </w:r>
      <w:r>
        <w:rPr>
          <w:b/>
          <w:sz w:val="22"/>
          <w:szCs w:val="22"/>
        </w:rPr>
        <w:tab/>
      </w:r>
      <w:r>
        <w:rPr>
          <w:b/>
          <w:sz w:val="22"/>
          <w:szCs w:val="22"/>
        </w:rPr>
        <w:t>Форс-мажорные обстоятельства</w:t>
      </w:r>
    </w:p>
    <w:p>
      <w:pPr>
        <w:tabs>
          <w:tab w:val="left" w:pos="567"/>
          <w:tab w:val="left" w:pos="1134"/>
        </w:tabs>
        <w:jc w:val="both"/>
        <w:rPr>
          <w:sz w:val="22"/>
          <w:szCs w:val="22"/>
        </w:rPr>
      </w:pPr>
      <w:r>
        <w:rPr>
          <w:sz w:val="22"/>
          <w:szCs w:val="22"/>
        </w:rPr>
        <w:t>7.1.</w:t>
      </w:r>
      <w:r>
        <w:rPr>
          <w:sz w:val="22"/>
          <w:szCs w:val="22"/>
        </w:rPr>
        <w:tab/>
      </w:r>
      <w:r>
        <w:rPr>
          <w:sz w:val="22"/>
          <w:szCs w:val="22"/>
        </w:rPr>
        <w:t>Стороны не несут ответственности за неисполнение любого из своих обязательств, за исключением обязательств по оплате полученных Товаров, если докажут, что такое неисполнение было вызвано форс-мажорными обстоятельствами, т.е. событиями или обстоятельствами, действительно находящимися вне контроля такой Стороны, наступившими после заключения настоящего Договора, носящими непредвиденный и непредотвратимый характер. К форс-мажорным обстоятельствам относятся, в частности, природные катаклизмы, забастовки, пожары, наводнения, взрывы, обледенения, войны (как объявленные, так и необъявленные), мятежи, гибель товара, задержки перевозчиков, вызванные авариями или неблагоприятными погодными условиями, опасности и случайности на море, эмбарго, катастрофы, ограничения, налагаемые государственными органами (включая распределения, приоритеты, официальные требования, квоты и ценовой контроль), если эти обстоятельства непосредственно повлияли на исполнение настоящего Договора.</w:t>
      </w:r>
    </w:p>
    <w:p>
      <w:pPr>
        <w:tabs>
          <w:tab w:val="left" w:pos="567"/>
          <w:tab w:val="left" w:pos="1134"/>
        </w:tabs>
        <w:jc w:val="both"/>
        <w:rPr>
          <w:sz w:val="22"/>
          <w:szCs w:val="22"/>
        </w:rPr>
      </w:pPr>
      <w:r>
        <w:rPr>
          <w:sz w:val="22"/>
          <w:szCs w:val="22"/>
        </w:rPr>
        <w:t>7.2.</w:t>
      </w:r>
      <w:r>
        <w:rPr>
          <w:sz w:val="22"/>
          <w:szCs w:val="22"/>
        </w:rPr>
        <w:tab/>
      </w:r>
      <w:r>
        <w:rPr>
          <w:sz w:val="22"/>
          <w:szCs w:val="22"/>
        </w:rPr>
        <w:t>Время, которое требуется Сторонам для исполнения своих обязательств по настоящему Договору, будет продлено на любой срок, в течение которого было отложено исполнение по причине перечисленных обстоятельств.</w:t>
      </w:r>
    </w:p>
    <w:p>
      <w:pPr>
        <w:tabs>
          <w:tab w:val="left" w:pos="567"/>
          <w:tab w:val="left" w:pos="1134"/>
        </w:tabs>
        <w:jc w:val="both"/>
        <w:rPr>
          <w:sz w:val="22"/>
          <w:szCs w:val="22"/>
        </w:rPr>
      </w:pPr>
      <w:r>
        <w:rPr>
          <w:sz w:val="22"/>
          <w:szCs w:val="22"/>
        </w:rPr>
        <w:t>В случае если продолжительность обстоятельств форс-мажора превышает 30 (тридцать) календарных дней настоящий Договор может быть расторгнут по письменному заявлению любой из Сторон.</w:t>
      </w:r>
    </w:p>
    <w:p>
      <w:pPr>
        <w:tabs>
          <w:tab w:val="left" w:pos="567"/>
          <w:tab w:val="left" w:pos="1134"/>
        </w:tabs>
        <w:jc w:val="both"/>
        <w:rPr>
          <w:sz w:val="22"/>
          <w:szCs w:val="22"/>
        </w:rPr>
      </w:pPr>
      <w:r>
        <w:rPr>
          <w:sz w:val="22"/>
          <w:szCs w:val="22"/>
        </w:rPr>
        <w:t>7.3.</w:t>
      </w:r>
      <w:r>
        <w:rPr>
          <w:sz w:val="22"/>
          <w:szCs w:val="22"/>
        </w:rPr>
        <w:tab/>
      </w:r>
      <w:r>
        <w:rPr>
          <w:sz w:val="22"/>
          <w:szCs w:val="22"/>
        </w:rPr>
        <w:t>Несмотря на наступление форс-мажора, перед прекращением настоящего Договора  вследствие форс-мажорных обстоятельств Стороны, осуществляют окончательные взаиморасчеты.</w:t>
      </w:r>
    </w:p>
    <w:p>
      <w:pPr>
        <w:tabs>
          <w:tab w:val="left" w:pos="567"/>
          <w:tab w:val="left" w:pos="1134"/>
        </w:tabs>
        <w:jc w:val="both"/>
        <w:rPr>
          <w:sz w:val="22"/>
          <w:szCs w:val="22"/>
        </w:rPr>
      </w:pPr>
      <w:r>
        <w:rPr>
          <w:sz w:val="22"/>
          <w:szCs w:val="22"/>
        </w:rPr>
        <w:t>7.4.</w:t>
      </w:r>
      <w:r>
        <w:rPr>
          <w:sz w:val="22"/>
          <w:szCs w:val="22"/>
        </w:rPr>
        <w:tab/>
      </w:r>
      <w:r>
        <w:rPr>
          <w:sz w:val="22"/>
          <w:szCs w:val="22"/>
        </w:rPr>
        <w:t>Сторона, для которой стало невозможным исполнение обязательств по настоящему Договору по причине наступления форс-мажорных обстоятельств,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форс-мажорных обстоятельств. Таким подтверждением будет являться справка, сертификат или иной соответствующий документ, выданный уполномоченным государственным органом, расположенным по месту возникновения форс-мажорных обстоятельств.</w:t>
      </w:r>
    </w:p>
    <w:p>
      <w:pPr>
        <w:ind w:firstLine="540"/>
        <w:jc w:val="both"/>
        <w:rPr>
          <w:sz w:val="22"/>
          <w:szCs w:val="22"/>
        </w:rPr>
      </w:pPr>
    </w:p>
    <w:p>
      <w:pPr>
        <w:tabs>
          <w:tab w:val="left" w:pos="567"/>
        </w:tabs>
        <w:jc w:val="center"/>
        <w:rPr>
          <w:b/>
          <w:sz w:val="22"/>
          <w:szCs w:val="22"/>
        </w:rPr>
      </w:pPr>
      <w:r>
        <w:rPr>
          <w:b/>
          <w:sz w:val="22"/>
          <w:szCs w:val="22"/>
        </w:rPr>
        <w:t>8.</w:t>
      </w:r>
      <w:r>
        <w:rPr>
          <w:b/>
          <w:sz w:val="22"/>
          <w:szCs w:val="22"/>
        </w:rPr>
        <w:tab/>
      </w:r>
      <w:r>
        <w:rPr>
          <w:b/>
          <w:sz w:val="22"/>
          <w:szCs w:val="22"/>
        </w:rPr>
        <w:t>Антикоррупционные положения</w:t>
      </w:r>
    </w:p>
    <w:p>
      <w:pPr>
        <w:tabs>
          <w:tab w:val="left" w:pos="567"/>
          <w:tab w:val="left" w:pos="1134"/>
        </w:tabs>
        <w:suppressAutoHyphens w:val="0"/>
        <w:jc w:val="both"/>
        <w:rPr>
          <w:sz w:val="22"/>
          <w:szCs w:val="22"/>
          <w:lang w:eastAsia="en-US"/>
        </w:rPr>
      </w:pPr>
      <w:r>
        <w:rPr>
          <w:bCs/>
          <w:sz w:val="22"/>
          <w:szCs w:val="22"/>
          <w:lang w:eastAsia="en-US"/>
        </w:rPr>
        <w:t>8.1.</w:t>
      </w:r>
      <w:r>
        <w:rPr>
          <w:bCs/>
          <w:sz w:val="22"/>
          <w:szCs w:val="22"/>
          <w:lang w:eastAsia="en-US"/>
        </w:rPr>
        <w:tab/>
      </w:r>
      <w:r>
        <w:rPr>
          <w:sz w:val="22"/>
          <w:szCs w:val="22"/>
          <w:lang w:eastAsia="en-US"/>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pPr>
        <w:tabs>
          <w:tab w:val="left" w:pos="567"/>
        </w:tabs>
        <w:suppressAutoHyphens w:val="0"/>
        <w:jc w:val="both"/>
        <w:rPr>
          <w:bCs/>
          <w:sz w:val="22"/>
          <w:szCs w:val="22"/>
          <w:lang w:eastAsia="en-US"/>
        </w:rPr>
      </w:pPr>
      <w:r>
        <w:rPr>
          <w:sz w:val="22"/>
          <w:szCs w:val="22"/>
          <w:lang w:eastAsia="en-US"/>
        </w:rPr>
        <w:tab/>
      </w:r>
      <w:r>
        <w:rPr>
          <w:sz w:val="22"/>
          <w:szCs w:val="22"/>
          <w:lang w:eastAsia="en-US"/>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pPr>
        <w:tabs>
          <w:tab w:val="left" w:pos="567"/>
        </w:tabs>
        <w:autoSpaceDE w:val="0"/>
        <w:autoSpaceDN w:val="0"/>
        <w:adjustRightInd w:val="0"/>
        <w:jc w:val="both"/>
        <w:rPr>
          <w:sz w:val="22"/>
          <w:szCs w:val="22"/>
        </w:rPr>
      </w:pPr>
      <w:r>
        <w:rPr>
          <w:sz w:val="22"/>
          <w:szCs w:val="22"/>
        </w:rPr>
        <w:tab/>
      </w:r>
      <w:r>
        <w:rPr>
          <w:sz w:val="22"/>
          <w:szCs w:val="22"/>
        </w:rPr>
        <w:t>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pPr>
        <w:tabs>
          <w:tab w:val="left" w:pos="567"/>
        </w:tabs>
        <w:autoSpaceDE w:val="0"/>
        <w:autoSpaceDN w:val="0"/>
        <w:adjustRightInd w:val="0"/>
        <w:jc w:val="both"/>
        <w:rPr>
          <w:sz w:val="22"/>
          <w:szCs w:val="22"/>
        </w:rPr>
      </w:pPr>
      <w:r>
        <w:rPr>
          <w:sz w:val="22"/>
          <w:szCs w:val="22"/>
        </w:rPr>
        <w:t>Под действиями работника, осуществляемыми в пользу стимулирующей его Стороны, понимаются:</w:t>
      </w:r>
    </w:p>
    <w:p>
      <w:pPr>
        <w:numPr>
          <w:ilvl w:val="0"/>
          <w:numId w:val="8"/>
        </w:numPr>
        <w:tabs>
          <w:tab w:val="left" w:pos="567"/>
        </w:tabs>
        <w:suppressAutoHyphens w:val="0"/>
        <w:autoSpaceDE w:val="0"/>
        <w:autoSpaceDN w:val="0"/>
        <w:adjustRightInd w:val="0"/>
        <w:ind w:left="0" w:firstLine="0"/>
        <w:jc w:val="both"/>
        <w:rPr>
          <w:sz w:val="22"/>
          <w:szCs w:val="22"/>
        </w:rPr>
      </w:pPr>
      <w:r>
        <w:rPr>
          <w:sz w:val="22"/>
          <w:szCs w:val="22"/>
        </w:rPr>
        <w:t>предоставление неоправданных преимуществ по сравнению с другими контрагентами;</w:t>
      </w:r>
    </w:p>
    <w:p>
      <w:pPr>
        <w:numPr>
          <w:ilvl w:val="0"/>
          <w:numId w:val="8"/>
        </w:numPr>
        <w:tabs>
          <w:tab w:val="left" w:pos="567"/>
        </w:tabs>
        <w:suppressAutoHyphens w:val="0"/>
        <w:autoSpaceDE w:val="0"/>
        <w:autoSpaceDN w:val="0"/>
        <w:adjustRightInd w:val="0"/>
        <w:ind w:left="0" w:firstLine="0"/>
        <w:jc w:val="both"/>
        <w:rPr>
          <w:sz w:val="22"/>
          <w:szCs w:val="22"/>
        </w:rPr>
      </w:pPr>
      <w:r>
        <w:rPr>
          <w:sz w:val="22"/>
          <w:szCs w:val="22"/>
        </w:rPr>
        <w:t>предоставление каких-либо гарантий;</w:t>
      </w:r>
    </w:p>
    <w:p>
      <w:pPr>
        <w:numPr>
          <w:ilvl w:val="0"/>
          <w:numId w:val="8"/>
        </w:numPr>
        <w:tabs>
          <w:tab w:val="left" w:pos="567"/>
        </w:tabs>
        <w:suppressAutoHyphens w:val="0"/>
        <w:autoSpaceDE w:val="0"/>
        <w:autoSpaceDN w:val="0"/>
        <w:adjustRightInd w:val="0"/>
        <w:ind w:left="0" w:firstLine="0"/>
        <w:jc w:val="both"/>
        <w:rPr>
          <w:sz w:val="22"/>
          <w:szCs w:val="22"/>
        </w:rPr>
      </w:pPr>
      <w:r>
        <w:rPr>
          <w:sz w:val="22"/>
          <w:szCs w:val="22"/>
        </w:rPr>
        <w:t>ускорение существующих процедур;</w:t>
      </w:r>
    </w:p>
    <w:p>
      <w:pPr>
        <w:numPr>
          <w:ilvl w:val="0"/>
          <w:numId w:val="8"/>
        </w:numPr>
        <w:tabs>
          <w:tab w:val="left" w:pos="567"/>
        </w:tabs>
        <w:suppressAutoHyphens w:val="0"/>
        <w:autoSpaceDE w:val="0"/>
        <w:autoSpaceDN w:val="0"/>
        <w:adjustRightInd w:val="0"/>
        <w:ind w:left="0" w:firstLine="0"/>
        <w:jc w:val="both"/>
        <w:rPr>
          <w:sz w:val="22"/>
          <w:szCs w:val="22"/>
        </w:rPr>
      </w:pPr>
      <w:r>
        <w:rPr>
          <w:sz w:val="22"/>
          <w:szCs w:val="22"/>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pPr>
        <w:tabs>
          <w:tab w:val="left" w:pos="567"/>
        </w:tabs>
        <w:suppressAutoHyphens w:val="0"/>
        <w:jc w:val="both"/>
        <w:rPr>
          <w:sz w:val="22"/>
          <w:szCs w:val="22"/>
          <w:lang w:eastAsia="en-US"/>
        </w:rPr>
      </w:pPr>
      <w:r>
        <w:rPr>
          <w:sz w:val="22"/>
          <w:szCs w:val="22"/>
          <w:lang w:eastAsia="en-US"/>
        </w:rPr>
        <w:tab/>
      </w:r>
      <w:r>
        <w:rPr>
          <w:sz w:val="22"/>
          <w:szCs w:val="22"/>
          <w:lang w:eastAsia="en-US"/>
        </w:rPr>
        <w:t xml:space="preserve">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w:t>
      </w:r>
      <w:r>
        <w:rPr>
          <w:bCs/>
          <w:sz w:val="22"/>
          <w:szCs w:val="22"/>
          <w:lang w:eastAsia="en-US"/>
        </w:rPr>
        <w:t>Это подтверждение должно быть направлено в течение 5 (пяти) рабочих дней с даты направления письменного уведомления.</w:t>
      </w:r>
    </w:p>
    <w:p>
      <w:pPr>
        <w:tabs>
          <w:tab w:val="left" w:pos="567"/>
        </w:tabs>
        <w:suppressAutoHyphens w:val="0"/>
        <w:jc w:val="both"/>
        <w:rPr>
          <w:b/>
          <w:bCs/>
          <w:sz w:val="22"/>
          <w:szCs w:val="22"/>
          <w:lang w:eastAsia="en-US"/>
        </w:rPr>
      </w:pPr>
      <w:r>
        <w:rPr>
          <w:sz w:val="22"/>
          <w:szCs w:val="22"/>
          <w:lang w:eastAsia="en-US"/>
        </w:rPr>
        <w:tab/>
      </w:r>
      <w:r>
        <w:rPr>
          <w:sz w:val="22"/>
          <w:szCs w:val="22"/>
          <w:lang w:eastAsia="en-US"/>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pPr>
        <w:tabs>
          <w:tab w:val="left" w:pos="567"/>
        </w:tabs>
        <w:jc w:val="both"/>
        <w:rPr>
          <w:sz w:val="22"/>
          <w:szCs w:val="22"/>
        </w:rPr>
      </w:pPr>
      <w:r>
        <w:rPr>
          <w:sz w:val="22"/>
          <w:szCs w:val="22"/>
        </w:rPr>
        <w:tab/>
      </w:r>
      <w:r>
        <w:rPr>
          <w:sz w:val="22"/>
          <w:szCs w:val="22"/>
        </w:rPr>
        <w:t>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pPr>
        <w:tabs>
          <w:tab w:val="left" w:pos="567"/>
        </w:tabs>
        <w:autoSpaceDE w:val="0"/>
        <w:autoSpaceDN w:val="0"/>
        <w:adjustRightInd w:val="0"/>
        <w:jc w:val="both"/>
        <w:rPr>
          <w:sz w:val="22"/>
          <w:szCs w:val="22"/>
        </w:rPr>
      </w:pPr>
      <w:r>
        <w:rPr>
          <w:sz w:val="22"/>
          <w:szCs w:val="22"/>
        </w:rPr>
        <w:tab/>
      </w:r>
      <w:r>
        <w:rPr>
          <w:sz w:val="22"/>
          <w:szCs w:val="22"/>
        </w:rPr>
        <w:t>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pPr>
        <w:tabs>
          <w:tab w:val="left" w:pos="567"/>
        </w:tabs>
        <w:autoSpaceDE w:val="0"/>
        <w:autoSpaceDN w:val="0"/>
        <w:adjustRightInd w:val="0"/>
        <w:jc w:val="both"/>
        <w:rPr>
          <w:sz w:val="22"/>
          <w:szCs w:val="22"/>
        </w:rPr>
      </w:pPr>
      <w:r>
        <w:rPr>
          <w:sz w:val="22"/>
          <w:szCs w:val="22"/>
        </w:rPr>
        <w:tab/>
      </w:r>
      <w:r>
        <w:rPr>
          <w:sz w:val="22"/>
          <w:szCs w:val="22"/>
        </w:rPr>
        <w:t>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pPr>
        <w:tabs>
          <w:tab w:val="left" w:pos="567"/>
        </w:tabs>
        <w:jc w:val="both"/>
        <w:rPr>
          <w:sz w:val="22"/>
          <w:szCs w:val="22"/>
        </w:rPr>
      </w:pPr>
      <w:r>
        <w:rPr>
          <w:sz w:val="22"/>
          <w:szCs w:val="22"/>
        </w:rPr>
        <w:tab/>
      </w:r>
      <w:r>
        <w:rPr>
          <w:sz w:val="22"/>
          <w:szCs w:val="22"/>
        </w:rPr>
        <w:t>Стороны гарантируют полную конфиденциальность по вопросам исполнения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pPr>
        <w:tabs>
          <w:tab w:val="left" w:pos="567"/>
        </w:tabs>
        <w:jc w:val="both"/>
        <w:rPr>
          <w:b/>
          <w:snapToGrid w:val="0"/>
          <w:sz w:val="22"/>
          <w:szCs w:val="22"/>
        </w:rPr>
      </w:pPr>
    </w:p>
    <w:p>
      <w:pPr>
        <w:tabs>
          <w:tab w:val="left" w:pos="567"/>
        </w:tabs>
        <w:jc w:val="center"/>
        <w:rPr>
          <w:b/>
          <w:snapToGrid w:val="0"/>
          <w:sz w:val="22"/>
          <w:szCs w:val="22"/>
        </w:rPr>
      </w:pPr>
      <w:r>
        <w:rPr>
          <w:b/>
          <w:snapToGrid w:val="0"/>
          <w:sz w:val="22"/>
          <w:szCs w:val="22"/>
        </w:rPr>
        <w:t>9.</w:t>
      </w:r>
      <w:r>
        <w:rPr>
          <w:b/>
          <w:snapToGrid w:val="0"/>
          <w:sz w:val="22"/>
          <w:szCs w:val="22"/>
        </w:rPr>
        <w:tab/>
      </w:r>
      <w:r>
        <w:rPr>
          <w:b/>
          <w:snapToGrid w:val="0"/>
          <w:sz w:val="22"/>
          <w:szCs w:val="22"/>
        </w:rPr>
        <w:t>Срок действия договора</w:t>
      </w:r>
    </w:p>
    <w:p>
      <w:pPr>
        <w:tabs>
          <w:tab w:val="left" w:pos="567"/>
          <w:tab w:val="left" w:pos="1134"/>
        </w:tabs>
        <w:jc w:val="both"/>
        <w:rPr>
          <w:sz w:val="22"/>
          <w:szCs w:val="22"/>
        </w:rPr>
      </w:pPr>
      <w:r>
        <w:rPr>
          <w:sz w:val="22"/>
          <w:szCs w:val="22"/>
        </w:rPr>
        <w:t>9.1.</w:t>
      </w:r>
      <w:r>
        <w:rPr>
          <w:sz w:val="22"/>
          <w:szCs w:val="22"/>
        </w:rPr>
        <w:tab/>
      </w:r>
      <w:r>
        <w:rPr>
          <w:sz w:val="22"/>
          <w:szCs w:val="22"/>
        </w:rPr>
        <w:t xml:space="preserve">Настоящий Договор вступает в силу с момента подписания и действует по </w:t>
      </w:r>
      <w:r>
        <w:rPr>
          <w:rFonts w:hint="default"/>
          <w:sz w:val="22"/>
          <w:szCs w:val="22"/>
          <w:lang w:val="ru-RU"/>
        </w:rPr>
        <w:t>30</w:t>
      </w:r>
      <w:r>
        <w:rPr>
          <w:sz w:val="22"/>
          <w:szCs w:val="22"/>
        </w:rPr>
        <w:t>.0</w:t>
      </w:r>
      <w:r>
        <w:rPr>
          <w:rFonts w:hint="default"/>
          <w:sz w:val="22"/>
          <w:szCs w:val="22"/>
          <w:lang w:val="ru-RU"/>
        </w:rPr>
        <w:t>4</w:t>
      </w:r>
      <w:r>
        <w:rPr>
          <w:sz w:val="22"/>
          <w:szCs w:val="22"/>
        </w:rPr>
        <w:t>.2023 года включительно; а в части исполнения обязательств по взаиморасчетам - до полного их выполнения.</w:t>
      </w:r>
    </w:p>
    <w:p>
      <w:pPr>
        <w:tabs>
          <w:tab w:val="left" w:pos="567"/>
          <w:tab w:val="left" w:pos="1134"/>
        </w:tabs>
        <w:jc w:val="both"/>
        <w:rPr>
          <w:sz w:val="22"/>
          <w:szCs w:val="22"/>
        </w:rPr>
      </w:pPr>
      <w:r>
        <w:rPr>
          <w:sz w:val="22"/>
          <w:szCs w:val="22"/>
        </w:rPr>
        <w:t>9.2</w:t>
      </w:r>
      <w:r>
        <w:rPr>
          <w:sz w:val="22"/>
          <w:szCs w:val="22"/>
        </w:rPr>
        <w:tab/>
      </w:r>
      <w:r>
        <w:rPr>
          <w:sz w:val="22"/>
          <w:szCs w:val="22"/>
        </w:rPr>
        <w:t>Настоящий Договор может быть расторгнут досрочно по соглашению Сторон, по решению суда по основаниям, предусмотренным гражданским законодательством.</w:t>
      </w:r>
    </w:p>
    <w:p>
      <w:pPr>
        <w:tabs>
          <w:tab w:val="left" w:pos="567"/>
          <w:tab w:val="left" w:pos="1134"/>
        </w:tabs>
        <w:jc w:val="both"/>
        <w:rPr>
          <w:sz w:val="22"/>
          <w:szCs w:val="22"/>
        </w:rPr>
      </w:pPr>
      <w:r>
        <w:rPr>
          <w:sz w:val="22"/>
          <w:szCs w:val="22"/>
        </w:rPr>
        <w:t>Поставщик вправе заблокировать Карты в любой момент после прекращения действия настоящего Договора.</w:t>
      </w:r>
    </w:p>
    <w:p>
      <w:pPr>
        <w:tabs>
          <w:tab w:val="left" w:pos="567"/>
          <w:tab w:val="left" w:pos="1134"/>
        </w:tabs>
        <w:jc w:val="both"/>
        <w:rPr>
          <w:sz w:val="22"/>
          <w:szCs w:val="22"/>
        </w:rPr>
      </w:pPr>
      <w:r>
        <w:rPr>
          <w:sz w:val="22"/>
          <w:szCs w:val="22"/>
        </w:rPr>
        <w:t>9.3.</w:t>
      </w:r>
      <w:r>
        <w:rPr>
          <w:sz w:val="22"/>
          <w:szCs w:val="22"/>
        </w:rPr>
        <w:tab/>
      </w:r>
      <w:r>
        <w:rPr>
          <w:sz w:val="22"/>
          <w:szCs w:val="22"/>
        </w:rPr>
        <w:t>Стороны обязаны провести бухгалтерскую сверку и подписать акт сверки взаиморасчетов до 15 (пятнадцатого) числа месяца, следующего за месяцем блокировки всех карт Заказчика, в связи с прекращением поставки. По результатам подписанного акта сверки взаиморасчетов Сторона – должник выплачивает другой Стороне сумму долга, указанную в акте сверки, в течение 10 (десяти) рабочих дней от даты подписания акта сверки взаиморасчетов Сторонами.</w:t>
      </w:r>
    </w:p>
    <w:p>
      <w:pPr>
        <w:tabs>
          <w:tab w:val="left" w:pos="567"/>
          <w:tab w:val="left" w:pos="1134"/>
          <w:tab w:val="left" w:pos="1260"/>
        </w:tabs>
        <w:jc w:val="both"/>
        <w:rPr>
          <w:sz w:val="22"/>
          <w:szCs w:val="22"/>
        </w:rPr>
      </w:pPr>
      <w:r>
        <w:rPr>
          <w:sz w:val="22"/>
          <w:szCs w:val="22"/>
        </w:rPr>
        <w:t>Если в течение двух недель после получения Заказчиком акта сверки взаимных расчетов, Поставщик не получил подписанный со стороны Заказчика оригинал акта сверки взаиморасчетов, либо мотивированного отказа от его подписания, акт считается подписанным в редакции Поставщика.</w:t>
      </w:r>
    </w:p>
    <w:p>
      <w:pPr>
        <w:jc w:val="center"/>
        <w:rPr>
          <w:b/>
          <w:snapToGrid w:val="0"/>
          <w:sz w:val="22"/>
          <w:szCs w:val="22"/>
        </w:rPr>
      </w:pPr>
    </w:p>
    <w:p>
      <w:pPr>
        <w:tabs>
          <w:tab w:val="left" w:pos="567"/>
        </w:tabs>
        <w:jc w:val="center"/>
        <w:rPr>
          <w:b/>
          <w:snapToGrid w:val="0"/>
          <w:sz w:val="22"/>
          <w:szCs w:val="22"/>
        </w:rPr>
      </w:pPr>
      <w:r>
        <w:rPr>
          <w:b/>
          <w:snapToGrid w:val="0"/>
          <w:sz w:val="22"/>
          <w:szCs w:val="22"/>
        </w:rPr>
        <w:t>10.</w:t>
      </w:r>
      <w:r>
        <w:rPr>
          <w:b/>
          <w:snapToGrid w:val="0"/>
          <w:sz w:val="22"/>
          <w:szCs w:val="22"/>
        </w:rPr>
        <w:tab/>
      </w:r>
      <w:r>
        <w:rPr>
          <w:b/>
          <w:snapToGrid w:val="0"/>
          <w:sz w:val="22"/>
          <w:szCs w:val="22"/>
        </w:rPr>
        <w:t>Прочие условия</w:t>
      </w:r>
    </w:p>
    <w:p>
      <w:pPr>
        <w:tabs>
          <w:tab w:val="left" w:pos="567"/>
          <w:tab w:val="left" w:pos="1134"/>
        </w:tabs>
        <w:jc w:val="both"/>
        <w:rPr>
          <w:sz w:val="22"/>
          <w:szCs w:val="22"/>
        </w:rPr>
      </w:pPr>
      <w:r>
        <w:rPr>
          <w:sz w:val="22"/>
          <w:szCs w:val="22"/>
        </w:rPr>
        <w:t>10.1.</w:t>
      </w:r>
      <w:r>
        <w:rPr>
          <w:sz w:val="22"/>
          <w:szCs w:val="22"/>
        </w:rPr>
        <w:tab/>
      </w:r>
      <w:r>
        <w:rPr>
          <w:sz w:val="22"/>
          <w:szCs w:val="22"/>
        </w:rPr>
        <w:t>Все изменения и дополнения к настоящему Договору оформляются в письменной форме.</w:t>
      </w:r>
    </w:p>
    <w:p>
      <w:pPr>
        <w:tabs>
          <w:tab w:val="left" w:pos="567"/>
          <w:tab w:val="left" w:pos="1134"/>
        </w:tabs>
        <w:jc w:val="both"/>
        <w:rPr>
          <w:sz w:val="22"/>
          <w:szCs w:val="22"/>
        </w:rPr>
      </w:pPr>
      <w:r>
        <w:rPr>
          <w:sz w:val="22"/>
          <w:szCs w:val="22"/>
        </w:rPr>
        <w:t>При изменении реквизитов, а также реорганизации Стороны подписывают дополнительное соглашение. До подписания соответствующего дополнительного соглашения Стороны вправе руководствоваться ранее указанными реквизитами.</w:t>
      </w:r>
    </w:p>
    <w:p>
      <w:pPr>
        <w:tabs>
          <w:tab w:val="left" w:pos="567"/>
          <w:tab w:val="left" w:pos="1134"/>
        </w:tabs>
        <w:jc w:val="both"/>
        <w:rPr>
          <w:sz w:val="22"/>
          <w:szCs w:val="22"/>
        </w:rPr>
      </w:pPr>
      <w:r>
        <w:rPr>
          <w:sz w:val="22"/>
          <w:szCs w:val="22"/>
        </w:rPr>
        <w:t>10.2.</w:t>
      </w:r>
      <w:r>
        <w:rPr>
          <w:sz w:val="22"/>
          <w:szCs w:val="22"/>
        </w:rPr>
        <w:tab/>
      </w:r>
      <w:r>
        <w:rPr>
          <w:sz w:val="22"/>
          <w:szCs w:val="22"/>
        </w:rPr>
        <w:t>Заказчик обязан в письменном виде сообщать Поставщику с приложением подтверждающих документов об изменении своего наименования, местонахождения, банковских и иных реквизитов, смене исполнительного органа, внесении изменений в сведения о Заказчике, в течение 10 (десяти) рабочих дней, следующих за днем, в который эти изменения фактически произошли или прошли государственную регистрацию, если таковая необходима в соответствие с законодательством.</w:t>
      </w:r>
    </w:p>
    <w:p>
      <w:pPr>
        <w:tabs>
          <w:tab w:val="left" w:pos="567"/>
          <w:tab w:val="left" w:pos="1134"/>
        </w:tabs>
        <w:jc w:val="both"/>
        <w:rPr>
          <w:sz w:val="22"/>
          <w:szCs w:val="22"/>
        </w:rPr>
      </w:pPr>
      <w:r>
        <w:rPr>
          <w:sz w:val="22"/>
          <w:szCs w:val="22"/>
        </w:rPr>
        <w:t>10.3.</w:t>
      </w:r>
      <w:r>
        <w:rPr>
          <w:sz w:val="22"/>
          <w:szCs w:val="22"/>
        </w:rPr>
        <w:tab/>
      </w:r>
      <w:r>
        <w:rPr>
          <w:sz w:val="22"/>
          <w:szCs w:val="22"/>
        </w:rPr>
        <w:t>Подписанием настоящего Договора Заказчик выражает согласие на получение информации, касающейся настоящего Договора, по номеру мобильного телефона, указанному в реквизитах настоящего Договора, или иному номеру, сообщенному Заказчиком.</w:t>
      </w:r>
    </w:p>
    <w:p>
      <w:pPr>
        <w:tabs>
          <w:tab w:val="left" w:pos="0"/>
          <w:tab w:val="left" w:pos="567"/>
          <w:tab w:val="left" w:pos="1134"/>
        </w:tabs>
        <w:jc w:val="both"/>
        <w:rPr>
          <w:sz w:val="22"/>
          <w:szCs w:val="22"/>
        </w:rPr>
      </w:pPr>
      <w:r>
        <w:rPr>
          <w:sz w:val="22"/>
          <w:szCs w:val="22"/>
        </w:rPr>
        <w:t>10.4.</w:t>
      </w:r>
      <w:r>
        <w:rPr>
          <w:sz w:val="22"/>
          <w:szCs w:val="22"/>
        </w:rPr>
        <w:tab/>
      </w:r>
      <w:r>
        <w:rPr>
          <w:sz w:val="22"/>
          <w:szCs w:val="22"/>
        </w:rPr>
        <w:t>На основании оригинала письма от Заказчика Поставщик вправе восстановить утраченные Отчетные документы Заказчика с отметкой «Дубликат».</w:t>
      </w:r>
    </w:p>
    <w:p>
      <w:pPr>
        <w:tabs>
          <w:tab w:val="left" w:pos="567"/>
          <w:tab w:val="left" w:pos="1134"/>
        </w:tabs>
        <w:jc w:val="both"/>
        <w:rPr>
          <w:snapToGrid w:val="0"/>
          <w:sz w:val="22"/>
          <w:szCs w:val="22"/>
        </w:rPr>
      </w:pPr>
      <w:r>
        <w:rPr>
          <w:sz w:val="22"/>
          <w:szCs w:val="22"/>
        </w:rPr>
        <w:t>10.5.</w:t>
      </w:r>
      <w:r>
        <w:rPr>
          <w:sz w:val="22"/>
          <w:szCs w:val="22"/>
        </w:rPr>
        <w:tab/>
      </w:r>
      <w:r>
        <w:rPr>
          <w:snapToGrid w:val="0"/>
          <w:sz w:val="22"/>
          <w:szCs w:val="22"/>
        </w:rPr>
        <w:t>Поставщик направляет Заказчику счета посредством электронной почты или факсимильной связи без последующего направления оригинала.</w:t>
      </w:r>
    </w:p>
    <w:p>
      <w:pPr>
        <w:tabs>
          <w:tab w:val="left" w:pos="567"/>
          <w:tab w:val="left" w:pos="1134"/>
        </w:tabs>
        <w:jc w:val="both"/>
        <w:rPr>
          <w:sz w:val="22"/>
          <w:szCs w:val="22"/>
        </w:rPr>
      </w:pPr>
      <w:r>
        <w:rPr>
          <w:sz w:val="22"/>
          <w:szCs w:val="22"/>
        </w:rPr>
        <w:t>Если в настоящем Договоре не предусмотрено получение оригинала документа, каждая из Сторон вправе направлять другой Стороне документы (дополнительные соглашения, приложения, письма, счет – фактуры, акты приема – передачи, акты сверок и т.д.) по факсимильной связи или электронной почте с направлением оригиналов другой Стороне в разумный срок. Риск искажения информации при ее передаче несет Сторона, отправившая соответствующую информацию.</w:t>
      </w:r>
    </w:p>
    <w:p>
      <w:pPr>
        <w:tabs>
          <w:tab w:val="left" w:pos="567"/>
          <w:tab w:val="left" w:pos="1134"/>
        </w:tabs>
        <w:jc w:val="both"/>
        <w:rPr>
          <w:sz w:val="22"/>
          <w:szCs w:val="22"/>
        </w:rPr>
      </w:pPr>
      <w:r>
        <w:rPr>
          <w:sz w:val="22"/>
          <w:szCs w:val="22"/>
        </w:rPr>
        <w:t>Документы, за исключением счетов, переданные по факсимильной связи или электронной почте, считаются действительными в течение 30 (тридцати) календарных дней с момента их получения. После истечения данного срока документ перестает действовать до поступления оригинала. Сторона, получившая документ по факсимильной связи или электронной почте, вправе по своему усмотрению продлевать срок его действия.</w:t>
      </w:r>
    </w:p>
    <w:p>
      <w:pPr>
        <w:tabs>
          <w:tab w:val="left" w:pos="567"/>
          <w:tab w:val="left" w:pos="1134"/>
        </w:tabs>
        <w:autoSpaceDE w:val="0"/>
        <w:autoSpaceDN w:val="0"/>
        <w:adjustRightInd w:val="0"/>
        <w:jc w:val="both"/>
        <w:rPr>
          <w:bCs/>
          <w:color w:val="000000"/>
          <w:sz w:val="22"/>
          <w:szCs w:val="22"/>
        </w:rPr>
      </w:pPr>
      <w:r>
        <w:rPr>
          <w:color w:val="000000"/>
          <w:sz w:val="22"/>
          <w:szCs w:val="22"/>
        </w:rPr>
        <w:t>10.6.</w:t>
      </w:r>
      <w:r>
        <w:rPr>
          <w:color w:val="000000"/>
          <w:sz w:val="22"/>
          <w:szCs w:val="22"/>
        </w:rPr>
        <w:tab/>
      </w:r>
      <w:r>
        <w:rPr>
          <w:color w:val="000000"/>
          <w:sz w:val="22"/>
          <w:szCs w:val="22"/>
        </w:rPr>
        <w:t xml:space="preserve">Настоящий Договор регулируется и толкуется в соответствии с законодательством </w:t>
      </w:r>
      <w:r>
        <w:rPr>
          <w:bCs/>
          <w:color w:val="000000"/>
          <w:sz w:val="22"/>
          <w:szCs w:val="22"/>
        </w:rPr>
        <w:t>Российской Федерации.</w:t>
      </w:r>
    </w:p>
    <w:p>
      <w:pPr>
        <w:tabs>
          <w:tab w:val="left" w:pos="567"/>
          <w:tab w:val="left" w:pos="1134"/>
        </w:tabs>
        <w:jc w:val="both"/>
        <w:rPr>
          <w:sz w:val="22"/>
          <w:szCs w:val="22"/>
        </w:rPr>
      </w:pPr>
      <w:r>
        <w:rPr>
          <w:sz w:val="22"/>
          <w:szCs w:val="22"/>
        </w:rPr>
        <w:t>10.7.</w:t>
      </w:r>
      <w:r>
        <w:rPr>
          <w:sz w:val="22"/>
          <w:szCs w:val="22"/>
        </w:rPr>
        <w:tab/>
      </w:r>
      <w:r>
        <w:rPr>
          <w:sz w:val="22"/>
          <w:szCs w:val="22"/>
        </w:rPr>
        <w:t>Настоящий Договор составлен и подписан в двух подлинных идентичных экземплярах, имеющих равную юридическую силу, по одному для каждой из Сторон.</w:t>
      </w:r>
    </w:p>
    <w:p>
      <w:pPr>
        <w:jc w:val="center"/>
        <w:rPr>
          <w:b/>
          <w:sz w:val="22"/>
          <w:szCs w:val="22"/>
        </w:rPr>
      </w:pPr>
      <w:r>
        <w:rPr>
          <w:b/>
          <w:sz w:val="22"/>
          <w:szCs w:val="22"/>
        </w:rPr>
        <w:t>11. Приложения</w:t>
      </w:r>
    </w:p>
    <w:p>
      <w:pPr>
        <w:jc w:val="both"/>
        <w:rPr>
          <w:sz w:val="22"/>
          <w:szCs w:val="22"/>
        </w:rPr>
      </w:pPr>
      <w:r>
        <w:rPr>
          <w:sz w:val="22"/>
          <w:szCs w:val="22"/>
        </w:rPr>
        <w:t>11.1. Приложение №1 – Спецификация поставляемых товаров.</w:t>
      </w:r>
    </w:p>
    <w:p>
      <w:pPr>
        <w:jc w:val="both"/>
        <w:rPr>
          <w:sz w:val="22"/>
          <w:szCs w:val="22"/>
        </w:rPr>
      </w:pPr>
      <w:r>
        <w:rPr>
          <w:sz w:val="22"/>
          <w:szCs w:val="22"/>
        </w:rPr>
        <w:t>11.2. Приложение №2 – Список АЗС.</w:t>
      </w:r>
    </w:p>
    <w:p>
      <w:pPr>
        <w:jc w:val="both"/>
        <w:rPr>
          <w:sz w:val="22"/>
          <w:szCs w:val="22"/>
        </w:rPr>
      </w:pPr>
      <w:r>
        <w:rPr>
          <w:sz w:val="22"/>
          <w:szCs w:val="22"/>
        </w:rPr>
        <w:t xml:space="preserve">11.3. Приложение №3 – Правила пользования картами. </w:t>
      </w:r>
    </w:p>
    <w:p>
      <w:pPr>
        <w:jc w:val="both"/>
        <w:rPr>
          <w:sz w:val="22"/>
          <w:szCs w:val="22"/>
        </w:rPr>
      </w:pPr>
      <w:r>
        <w:rPr>
          <w:sz w:val="22"/>
          <w:szCs w:val="22"/>
        </w:rPr>
        <w:t>11.4. Приложение № 4 - Порядок обмена отчетными документами с использованием УКЭП.</w:t>
      </w:r>
      <w:r>
        <w:rPr>
          <w:sz w:val="22"/>
          <w:szCs w:val="22"/>
        </w:rPr>
        <w:tab/>
      </w:r>
    </w:p>
    <w:p>
      <w:pPr>
        <w:jc w:val="center"/>
        <w:rPr>
          <w:b/>
          <w:snapToGrid w:val="0"/>
          <w:sz w:val="22"/>
          <w:szCs w:val="22"/>
        </w:rPr>
      </w:pPr>
    </w:p>
    <w:p>
      <w:pPr>
        <w:jc w:val="center"/>
        <w:rPr>
          <w:b/>
          <w:snapToGrid w:val="0"/>
          <w:sz w:val="22"/>
          <w:szCs w:val="22"/>
        </w:rPr>
      </w:pPr>
      <w:r>
        <w:rPr>
          <w:b/>
          <w:snapToGrid w:val="0"/>
          <w:sz w:val="22"/>
          <w:szCs w:val="22"/>
        </w:rPr>
        <w:t>12. Реквизиты сторон</w:t>
      </w:r>
    </w:p>
    <w:p>
      <w:pPr>
        <w:jc w:val="center"/>
        <w:rPr>
          <w:b/>
          <w:caps/>
          <w:snapToGrid w:val="0"/>
          <w:sz w:val="22"/>
          <w:szCs w:val="22"/>
        </w:rPr>
      </w:pPr>
    </w:p>
    <w:tbl>
      <w:tblPr>
        <w:tblStyle w:val="12"/>
        <w:tblW w:w="10090" w:type="dxa"/>
        <w:tblInd w:w="70" w:type="dxa"/>
        <w:tblLayout w:type="fixed"/>
        <w:tblCellMar>
          <w:top w:w="0" w:type="dxa"/>
          <w:left w:w="70" w:type="dxa"/>
          <w:bottom w:w="0" w:type="dxa"/>
          <w:right w:w="70" w:type="dxa"/>
        </w:tblCellMar>
      </w:tblPr>
      <w:tblGrid>
        <w:gridCol w:w="4962"/>
        <w:gridCol w:w="5128"/>
      </w:tblGrid>
      <w:tr>
        <w:tblPrEx>
          <w:tblCellMar>
            <w:top w:w="0" w:type="dxa"/>
            <w:left w:w="70" w:type="dxa"/>
            <w:bottom w:w="0" w:type="dxa"/>
            <w:right w:w="70" w:type="dxa"/>
          </w:tblCellMar>
        </w:tblPrEx>
        <w:trPr>
          <w:cantSplit/>
        </w:trPr>
        <w:tc>
          <w:tcPr>
            <w:tcW w:w="4962" w:type="dxa"/>
            <w:tcBorders>
              <w:top w:val="single" w:color="000000" w:sz="4" w:space="0"/>
              <w:left w:val="single" w:color="000000" w:sz="4" w:space="0"/>
              <w:bottom w:val="single" w:color="000000" w:sz="4" w:space="0"/>
            </w:tcBorders>
          </w:tcPr>
          <w:p>
            <w:pPr>
              <w:jc w:val="both"/>
              <w:rPr>
                <w:b/>
                <w:i/>
                <w:sz w:val="22"/>
                <w:szCs w:val="22"/>
              </w:rPr>
            </w:pPr>
            <w:r>
              <w:rPr>
                <w:b/>
                <w:i/>
                <w:sz w:val="22"/>
                <w:szCs w:val="22"/>
              </w:rPr>
              <w:t>«Заказчик»:</w:t>
            </w:r>
          </w:p>
          <w:p>
            <w:pPr>
              <w:rPr>
                <w:b/>
                <w:bCs/>
                <w:sz w:val="22"/>
                <w:szCs w:val="22"/>
              </w:rPr>
            </w:pPr>
            <w:r>
              <w:rPr>
                <w:b/>
                <w:bCs/>
                <w:sz w:val="22"/>
                <w:szCs w:val="22"/>
              </w:rPr>
              <w:t>ГУП РК «Карелавтотранс - Сервис»</w:t>
            </w:r>
          </w:p>
          <w:p>
            <w:pPr>
              <w:jc w:val="both"/>
              <w:rPr>
                <w:b/>
                <w:i/>
                <w:sz w:val="22"/>
                <w:szCs w:val="22"/>
              </w:rPr>
            </w:pPr>
          </w:p>
        </w:tc>
        <w:tc>
          <w:tcPr>
            <w:tcW w:w="5128" w:type="dxa"/>
            <w:tcBorders>
              <w:top w:val="single" w:color="000000" w:sz="4" w:space="0"/>
              <w:left w:val="single" w:color="000000" w:sz="4" w:space="0"/>
              <w:bottom w:val="single" w:color="000000" w:sz="4" w:space="0"/>
              <w:right w:val="single" w:color="000000" w:sz="4" w:space="0"/>
            </w:tcBorders>
            <w:shd w:val="clear" w:color="auto" w:fill="auto"/>
          </w:tcPr>
          <w:p>
            <w:pPr>
              <w:suppressAutoHyphens w:val="0"/>
              <w:jc w:val="both"/>
              <w:rPr>
                <w:b/>
                <w:sz w:val="22"/>
                <w:szCs w:val="22"/>
                <w:lang w:val="en-US"/>
              </w:rPr>
            </w:pPr>
            <w:r>
              <w:rPr>
                <w:i/>
                <w:sz w:val="22"/>
                <w:szCs w:val="22"/>
              </w:rPr>
              <w:t>«Поставщик»:</w:t>
            </w:r>
          </w:p>
          <w:p>
            <w:pPr>
              <w:suppressAutoHyphens w:val="0"/>
              <w:rPr>
                <w:b/>
                <w:sz w:val="22"/>
                <w:szCs w:val="22"/>
                <w:lang w:val="en-US"/>
              </w:rPr>
            </w:pPr>
          </w:p>
        </w:tc>
      </w:tr>
      <w:tr>
        <w:tblPrEx>
          <w:tblCellMar>
            <w:top w:w="0" w:type="dxa"/>
            <w:left w:w="70" w:type="dxa"/>
            <w:bottom w:w="0" w:type="dxa"/>
            <w:right w:w="70" w:type="dxa"/>
          </w:tblCellMar>
        </w:tblPrEx>
        <w:trPr>
          <w:cantSplit/>
        </w:trPr>
        <w:tc>
          <w:tcPr>
            <w:tcW w:w="4962" w:type="dxa"/>
            <w:tcBorders>
              <w:top w:val="single" w:color="000000" w:sz="4" w:space="0"/>
              <w:left w:val="single" w:color="000000" w:sz="4" w:space="0"/>
              <w:bottom w:val="single" w:color="000000" w:sz="4" w:space="0"/>
            </w:tcBorders>
          </w:tcPr>
          <w:p>
            <w:pPr>
              <w:rPr>
                <w:bCs/>
                <w:sz w:val="22"/>
                <w:szCs w:val="22"/>
              </w:rPr>
            </w:pPr>
          </w:p>
          <w:p>
            <w:pPr>
              <w:rPr>
                <w:sz w:val="22"/>
                <w:szCs w:val="22"/>
              </w:rPr>
            </w:pPr>
            <w:r>
              <w:rPr>
                <w:sz w:val="22"/>
                <w:szCs w:val="22"/>
              </w:rPr>
              <w:t xml:space="preserve">185002, Республика Карелия, г. Петрозаводск, </w:t>
            </w:r>
          </w:p>
          <w:p>
            <w:pPr>
              <w:rPr>
                <w:sz w:val="22"/>
                <w:szCs w:val="22"/>
              </w:rPr>
            </w:pPr>
            <w:r>
              <w:rPr>
                <w:sz w:val="22"/>
                <w:szCs w:val="22"/>
              </w:rPr>
              <w:t>ул. Чапаева,3</w:t>
            </w:r>
          </w:p>
          <w:p>
            <w:pPr>
              <w:rPr>
                <w:sz w:val="22"/>
                <w:szCs w:val="22"/>
              </w:rPr>
            </w:pPr>
            <w:r>
              <w:rPr>
                <w:sz w:val="22"/>
                <w:szCs w:val="22"/>
              </w:rPr>
              <w:t>р./сч.  40602810025000191890</w:t>
            </w:r>
          </w:p>
          <w:p>
            <w:pPr>
              <w:rPr>
                <w:sz w:val="22"/>
                <w:szCs w:val="22"/>
              </w:rPr>
            </w:pPr>
            <w:r>
              <w:rPr>
                <w:sz w:val="22"/>
                <w:szCs w:val="22"/>
              </w:rPr>
              <w:t>к/сч.  30101810600000000673</w:t>
            </w:r>
          </w:p>
          <w:p>
            <w:pPr>
              <w:rPr>
                <w:sz w:val="22"/>
                <w:szCs w:val="22"/>
              </w:rPr>
            </w:pPr>
            <w:r>
              <w:rPr>
                <w:sz w:val="22"/>
                <w:szCs w:val="22"/>
              </w:rPr>
              <w:t>в Карельском отделение № 8628 ПАО Сбербанк  г. Петрозаводска</w:t>
            </w:r>
          </w:p>
          <w:p>
            <w:pPr>
              <w:rPr>
                <w:sz w:val="22"/>
                <w:szCs w:val="22"/>
              </w:rPr>
            </w:pPr>
            <w:r>
              <w:rPr>
                <w:sz w:val="22"/>
                <w:szCs w:val="22"/>
              </w:rPr>
              <w:t>БИК 048602673, ИНН 1019000158</w:t>
            </w:r>
          </w:p>
          <w:p>
            <w:pPr>
              <w:rPr>
                <w:sz w:val="22"/>
                <w:szCs w:val="22"/>
              </w:rPr>
            </w:pPr>
            <w:r>
              <w:rPr>
                <w:sz w:val="22"/>
                <w:szCs w:val="22"/>
              </w:rPr>
              <w:t>ОКПО 02440832</w:t>
            </w:r>
            <w:r>
              <w:rPr>
                <w:i/>
                <w:sz w:val="22"/>
                <w:szCs w:val="22"/>
              </w:rPr>
              <w:t xml:space="preserve">  </w:t>
            </w:r>
            <w:r>
              <w:rPr>
                <w:sz w:val="22"/>
                <w:szCs w:val="22"/>
              </w:rPr>
              <w:t xml:space="preserve">, КПП 100101001, </w:t>
            </w:r>
          </w:p>
          <w:p>
            <w:pPr>
              <w:rPr>
                <w:sz w:val="22"/>
                <w:szCs w:val="22"/>
              </w:rPr>
            </w:pPr>
            <w:r>
              <w:rPr>
                <w:sz w:val="22"/>
                <w:szCs w:val="22"/>
              </w:rPr>
              <w:t>тел. (8142) 72-20-12</w:t>
            </w:r>
          </w:p>
          <w:p>
            <w:pPr>
              <w:rPr>
                <w:sz w:val="22"/>
                <w:szCs w:val="22"/>
              </w:rPr>
            </w:pPr>
          </w:p>
          <w:p>
            <w:pPr>
              <w:rPr>
                <w:sz w:val="22"/>
                <w:szCs w:val="22"/>
              </w:rPr>
            </w:pPr>
          </w:p>
          <w:p>
            <w:pPr>
              <w:rPr>
                <w:sz w:val="22"/>
                <w:szCs w:val="22"/>
              </w:rPr>
            </w:pPr>
          </w:p>
          <w:p>
            <w:pPr>
              <w:rPr>
                <w:b/>
                <w:sz w:val="22"/>
                <w:szCs w:val="22"/>
              </w:rPr>
            </w:pPr>
          </w:p>
        </w:tc>
        <w:tc>
          <w:tcPr>
            <w:tcW w:w="5128" w:type="dxa"/>
            <w:tcBorders>
              <w:top w:val="single" w:color="000000" w:sz="4" w:space="0"/>
              <w:left w:val="single" w:color="000000" w:sz="4" w:space="0"/>
              <w:bottom w:val="single" w:color="000000" w:sz="4" w:space="0"/>
              <w:right w:val="single" w:color="000000" w:sz="4" w:space="0"/>
            </w:tcBorders>
            <w:shd w:val="clear" w:color="auto" w:fill="auto"/>
          </w:tcPr>
          <w:p>
            <w:pPr>
              <w:suppressAutoHyphens w:val="0"/>
              <w:jc w:val="both"/>
              <w:rPr>
                <w:sz w:val="22"/>
                <w:szCs w:val="22"/>
              </w:rPr>
            </w:pPr>
            <w:r>
              <w:rPr>
                <w:i/>
                <w:sz w:val="22"/>
                <w:szCs w:val="22"/>
              </w:rPr>
              <w:t>(банковские реквизиты)</w:t>
            </w:r>
          </w:p>
        </w:tc>
      </w:tr>
      <w:tr>
        <w:tblPrEx>
          <w:tblCellMar>
            <w:top w:w="0" w:type="dxa"/>
            <w:left w:w="70" w:type="dxa"/>
            <w:bottom w:w="0" w:type="dxa"/>
            <w:right w:w="70" w:type="dxa"/>
          </w:tblCellMar>
        </w:tblPrEx>
        <w:trPr>
          <w:cantSplit/>
        </w:trPr>
        <w:tc>
          <w:tcPr>
            <w:tcW w:w="4962" w:type="dxa"/>
            <w:tcBorders>
              <w:top w:val="single" w:color="000000" w:sz="4" w:space="0"/>
              <w:left w:val="single" w:color="000000" w:sz="4" w:space="0"/>
              <w:bottom w:val="single" w:color="000000" w:sz="4" w:space="0"/>
            </w:tcBorders>
          </w:tcPr>
          <w:p>
            <w:pPr>
              <w:rPr>
                <w:sz w:val="22"/>
                <w:szCs w:val="22"/>
              </w:rPr>
            </w:pPr>
            <w:r>
              <w:rPr>
                <w:sz w:val="22"/>
                <w:szCs w:val="22"/>
              </w:rPr>
              <w:t>Директор</w:t>
            </w:r>
          </w:p>
          <w:p>
            <w:pPr>
              <w:rPr>
                <w:sz w:val="22"/>
                <w:szCs w:val="22"/>
              </w:rPr>
            </w:pPr>
          </w:p>
          <w:p>
            <w:pPr>
              <w:rPr>
                <w:sz w:val="22"/>
                <w:szCs w:val="22"/>
              </w:rPr>
            </w:pPr>
            <w:r>
              <w:rPr>
                <w:sz w:val="22"/>
                <w:szCs w:val="22"/>
              </w:rPr>
              <w:t xml:space="preserve"> ________________ А.Е. Спицын</w:t>
            </w:r>
          </w:p>
          <w:p>
            <w:pPr>
              <w:jc w:val="both"/>
              <w:rPr>
                <w:snapToGrid w:val="0"/>
                <w:sz w:val="22"/>
                <w:szCs w:val="22"/>
              </w:rPr>
            </w:pPr>
            <w:r>
              <w:rPr>
                <w:snapToGrid w:val="0"/>
                <w:sz w:val="22"/>
                <w:szCs w:val="22"/>
              </w:rPr>
              <w:t>М.П.</w:t>
            </w:r>
          </w:p>
          <w:p>
            <w:pPr>
              <w:jc w:val="both"/>
              <w:rPr>
                <w:snapToGrid w:val="0"/>
                <w:sz w:val="22"/>
                <w:szCs w:val="22"/>
              </w:rPr>
            </w:pPr>
          </w:p>
        </w:tc>
        <w:tc>
          <w:tcPr>
            <w:tcW w:w="5128" w:type="dxa"/>
            <w:tcBorders>
              <w:top w:val="single" w:color="000000" w:sz="4" w:space="0"/>
              <w:left w:val="single" w:color="000000" w:sz="4" w:space="0"/>
              <w:bottom w:val="single" w:color="000000" w:sz="4" w:space="0"/>
              <w:right w:val="single" w:color="000000" w:sz="4" w:space="0"/>
            </w:tcBorders>
            <w:shd w:val="clear" w:color="auto" w:fill="auto"/>
          </w:tcPr>
          <w:p>
            <w:pPr>
              <w:snapToGrid w:val="0"/>
              <w:rPr>
                <w:sz w:val="22"/>
                <w:szCs w:val="22"/>
              </w:rPr>
            </w:pPr>
            <w:r>
              <w:rPr>
                <w:b/>
                <w:sz w:val="22"/>
                <w:szCs w:val="22"/>
              </w:rPr>
              <w:t xml:space="preserve">_________________________ </w:t>
            </w:r>
            <w:r>
              <w:rPr>
                <w:i/>
                <w:sz w:val="22"/>
                <w:szCs w:val="22"/>
              </w:rPr>
              <w:t>(должность</w:t>
            </w:r>
            <w:r>
              <w:rPr>
                <w:sz w:val="22"/>
                <w:szCs w:val="22"/>
              </w:rPr>
              <w:t>)</w:t>
            </w:r>
          </w:p>
          <w:p>
            <w:pPr>
              <w:rPr>
                <w:b/>
                <w:sz w:val="22"/>
                <w:szCs w:val="22"/>
              </w:rPr>
            </w:pPr>
          </w:p>
          <w:p>
            <w:pPr>
              <w:ind w:firstLine="142"/>
              <w:rPr>
                <w:i/>
                <w:sz w:val="22"/>
                <w:szCs w:val="22"/>
              </w:rPr>
            </w:pPr>
            <w:r>
              <w:rPr>
                <w:b/>
                <w:sz w:val="22"/>
                <w:szCs w:val="22"/>
              </w:rPr>
              <w:t xml:space="preserve">____________________ </w:t>
            </w:r>
            <w:r>
              <w:rPr>
                <w:i/>
                <w:sz w:val="22"/>
                <w:szCs w:val="22"/>
              </w:rPr>
              <w:t>(Ф.И.О.)</w:t>
            </w:r>
          </w:p>
          <w:p>
            <w:pPr>
              <w:ind w:firstLine="142"/>
              <w:rPr>
                <w:sz w:val="22"/>
                <w:szCs w:val="22"/>
              </w:rPr>
            </w:pPr>
            <w:r>
              <w:rPr>
                <w:sz w:val="22"/>
                <w:szCs w:val="22"/>
              </w:rPr>
              <w:t xml:space="preserve">М.П. </w:t>
            </w:r>
            <w:r>
              <w:rPr>
                <w:i/>
                <w:sz w:val="22"/>
                <w:szCs w:val="22"/>
              </w:rPr>
              <w:t>(при наличии печати)</w:t>
            </w:r>
          </w:p>
          <w:p>
            <w:pPr>
              <w:jc w:val="both"/>
              <w:rPr>
                <w:snapToGrid w:val="0"/>
                <w:sz w:val="22"/>
                <w:szCs w:val="22"/>
              </w:rPr>
            </w:pPr>
            <w:r>
              <w:rPr>
                <w:sz w:val="22"/>
                <w:szCs w:val="22"/>
              </w:rPr>
              <w:t>«      » _____________ 2022 г.</w:t>
            </w:r>
          </w:p>
        </w:tc>
      </w:tr>
    </w:tbl>
    <w:p>
      <w:pPr>
        <w:jc w:val="right"/>
        <w:rPr>
          <w:b/>
          <w:snapToGrid w:val="0"/>
          <w:sz w:val="22"/>
          <w:szCs w:val="22"/>
        </w:rPr>
      </w:pPr>
      <w:r>
        <w:rPr>
          <w:snapToGrid w:val="0"/>
          <w:sz w:val="22"/>
          <w:szCs w:val="22"/>
        </w:rPr>
        <w:br w:type="page"/>
      </w:r>
      <w:r>
        <w:rPr>
          <w:b/>
          <w:snapToGrid w:val="0"/>
          <w:sz w:val="22"/>
          <w:szCs w:val="22"/>
        </w:rPr>
        <w:t>Приложение №1</w:t>
      </w:r>
    </w:p>
    <w:p>
      <w:pPr>
        <w:jc w:val="right"/>
        <w:rPr>
          <w:b/>
          <w:snapToGrid w:val="0"/>
          <w:sz w:val="22"/>
          <w:szCs w:val="22"/>
        </w:rPr>
      </w:pPr>
      <w:r>
        <w:rPr>
          <w:b/>
          <w:snapToGrid w:val="0"/>
          <w:sz w:val="22"/>
          <w:szCs w:val="22"/>
        </w:rPr>
        <w:t xml:space="preserve">к договору </w:t>
      </w:r>
      <w:r>
        <w:rPr>
          <w:b/>
          <w:bCs/>
          <w:sz w:val="22"/>
          <w:szCs w:val="22"/>
        </w:rPr>
        <w:t>№</w:t>
      </w:r>
      <w:r>
        <w:rPr>
          <w:b/>
          <w:snapToGrid w:val="0"/>
          <w:sz w:val="22"/>
          <w:szCs w:val="22"/>
        </w:rPr>
        <w:t xml:space="preserve"> от ___ ______ 2022 г.</w:t>
      </w:r>
    </w:p>
    <w:p>
      <w:pPr>
        <w:jc w:val="center"/>
        <w:rPr>
          <w:b/>
          <w:snapToGrid w:val="0"/>
          <w:sz w:val="22"/>
          <w:szCs w:val="22"/>
        </w:rPr>
      </w:pPr>
    </w:p>
    <w:p>
      <w:pPr>
        <w:jc w:val="center"/>
        <w:rPr>
          <w:b/>
          <w:snapToGrid w:val="0"/>
          <w:sz w:val="22"/>
          <w:szCs w:val="22"/>
        </w:rPr>
      </w:pPr>
    </w:p>
    <w:p>
      <w:pPr>
        <w:jc w:val="center"/>
        <w:rPr>
          <w:b/>
          <w:snapToGrid w:val="0"/>
          <w:sz w:val="22"/>
          <w:szCs w:val="22"/>
        </w:rPr>
      </w:pPr>
      <w:r>
        <w:rPr>
          <w:b/>
          <w:snapToGrid w:val="0"/>
          <w:sz w:val="22"/>
          <w:szCs w:val="22"/>
        </w:rPr>
        <w:t xml:space="preserve">Спецификация </w:t>
      </w:r>
    </w:p>
    <w:p>
      <w:pPr>
        <w:jc w:val="center"/>
        <w:rPr>
          <w:b/>
          <w:snapToGrid w:val="0"/>
          <w:sz w:val="22"/>
          <w:szCs w:val="22"/>
        </w:rPr>
      </w:pPr>
      <w:r>
        <w:rPr>
          <w:i/>
          <w:snapToGrid w:val="0"/>
          <w:sz w:val="22"/>
          <w:szCs w:val="22"/>
        </w:rPr>
        <w:t>(заполняется по результатам аукциона, форма может быть уточнена)</w:t>
      </w:r>
    </w:p>
    <w:p>
      <w:pPr>
        <w:jc w:val="center"/>
        <w:rPr>
          <w:b/>
          <w:snapToGrid w:val="0"/>
          <w:sz w:val="22"/>
          <w:szCs w:val="22"/>
        </w:rPr>
      </w:pPr>
    </w:p>
    <w:tbl>
      <w:tblPr>
        <w:tblStyle w:val="12"/>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673"/>
        <w:gridCol w:w="1587"/>
        <w:gridCol w:w="1343"/>
        <w:gridCol w:w="1411"/>
        <w:gridCol w:w="1413"/>
        <w:gridCol w:w="2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pPr>
              <w:suppressAutoHyphens w:val="0"/>
              <w:jc w:val="center"/>
              <w:rPr>
                <w:b/>
                <w:sz w:val="22"/>
                <w:szCs w:val="22"/>
                <w:lang w:eastAsia="en-US"/>
              </w:rPr>
            </w:pPr>
            <w:r>
              <w:rPr>
                <w:b/>
                <w:sz w:val="22"/>
                <w:szCs w:val="22"/>
                <w:lang w:eastAsia="en-US"/>
              </w:rPr>
              <w:t>№ п/п</w:t>
            </w:r>
          </w:p>
        </w:tc>
        <w:tc>
          <w:tcPr>
            <w:tcW w:w="1673" w:type="dxa"/>
            <w:tcBorders>
              <w:top w:val="single" w:color="auto" w:sz="4" w:space="0"/>
              <w:left w:val="single" w:color="auto" w:sz="4" w:space="0"/>
              <w:bottom w:val="single" w:color="auto" w:sz="4" w:space="0"/>
              <w:right w:val="single" w:color="auto" w:sz="4" w:space="0"/>
            </w:tcBorders>
            <w:vAlign w:val="center"/>
          </w:tcPr>
          <w:p>
            <w:pPr>
              <w:suppressAutoHyphens w:val="0"/>
              <w:jc w:val="center"/>
              <w:rPr>
                <w:b/>
                <w:sz w:val="22"/>
                <w:szCs w:val="22"/>
                <w:lang w:eastAsia="en-US"/>
              </w:rPr>
            </w:pPr>
            <w:r>
              <w:rPr>
                <w:b/>
                <w:bCs/>
                <w:kern w:val="1"/>
                <w:sz w:val="22"/>
                <w:szCs w:val="22"/>
                <w:lang w:eastAsia="en-US"/>
              </w:rPr>
              <w:t>Наименование товара</w:t>
            </w:r>
          </w:p>
        </w:tc>
        <w:tc>
          <w:tcPr>
            <w:tcW w:w="1587" w:type="dxa"/>
            <w:tcBorders>
              <w:top w:val="single" w:color="auto" w:sz="4" w:space="0"/>
              <w:left w:val="single" w:color="auto" w:sz="4" w:space="0"/>
              <w:bottom w:val="single" w:color="auto" w:sz="4" w:space="0"/>
              <w:right w:val="single" w:color="auto" w:sz="4" w:space="0"/>
            </w:tcBorders>
            <w:vAlign w:val="center"/>
          </w:tcPr>
          <w:p>
            <w:pPr>
              <w:suppressAutoHyphens w:val="0"/>
              <w:jc w:val="center"/>
              <w:rPr>
                <w:b/>
                <w:sz w:val="22"/>
                <w:szCs w:val="22"/>
                <w:lang w:eastAsia="en-US"/>
              </w:rPr>
            </w:pPr>
            <w:r>
              <w:rPr>
                <w:b/>
                <w:sz w:val="22"/>
                <w:szCs w:val="22"/>
                <w:lang w:eastAsia="en-US"/>
              </w:rPr>
              <w:t>Количество (литр)</w:t>
            </w:r>
          </w:p>
        </w:tc>
        <w:tc>
          <w:tcPr>
            <w:tcW w:w="1343" w:type="dxa"/>
            <w:tcBorders>
              <w:top w:val="single" w:color="auto" w:sz="4" w:space="0"/>
              <w:left w:val="single" w:color="auto" w:sz="4" w:space="0"/>
              <w:bottom w:val="single" w:color="auto" w:sz="4" w:space="0"/>
              <w:right w:val="single" w:color="auto" w:sz="4" w:space="0"/>
            </w:tcBorders>
            <w:vAlign w:val="center"/>
          </w:tcPr>
          <w:p>
            <w:pPr>
              <w:jc w:val="center"/>
              <w:rPr>
                <w:b/>
                <w:sz w:val="22"/>
                <w:szCs w:val="22"/>
              </w:rPr>
            </w:pPr>
            <w:r>
              <w:rPr>
                <w:b/>
                <w:sz w:val="22"/>
                <w:szCs w:val="22"/>
              </w:rPr>
              <w:t>Описание товара</w:t>
            </w:r>
          </w:p>
        </w:tc>
        <w:tc>
          <w:tcPr>
            <w:tcW w:w="1411" w:type="dxa"/>
            <w:tcBorders>
              <w:top w:val="single" w:color="auto" w:sz="4" w:space="0"/>
              <w:left w:val="single" w:color="auto" w:sz="4" w:space="0"/>
              <w:bottom w:val="single" w:color="auto" w:sz="4" w:space="0"/>
              <w:right w:val="single" w:color="auto" w:sz="4" w:space="0"/>
            </w:tcBorders>
            <w:vAlign w:val="center"/>
          </w:tcPr>
          <w:p>
            <w:pPr>
              <w:jc w:val="center"/>
              <w:rPr>
                <w:b/>
                <w:sz w:val="22"/>
                <w:szCs w:val="22"/>
              </w:rPr>
            </w:pPr>
            <w:r>
              <w:rPr>
                <w:b/>
                <w:sz w:val="22"/>
                <w:szCs w:val="22"/>
              </w:rPr>
              <w:t>Страна происхождения</w:t>
            </w:r>
          </w:p>
        </w:tc>
        <w:tc>
          <w:tcPr>
            <w:tcW w:w="1413" w:type="dxa"/>
            <w:tcBorders>
              <w:top w:val="single" w:color="auto" w:sz="4" w:space="0"/>
              <w:left w:val="single" w:color="auto" w:sz="4" w:space="0"/>
              <w:bottom w:val="single" w:color="auto" w:sz="4" w:space="0"/>
              <w:right w:val="single" w:color="auto" w:sz="4" w:space="0"/>
            </w:tcBorders>
            <w:vAlign w:val="center"/>
          </w:tcPr>
          <w:p>
            <w:pPr>
              <w:suppressAutoHyphens w:val="0"/>
              <w:jc w:val="center"/>
              <w:rPr>
                <w:b/>
                <w:sz w:val="22"/>
                <w:szCs w:val="22"/>
                <w:lang w:eastAsia="en-US"/>
              </w:rPr>
            </w:pPr>
            <w:r>
              <w:rPr>
                <w:b/>
                <w:sz w:val="22"/>
                <w:szCs w:val="22"/>
                <w:lang w:eastAsia="en-US"/>
              </w:rPr>
              <w:t>Цена в рублях</w:t>
            </w:r>
          </w:p>
          <w:p>
            <w:pPr>
              <w:suppressAutoHyphens w:val="0"/>
              <w:jc w:val="center"/>
              <w:rPr>
                <w:b/>
                <w:sz w:val="22"/>
                <w:szCs w:val="22"/>
                <w:lang w:eastAsia="en-US"/>
              </w:rPr>
            </w:pPr>
            <w:r>
              <w:rPr>
                <w:b/>
                <w:sz w:val="22"/>
                <w:szCs w:val="22"/>
                <w:lang w:eastAsia="en-US"/>
              </w:rPr>
              <w:t>(в т.ч. НДС 20%)</w:t>
            </w:r>
          </w:p>
        </w:tc>
        <w:tc>
          <w:tcPr>
            <w:tcW w:w="2070" w:type="dxa"/>
            <w:tcBorders>
              <w:top w:val="single" w:color="auto" w:sz="4" w:space="0"/>
              <w:left w:val="single" w:color="auto" w:sz="4" w:space="0"/>
              <w:bottom w:val="single" w:color="auto" w:sz="4" w:space="0"/>
              <w:right w:val="single" w:color="auto" w:sz="4" w:space="0"/>
            </w:tcBorders>
            <w:vAlign w:val="center"/>
          </w:tcPr>
          <w:p>
            <w:pPr>
              <w:suppressAutoHyphens w:val="0"/>
              <w:jc w:val="center"/>
              <w:rPr>
                <w:b/>
                <w:sz w:val="22"/>
                <w:szCs w:val="22"/>
                <w:lang w:eastAsia="en-US"/>
              </w:rPr>
            </w:pPr>
            <w:r>
              <w:rPr>
                <w:b/>
                <w:sz w:val="22"/>
                <w:szCs w:val="22"/>
                <w:lang w:eastAsia="en-US"/>
              </w:rPr>
              <w:t>Стоимость в рублях</w:t>
            </w:r>
          </w:p>
          <w:p>
            <w:pPr>
              <w:suppressAutoHyphens w:val="0"/>
              <w:jc w:val="center"/>
              <w:rPr>
                <w:b/>
                <w:sz w:val="22"/>
                <w:szCs w:val="22"/>
                <w:lang w:eastAsia="en-US"/>
              </w:rPr>
            </w:pPr>
            <w:r>
              <w:rPr>
                <w:b/>
                <w:sz w:val="22"/>
                <w:szCs w:val="22"/>
                <w:lang w:eastAsia="en-US"/>
              </w:rPr>
              <w:t>(в т.ч. НДС 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pPr>
              <w:suppressAutoHyphens w:val="0"/>
              <w:jc w:val="center"/>
              <w:rPr>
                <w:sz w:val="22"/>
                <w:szCs w:val="22"/>
                <w:lang w:eastAsia="en-US"/>
              </w:rPr>
            </w:pPr>
            <w:r>
              <w:rPr>
                <w:sz w:val="22"/>
                <w:szCs w:val="22"/>
                <w:lang w:eastAsia="en-US"/>
              </w:rPr>
              <w:t>1</w:t>
            </w:r>
          </w:p>
        </w:tc>
        <w:tc>
          <w:tcPr>
            <w:tcW w:w="1673" w:type="dxa"/>
            <w:tcBorders>
              <w:top w:val="single" w:color="auto" w:sz="4" w:space="0"/>
              <w:left w:val="single" w:color="auto" w:sz="4" w:space="0"/>
              <w:bottom w:val="single" w:color="auto" w:sz="4" w:space="0"/>
              <w:right w:val="single" w:color="auto" w:sz="4" w:space="0"/>
            </w:tcBorders>
            <w:vAlign w:val="center"/>
          </w:tcPr>
          <w:p>
            <w:pPr>
              <w:suppressAutoHyphens w:val="0"/>
              <w:jc w:val="center"/>
              <w:rPr>
                <w:b/>
                <w:i/>
                <w:sz w:val="22"/>
                <w:szCs w:val="22"/>
                <w:lang w:eastAsia="ru-RU"/>
              </w:rPr>
            </w:pPr>
            <w:r>
              <w:rPr>
                <w:b/>
                <w:i/>
                <w:sz w:val="22"/>
                <w:szCs w:val="22"/>
                <w:lang w:eastAsia="ru-RU"/>
              </w:rPr>
              <w:t>(указать)</w:t>
            </w:r>
          </w:p>
        </w:tc>
        <w:tc>
          <w:tcPr>
            <w:tcW w:w="1587" w:type="dxa"/>
            <w:tcBorders>
              <w:top w:val="single" w:color="auto" w:sz="4" w:space="0"/>
              <w:left w:val="single" w:color="auto" w:sz="4" w:space="0"/>
              <w:bottom w:val="single" w:color="auto" w:sz="4" w:space="0"/>
              <w:right w:val="single" w:color="auto" w:sz="4" w:space="0"/>
            </w:tcBorders>
            <w:vAlign w:val="center"/>
          </w:tcPr>
          <w:p>
            <w:pPr>
              <w:suppressAutoHyphens w:val="0"/>
              <w:jc w:val="center"/>
              <w:rPr>
                <w:sz w:val="22"/>
                <w:szCs w:val="22"/>
                <w:lang w:eastAsia="ru-RU"/>
              </w:rPr>
            </w:pPr>
            <w:r>
              <w:rPr>
                <w:b/>
                <w:i/>
                <w:sz w:val="22"/>
                <w:szCs w:val="22"/>
                <w:lang w:eastAsia="ru-RU"/>
              </w:rPr>
              <w:t>(указать)</w:t>
            </w:r>
          </w:p>
        </w:tc>
        <w:tc>
          <w:tcPr>
            <w:tcW w:w="1343" w:type="dxa"/>
            <w:tcBorders>
              <w:top w:val="single" w:color="auto" w:sz="4" w:space="0"/>
              <w:left w:val="single" w:color="auto" w:sz="4" w:space="0"/>
              <w:bottom w:val="single" w:color="auto" w:sz="4" w:space="0"/>
              <w:right w:val="single" w:color="auto" w:sz="4" w:space="0"/>
            </w:tcBorders>
            <w:vAlign w:val="center"/>
          </w:tcPr>
          <w:p>
            <w:pPr>
              <w:suppressAutoHyphens w:val="0"/>
              <w:jc w:val="center"/>
              <w:rPr>
                <w:sz w:val="22"/>
                <w:szCs w:val="22"/>
                <w:lang w:eastAsia="en-US"/>
              </w:rPr>
            </w:pPr>
            <w:r>
              <w:rPr>
                <w:b/>
                <w:i/>
                <w:sz w:val="22"/>
                <w:szCs w:val="22"/>
                <w:lang w:eastAsia="ru-RU"/>
              </w:rPr>
              <w:t>(указать)</w:t>
            </w:r>
          </w:p>
        </w:tc>
        <w:tc>
          <w:tcPr>
            <w:tcW w:w="1411" w:type="dxa"/>
            <w:tcBorders>
              <w:top w:val="single" w:color="auto" w:sz="4" w:space="0"/>
              <w:left w:val="single" w:color="auto" w:sz="4" w:space="0"/>
              <w:bottom w:val="single" w:color="auto" w:sz="4" w:space="0"/>
              <w:right w:val="single" w:color="auto" w:sz="4" w:space="0"/>
            </w:tcBorders>
            <w:vAlign w:val="center"/>
          </w:tcPr>
          <w:p>
            <w:pPr>
              <w:suppressAutoHyphens w:val="0"/>
              <w:jc w:val="center"/>
              <w:rPr>
                <w:sz w:val="22"/>
                <w:szCs w:val="22"/>
                <w:lang w:eastAsia="en-US"/>
              </w:rPr>
            </w:pPr>
            <w:r>
              <w:rPr>
                <w:b/>
                <w:i/>
                <w:sz w:val="22"/>
                <w:szCs w:val="22"/>
                <w:lang w:eastAsia="ru-RU"/>
              </w:rPr>
              <w:t>(указать)</w:t>
            </w:r>
          </w:p>
        </w:tc>
        <w:tc>
          <w:tcPr>
            <w:tcW w:w="1413" w:type="dxa"/>
            <w:tcBorders>
              <w:top w:val="single" w:color="auto" w:sz="4" w:space="0"/>
              <w:left w:val="single" w:color="auto" w:sz="4" w:space="0"/>
              <w:bottom w:val="single" w:color="auto" w:sz="4" w:space="0"/>
              <w:right w:val="single" w:color="auto" w:sz="4" w:space="0"/>
            </w:tcBorders>
            <w:vAlign w:val="center"/>
          </w:tcPr>
          <w:p>
            <w:pPr>
              <w:suppressAutoHyphens w:val="0"/>
              <w:jc w:val="center"/>
              <w:rPr>
                <w:sz w:val="22"/>
                <w:szCs w:val="22"/>
                <w:lang w:eastAsia="en-US"/>
              </w:rPr>
            </w:pPr>
            <w:r>
              <w:rPr>
                <w:b/>
                <w:i/>
                <w:sz w:val="22"/>
                <w:szCs w:val="22"/>
                <w:lang w:eastAsia="ru-RU"/>
              </w:rPr>
              <w:t>(указать)</w:t>
            </w:r>
          </w:p>
        </w:tc>
        <w:tc>
          <w:tcPr>
            <w:tcW w:w="2070" w:type="dxa"/>
            <w:tcBorders>
              <w:top w:val="single" w:color="auto" w:sz="4" w:space="0"/>
              <w:left w:val="single" w:color="auto" w:sz="4" w:space="0"/>
              <w:bottom w:val="single" w:color="auto" w:sz="4" w:space="0"/>
              <w:right w:val="single" w:color="auto" w:sz="4" w:space="0"/>
            </w:tcBorders>
            <w:vAlign w:val="center"/>
          </w:tcPr>
          <w:p>
            <w:pPr>
              <w:suppressAutoHyphens w:val="0"/>
              <w:jc w:val="center"/>
              <w:rPr>
                <w:sz w:val="22"/>
                <w:szCs w:val="22"/>
                <w:lang w:eastAsia="en-US"/>
              </w:rPr>
            </w:pPr>
            <w:r>
              <w:rPr>
                <w:b/>
                <w:i/>
                <w:sz w:val="22"/>
                <w:szCs w:val="22"/>
                <w:lang w:eastAsia="ru-RU"/>
              </w:rPr>
              <w:t>(указать)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7995" w:type="dxa"/>
            <w:gridSpan w:val="6"/>
            <w:tcBorders>
              <w:top w:val="single" w:color="auto" w:sz="4" w:space="0"/>
              <w:left w:val="single" w:color="auto" w:sz="4" w:space="0"/>
              <w:bottom w:val="single" w:color="auto" w:sz="4" w:space="0"/>
              <w:right w:val="single" w:color="auto" w:sz="4" w:space="0"/>
            </w:tcBorders>
            <w:vAlign w:val="center"/>
          </w:tcPr>
          <w:p>
            <w:pPr>
              <w:suppressAutoHyphens w:val="0"/>
              <w:jc w:val="right"/>
              <w:rPr>
                <w:b/>
                <w:sz w:val="22"/>
                <w:szCs w:val="22"/>
                <w:lang w:eastAsia="en-US"/>
              </w:rPr>
            </w:pPr>
            <w:r>
              <w:rPr>
                <w:b/>
                <w:sz w:val="22"/>
                <w:szCs w:val="22"/>
                <w:lang w:eastAsia="en-US"/>
              </w:rPr>
              <w:t>Итого:</w:t>
            </w:r>
          </w:p>
        </w:tc>
        <w:tc>
          <w:tcPr>
            <w:tcW w:w="2070" w:type="dxa"/>
            <w:tcBorders>
              <w:top w:val="single" w:color="auto" w:sz="4" w:space="0"/>
              <w:left w:val="single" w:color="auto" w:sz="4" w:space="0"/>
              <w:bottom w:val="single" w:color="auto" w:sz="4" w:space="0"/>
              <w:right w:val="single" w:color="auto" w:sz="4" w:space="0"/>
            </w:tcBorders>
            <w:vAlign w:val="center"/>
          </w:tcPr>
          <w:p>
            <w:pPr>
              <w:suppressAutoHyphens w:val="0"/>
              <w:jc w:val="center"/>
              <w:rPr>
                <w:sz w:val="22"/>
                <w:szCs w:val="22"/>
                <w:lang w:eastAsia="en-US"/>
              </w:rPr>
            </w:pPr>
            <w:r>
              <w:rPr>
                <w:b/>
                <w:i/>
                <w:sz w:val="22"/>
                <w:szCs w:val="22"/>
                <w:lang w:eastAsia="ru-RU"/>
              </w:rPr>
              <w:t>(указать)</w:t>
            </w:r>
          </w:p>
        </w:tc>
      </w:tr>
    </w:tbl>
    <w:p>
      <w:pPr>
        <w:jc w:val="center"/>
        <w:rPr>
          <w:snapToGrid w:val="0"/>
          <w:sz w:val="22"/>
          <w:szCs w:val="22"/>
        </w:rPr>
      </w:pPr>
    </w:p>
    <w:p>
      <w:pPr>
        <w:jc w:val="center"/>
        <w:rPr>
          <w:snapToGrid w:val="0"/>
          <w:sz w:val="22"/>
          <w:szCs w:val="22"/>
        </w:rPr>
      </w:pPr>
    </w:p>
    <w:tbl>
      <w:tblPr>
        <w:tblStyle w:val="12"/>
        <w:tblW w:w="98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20"/>
        <w:gridCol w:w="5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0" w:type="dxa"/>
          </w:tcPr>
          <w:p>
            <w:pPr>
              <w:spacing w:after="240"/>
              <w:jc w:val="both"/>
              <w:rPr>
                <w:i/>
                <w:sz w:val="22"/>
                <w:szCs w:val="22"/>
              </w:rPr>
            </w:pPr>
            <w:r>
              <w:rPr>
                <w:i/>
                <w:sz w:val="22"/>
                <w:szCs w:val="22"/>
              </w:rPr>
              <w:t>«Заказчик»:</w:t>
            </w:r>
          </w:p>
          <w:p>
            <w:pPr>
              <w:snapToGrid w:val="0"/>
              <w:rPr>
                <w:sz w:val="22"/>
                <w:szCs w:val="22"/>
              </w:rPr>
            </w:pPr>
            <w:r>
              <w:rPr>
                <w:b/>
                <w:sz w:val="22"/>
                <w:szCs w:val="22"/>
              </w:rPr>
              <w:t>______________________</w:t>
            </w:r>
            <w:r>
              <w:rPr>
                <w:i/>
                <w:sz w:val="22"/>
                <w:szCs w:val="22"/>
              </w:rPr>
              <w:t>(должность</w:t>
            </w:r>
            <w:r>
              <w:rPr>
                <w:sz w:val="22"/>
                <w:szCs w:val="22"/>
              </w:rPr>
              <w:t>)</w:t>
            </w:r>
          </w:p>
          <w:p>
            <w:pPr>
              <w:jc w:val="both"/>
              <w:rPr>
                <w:b/>
                <w:sz w:val="22"/>
                <w:szCs w:val="22"/>
              </w:rPr>
            </w:pPr>
          </w:p>
          <w:p>
            <w:pPr>
              <w:jc w:val="both"/>
              <w:rPr>
                <w:i/>
                <w:sz w:val="22"/>
                <w:szCs w:val="22"/>
              </w:rPr>
            </w:pPr>
            <w:r>
              <w:rPr>
                <w:b/>
                <w:sz w:val="22"/>
                <w:szCs w:val="22"/>
              </w:rPr>
              <w:t xml:space="preserve">_____________________ </w:t>
            </w:r>
            <w:r>
              <w:rPr>
                <w:i/>
                <w:sz w:val="22"/>
                <w:szCs w:val="22"/>
              </w:rPr>
              <w:t>(Ф.И.О.)</w:t>
            </w:r>
          </w:p>
          <w:p>
            <w:pPr>
              <w:ind w:left="170"/>
              <w:jc w:val="both"/>
              <w:rPr>
                <w:i/>
                <w:sz w:val="22"/>
                <w:szCs w:val="22"/>
              </w:rPr>
            </w:pPr>
            <w:r>
              <w:rPr>
                <w:sz w:val="22"/>
                <w:szCs w:val="22"/>
              </w:rPr>
              <w:t xml:space="preserve">М.П. </w:t>
            </w:r>
          </w:p>
          <w:p>
            <w:pPr>
              <w:jc w:val="both"/>
              <w:rPr>
                <w:snapToGrid w:val="0"/>
                <w:sz w:val="22"/>
                <w:szCs w:val="22"/>
              </w:rPr>
            </w:pPr>
            <w:r>
              <w:rPr>
                <w:sz w:val="22"/>
                <w:szCs w:val="22"/>
              </w:rPr>
              <w:t>«      » _____________ 2022 г.</w:t>
            </w:r>
          </w:p>
        </w:tc>
        <w:tc>
          <w:tcPr>
            <w:tcW w:w="5006" w:type="dxa"/>
          </w:tcPr>
          <w:p>
            <w:pPr>
              <w:rPr>
                <w:i/>
                <w:sz w:val="22"/>
                <w:szCs w:val="22"/>
              </w:rPr>
            </w:pPr>
            <w:r>
              <w:rPr>
                <w:i/>
                <w:sz w:val="22"/>
                <w:szCs w:val="22"/>
              </w:rPr>
              <w:t>«Поставщик»:</w:t>
            </w:r>
          </w:p>
          <w:p>
            <w:pPr>
              <w:tabs>
                <w:tab w:val="left" w:pos="426"/>
              </w:tabs>
              <w:snapToGrid w:val="0"/>
              <w:jc w:val="center"/>
              <w:rPr>
                <w:b/>
                <w:sz w:val="22"/>
                <w:szCs w:val="22"/>
              </w:rPr>
            </w:pPr>
          </w:p>
          <w:p>
            <w:pPr>
              <w:snapToGrid w:val="0"/>
              <w:rPr>
                <w:sz w:val="22"/>
                <w:szCs w:val="22"/>
              </w:rPr>
            </w:pPr>
            <w:r>
              <w:rPr>
                <w:b/>
                <w:sz w:val="22"/>
                <w:szCs w:val="22"/>
              </w:rPr>
              <w:t xml:space="preserve">_________________________ </w:t>
            </w:r>
            <w:r>
              <w:rPr>
                <w:i/>
                <w:sz w:val="22"/>
                <w:szCs w:val="22"/>
              </w:rPr>
              <w:t>(должность</w:t>
            </w:r>
            <w:r>
              <w:rPr>
                <w:sz w:val="22"/>
                <w:szCs w:val="22"/>
              </w:rPr>
              <w:t>)</w:t>
            </w:r>
          </w:p>
          <w:p>
            <w:pPr>
              <w:rPr>
                <w:b/>
                <w:sz w:val="22"/>
                <w:szCs w:val="22"/>
              </w:rPr>
            </w:pPr>
          </w:p>
          <w:p>
            <w:pPr>
              <w:ind w:firstLine="142"/>
              <w:rPr>
                <w:i/>
                <w:sz w:val="22"/>
                <w:szCs w:val="22"/>
              </w:rPr>
            </w:pPr>
            <w:r>
              <w:rPr>
                <w:b/>
                <w:sz w:val="22"/>
                <w:szCs w:val="22"/>
              </w:rPr>
              <w:t xml:space="preserve">____________________ </w:t>
            </w:r>
            <w:r>
              <w:rPr>
                <w:i/>
                <w:sz w:val="22"/>
                <w:szCs w:val="22"/>
              </w:rPr>
              <w:t>(Ф.И.О.)</w:t>
            </w:r>
          </w:p>
          <w:p>
            <w:pPr>
              <w:ind w:firstLine="142"/>
              <w:rPr>
                <w:sz w:val="22"/>
                <w:szCs w:val="22"/>
              </w:rPr>
            </w:pPr>
            <w:r>
              <w:rPr>
                <w:sz w:val="22"/>
                <w:szCs w:val="22"/>
              </w:rPr>
              <w:t xml:space="preserve">М.П. </w:t>
            </w:r>
            <w:r>
              <w:rPr>
                <w:i/>
                <w:sz w:val="22"/>
                <w:szCs w:val="22"/>
              </w:rPr>
              <w:t>(при наличии печати)</w:t>
            </w:r>
          </w:p>
          <w:p>
            <w:pPr>
              <w:jc w:val="both"/>
              <w:rPr>
                <w:snapToGrid w:val="0"/>
                <w:sz w:val="22"/>
                <w:szCs w:val="22"/>
              </w:rPr>
            </w:pPr>
            <w:r>
              <w:rPr>
                <w:sz w:val="22"/>
                <w:szCs w:val="22"/>
              </w:rPr>
              <w:t>«      » _____________ 2022 г.</w:t>
            </w:r>
          </w:p>
        </w:tc>
      </w:tr>
    </w:tbl>
    <w:p>
      <w:pPr>
        <w:jc w:val="center"/>
        <w:rPr>
          <w:b/>
          <w:snapToGrid w:val="0"/>
          <w:sz w:val="22"/>
          <w:szCs w:val="22"/>
        </w:rPr>
      </w:pPr>
    </w:p>
    <w:p>
      <w:pPr>
        <w:rPr>
          <w:snapToGrid w:val="0"/>
          <w:sz w:val="22"/>
          <w:szCs w:val="22"/>
        </w:rPr>
      </w:pPr>
    </w:p>
    <w:p>
      <w:pPr>
        <w:jc w:val="right"/>
        <w:rPr>
          <w:b/>
          <w:snapToGrid w:val="0"/>
          <w:sz w:val="22"/>
          <w:szCs w:val="22"/>
        </w:rPr>
      </w:pPr>
      <w:r>
        <w:rPr>
          <w:sz w:val="22"/>
          <w:szCs w:val="22"/>
        </w:rPr>
        <w:br w:type="page"/>
      </w:r>
      <w:r>
        <w:rPr>
          <w:b/>
          <w:snapToGrid w:val="0"/>
          <w:sz w:val="22"/>
          <w:szCs w:val="22"/>
        </w:rPr>
        <w:t>Приложение №2</w:t>
      </w:r>
    </w:p>
    <w:p>
      <w:pPr>
        <w:jc w:val="right"/>
        <w:rPr>
          <w:b/>
          <w:snapToGrid w:val="0"/>
          <w:sz w:val="22"/>
          <w:szCs w:val="22"/>
        </w:rPr>
      </w:pPr>
      <w:r>
        <w:rPr>
          <w:b/>
          <w:snapToGrid w:val="0"/>
          <w:sz w:val="22"/>
          <w:szCs w:val="22"/>
        </w:rPr>
        <w:t xml:space="preserve">к договору </w:t>
      </w:r>
      <w:r>
        <w:rPr>
          <w:b/>
          <w:bCs/>
          <w:sz w:val="22"/>
          <w:szCs w:val="22"/>
        </w:rPr>
        <w:t xml:space="preserve">№ </w:t>
      </w:r>
      <w:r>
        <w:rPr>
          <w:b/>
          <w:snapToGrid w:val="0"/>
          <w:sz w:val="22"/>
          <w:szCs w:val="22"/>
        </w:rPr>
        <w:t>от ___ ______ 2022 г.</w:t>
      </w:r>
    </w:p>
    <w:p>
      <w:pPr>
        <w:jc w:val="center"/>
        <w:rPr>
          <w:b/>
          <w:snapToGrid w:val="0"/>
          <w:sz w:val="22"/>
          <w:szCs w:val="22"/>
        </w:rPr>
      </w:pPr>
    </w:p>
    <w:p>
      <w:pPr>
        <w:jc w:val="center"/>
        <w:rPr>
          <w:b/>
          <w:snapToGrid w:val="0"/>
          <w:sz w:val="22"/>
          <w:szCs w:val="22"/>
        </w:rPr>
      </w:pPr>
      <w:r>
        <w:rPr>
          <w:b/>
          <w:snapToGrid w:val="0"/>
          <w:sz w:val="22"/>
          <w:szCs w:val="22"/>
        </w:rPr>
        <w:t>Список АЗС</w:t>
      </w:r>
    </w:p>
    <w:p>
      <w:pPr>
        <w:jc w:val="center"/>
        <w:rPr>
          <w:i/>
          <w:snapToGrid w:val="0"/>
          <w:sz w:val="22"/>
          <w:szCs w:val="22"/>
        </w:rPr>
      </w:pPr>
      <w:r>
        <w:rPr>
          <w:i/>
          <w:snapToGrid w:val="0"/>
          <w:sz w:val="22"/>
          <w:szCs w:val="22"/>
        </w:rPr>
        <w:t>(указываются Поставщиком)</w:t>
      </w:r>
    </w:p>
    <w:p>
      <w:pPr>
        <w:jc w:val="center"/>
        <w:rPr>
          <w:b/>
          <w:snapToGrid w:val="0"/>
          <w:sz w:val="22"/>
          <w:szCs w:val="22"/>
        </w:rPr>
      </w:pPr>
    </w:p>
    <w:tbl>
      <w:tblPr>
        <w:tblStyle w:val="12"/>
        <w:tblW w:w="9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
        <w:gridCol w:w="9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dxa"/>
          </w:tcPr>
          <w:p>
            <w:pPr>
              <w:rPr>
                <w:sz w:val="22"/>
                <w:szCs w:val="22"/>
                <w:lang w:val="en-US"/>
              </w:rPr>
            </w:pPr>
            <w:r>
              <w:rPr>
                <w:sz w:val="22"/>
                <w:szCs w:val="22"/>
                <w:lang w:val="en-US"/>
              </w:rPr>
              <w:t>1</w:t>
            </w:r>
          </w:p>
        </w:tc>
        <w:tc>
          <w:tcPr>
            <w:tcW w:w="9304" w:type="dxa"/>
            <w:shd w:val="clear" w:color="auto" w:fill="auto"/>
          </w:tcPr>
          <w:p>
            <w:pPr>
              <w:jc w:val="center"/>
              <w:rPr>
                <w:b/>
                <w:i/>
                <w:sz w:val="22"/>
                <w:szCs w:val="22"/>
              </w:rPr>
            </w:pPr>
            <w:r>
              <w:rPr>
                <w:b/>
                <w:i/>
                <w:sz w:val="22"/>
                <w:szCs w:val="22"/>
              </w:rPr>
              <w:t>(указать)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dxa"/>
          </w:tcPr>
          <w:p>
            <w:pPr>
              <w:rPr>
                <w:sz w:val="22"/>
                <w:szCs w:val="22"/>
                <w:lang w:val="en-US"/>
              </w:rPr>
            </w:pPr>
            <w:r>
              <w:rPr>
                <w:sz w:val="22"/>
                <w:szCs w:val="22"/>
                <w:lang w:val="en-US"/>
              </w:rPr>
              <w:t>2</w:t>
            </w:r>
          </w:p>
        </w:tc>
        <w:tc>
          <w:tcPr>
            <w:tcW w:w="9304" w:type="dxa"/>
            <w:shd w:val="clear" w:color="auto" w:fill="auto"/>
          </w:tcPr>
          <w:p>
            <w:pPr>
              <w:jc w:val="center"/>
              <w:rPr>
                <w:sz w:val="22"/>
                <w:szCs w:val="22"/>
              </w:rPr>
            </w:pPr>
            <w:r>
              <w:rPr>
                <w:b/>
                <w:i/>
                <w:sz w:val="22"/>
                <w:szCs w:val="22"/>
              </w:rPr>
              <w:t>(указать)</w:t>
            </w:r>
          </w:p>
        </w:tc>
      </w:tr>
    </w:tbl>
    <w:p>
      <w:pPr>
        <w:jc w:val="center"/>
        <w:rPr>
          <w:b/>
          <w:snapToGrid w:val="0"/>
          <w:sz w:val="22"/>
          <w:szCs w:val="22"/>
        </w:rPr>
      </w:pPr>
    </w:p>
    <w:p>
      <w:pPr>
        <w:jc w:val="center"/>
        <w:rPr>
          <w:b/>
          <w:snapToGrid w:val="0"/>
          <w:sz w:val="22"/>
          <w:szCs w:val="22"/>
        </w:rPr>
      </w:pPr>
    </w:p>
    <w:tbl>
      <w:tblPr>
        <w:tblStyle w:val="12"/>
        <w:tblW w:w="98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20"/>
        <w:gridCol w:w="5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20" w:type="dxa"/>
          </w:tcPr>
          <w:p>
            <w:pPr>
              <w:spacing w:after="240"/>
              <w:jc w:val="both"/>
              <w:rPr>
                <w:i/>
                <w:sz w:val="22"/>
                <w:szCs w:val="22"/>
              </w:rPr>
            </w:pPr>
            <w:r>
              <w:rPr>
                <w:i/>
                <w:sz w:val="22"/>
                <w:szCs w:val="22"/>
              </w:rPr>
              <w:t>«Заказчик»:</w:t>
            </w:r>
          </w:p>
          <w:p>
            <w:pPr>
              <w:snapToGrid w:val="0"/>
              <w:rPr>
                <w:sz w:val="22"/>
                <w:szCs w:val="22"/>
              </w:rPr>
            </w:pPr>
            <w:r>
              <w:rPr>
                <w:b/>
                <w:sz w:val="22"/>
                <w:szCs w:val="22"/>
              </w:rPr>
              <w:t>______________________</w:t>
            </w:r>
            <w:r>
              <w:rPr>
                <w:i/>
                <w:sz w:val="22"/>
                <w:szCs w:val="22"/>
              </w:rPr>
              <w:t>(должность</w:t>
            </w:r>
            <w:r>
              <w:rPr>
                <w:sz w:val="22"/>
                <w:szCs w:val="22"/>
              </w:rPr>
              <w:t>)</w:t>
            </w:r>
          </w:p>
          <w:p>
            <w:pPr>
              <w:jc w:val="both"/>
              <w:rPr>
                <w:b/>
                <w:sz w:val="22"/>
                <w:szCs w:val="22"/>
              </w:rPr>
            </w:pPr>
          </w:p>
          <w:p>
            <w:pPr>
              <w:jc w:val="both"/>
              <w:rPr>
                <w:i/>
                <w:sz w:val="22"/>
                <w:szCs w:val="22"/>
              </w:rPr>
            </w:pPr>
            <w:r>
              <w:rPr>
                <w:b/>
                <w:sz w:val="22"/>
                <w:szCs w:val="22"/>
              </w:rPr>
              <w:t xml:space="preserve">_____________________ </w:t>
            </w:r>
            <w:r>
              <w:rPr>
                <w:i/>
                <w:sz w:val="22"/>
                <w:szCs w:val="22"/>
              </w:rPr>
              <w:t>(Ф.И.О.)</w:t>
            </w:r>
          </w:p>
          <w:p>
            <w:pPr>
              <w:ind w:left="170"/>
              <w:jc w:val="both"/>
              <w:rPr>
                <w:i/>
                <w:sz w:val="22"/>
                <w:szCs w:val="22"/>
              </w:rPr>
            </w:pPr>
            <w:r>
              <w:rPr>
                <w:sz w:val="22"/>
                <w:szCs w:val="22"/>
              </w:rPr>
              <w:t xml:space="preserve">М.П. </w:t>
            </w:r>
          </w:p>
          <w:p>
            <w:pPr>
              <w:jc w:val="both"/>
              <w:rPr>
                <w:snapToGrid w:val="0"/>
                <w:sz w:val="22"/>
                <w:szCs w:val="22"/>
              </w:rPr>
            </w:pPr>
            <w:r>
              <w:rPr>
                <w:sz w:val="22"/>
                <w:szCs w:val="22"/>
              </w:rPr>
              <w:t>«      » _____________ 2022 г.</w:t>
            </w:r>
          </w:p>
        </w:tc>
        <w:tc>
          <w:tcPr>
            <w:tcW w:w="5006" w:type="dxa"/>
          </w:tcPr>
          <w:p>
            <w:pPr>
              <w:rPr>
                <w:i/>
                <w:sz w:val="22"/>
                <w:szCs w:val="22"/>
              </w:rPr>
            </w:pPr>
            <w:r>
              <w:rPr>
                <w:i/>
                <w:sz w:val="22"/>
                <w:szCs w:val="22"/>
              </w:rPr>
              <w:t>«Поставщик»:</w:t>
            </w:r>
          </w:p>
          <w:p>
            <w:pPr>
              <w:tabs>
                <w:tab w:val="left" w:pos="426"/>
              </w:tabs>
              <w:snapToGrid w:val="0"/>
              <w:jc w:val="center"/>
              <w:rPr>
                <w:b/>
                <w:sz w:val="22"/>
                <w:szCs w:val="22"/>
              </w:rPr>
            </w:pPr>
          </w:p>
          <w:p>
            <w:pPr>
              <w:snapToGrid w:val="0"/>
              <w:rPr>
                <w:sz w:val="22"/>
                <w:szCs w:val="22"/>
              </w:rPr>
            </w:pPr>
            <w:r>
              <w:rPr>
                <w:b/>
                <w:sz w:val="22"/>
                <w:szCs w:val="22"/>
              </w:rPr>
              <w:t xml:space="preserve">_________________________ </w:t>
            </w:r>
            <w:r>
              <w:rPr>
                <w:i/>
                <w:sz w:val="22"/>
                <w:szCs w:val="22"/>
              </w:rPr>
              <w:t>(должность</w:t>
            </w:r>
            <w:r>
              <w:rPr>
                <w:sz w:val="22"/>
                <w:szCs w:val="22"/>
              </w:rPr>
              <w:t>)</w:t>
            </w:r>
          </w:p>
          <w:p>
            <w:pPr>
              <w:rPr>
                <w:b/>
                <w:sz w:val="22"/>
                <w:szCs w:val="22"/>
              </w:rPr>
            </w:pPr>
          </w:p>
          <w:p>
            <w:pPr>
              <w:ind w:firstLine="142"/>
              <w:rPr>
                <w:i/>
                <w:sz w:val="22"/>
                <w:szCs w:val="22"/>
              </w:rPr>
            </w:pPr>
            <w:r>
              <w:rPr>
                <w:b/>
                <w:sz w:val="22"/>
                <w:szCs w:val="22"/>
              </w:rPr>
              <w:t xml:space="preserve">____________________ </w:t>
            </w:r>
            <w:r>
              <w:rPr>
                <w:i/>
                <w:sz w:val="22"/>
                <w:szCs w:val="22"/>
              </w:rPr>
              <w:t>(Ф.И.О.)</w:t>
            </w:r>
          </w:p>
          <w:p>
            <w:pPr>
              <w:ind w:firstLine="142"/>
              <w:rPr>
                <w:sz w:val="22"/>
                <w:szCs w:val="22"/>
              </w:rPr>
            </w:pPr>
            <w:r>
              <w:rPr>
                <w:sz w:val="22"/>
                <w:szCs w:val="22"/>
              </w:rPr>
              <w:t xml:space="preserve">М.П. </w:t>
            </w:r>
            <w:r>
              <w:rPr>
                <w:i/>
                <w:sz w:val="22"/>
                <w:szCs w:val="22"/>
              </w:rPr>
              <w:t>(при наличии печати)</w:t>
            </w:r>
          </w:p>
          <w:p>
            <w:pPr>
              <w:jc w:val="both"/>
              <w:rPr>
                <w:snapToGrid w:val="0"/>
                <w:sz w:val="22"/>
                <w:szCs w:val="22"/>
              </w:rPr>
            </w:pPr>
            <w:r>
              <w:rPr>
                <w:sz w:val="22"/>
                <w:szCs w:val="22"/>
              </w:rPr>
              <w:t>«      » _____________ 2022 г.</w:t>
            </w:r>
          </w:p>
        </w:tc>
      </w:tr>
    </w:tbl>
    <w:p>
      <w:pPr>
        <w:jc w:val="right"/>
        <w:rPr>
          <w:b/>
          <w:snapToGrid w:val="0"/>
          <w:sz w:val="22"/>
          <w:szCs w:val="22"/>
        </w:rPr>
      </w:pPr>
      <w:r>
        <w:rPr>
          <w:sz w:val="22"/>
          <w:szCs w:val="22"/>
        </w:rPr>
        <w:br w:type="page"/>
      </w:r>
      <w:r>
        <w:rPr>
          <w:b/>
          <w:snapToGrid w:val="0"/>
          <w:sz w:val="22"/>
          <w:szCs w:val="22"/>
        </w:rPr>
        <w:t>Приложение №3</w:t>
      </w:r>
    </w:p>
    <w:p>
      <w:pPr>
        <w:jc w:val="right"/>
        <w:rPr>
          <w:b/>
          <w:snapToGrid w:val="0"/>
          <w:sz w:val="22"/>
          <w:szCs w:val="22"/>
        </w:rPr>
      </w:pPr>
      <w:r>
        <w:rPr>
          <w:b/>
          <w:snapToGrid w:val="0"/>
          <w:sz w:val="22"/>
          <w:szCs w:val="22"/>
        </w:rPr>
        <w:t xml:space="preserve">к договору </w:t>
      </w:r>
      <w:r>
        <w:rPr>
          <w:b/>
          <w:bCs/>
          <w:sz w:val="22"/>
          <w:szCs w:val="22"/>
        </w:rPr>
        <w:t>№</w:t>
      </w:r>
      <w:r>
        <w:rPr>
          <w:b/>
          <w:snapToGrid w:val="0"/>
          <w:sz w:val="22"/>
          <w:szCs w:val="22"/>
        </w:rPr>
        <w:t xml:space="preserve"> от ___ ______ 2022 г.</w:t>
      </w:r>
    </w:p>
    <w:p>
      <w:pPr>
        <w:jc w:val="center"/>
        <w:rPr>
          <w:b/>
          <w:snapToGrid w:val="0"/>
          <w:sz w:val="22"/>
          <w:szCs w:val="22"/>
        </w:rPr>
      </w:pPr>
    </w:p>
    <w:p>
      <w:pPr>
        <w:jc w:val="center"/>
        <w:rPr>
          <w:b/>
          <w:snapToGrid w:val="0"/>
          <w:sz w:val="22"/>
          <w:szCs w:val="22"/>
        </w:rPr>
      </w:pPr>
    </w:p>
    <w:p>
      <w:pPr>
        <w:jc w:val="center"/>
        <w:rPr>
          <w:b/>
          <w:snapToGrid w:val="0"/>
          <w:sz w:val="22"/>
          <w:szCs w:val="22"/>
        </w:rPr>
      </w:pPr>
      <w:r>
        <w:rPr>
          <w:b/>
          <w:snapToGrid w:val="0"/>
          <w:sz w:val="22"/>
          <w:szCs w:val="22"/>
        </w:rPr>
        <w:t>Правила пользования Картами</w:t>
      </w:r>
    </w:p>
    <w:p>
      <w:pPr>
        <w:jc w:val="center"/>
        <w:rPr>
          <w:i/>
          <w:snapToGrid w:val="0"/>
          <w:sz w:val="22"/>
          <w:szCs w:val="22"/>
        </w:rPr>
      </w:pPr>
      <w:r>
        <w:rPr>
          <w:i/>
          <w:snapToGrid w:val="0"/>
          <w:sz w:val="22"/>
          <w:szCs w:val="22"/>
        </w:rPr>
        <w:t>(указываются Поставщиком)</w:t>
      </w:r>
    </w:p>
    <w:p>
      <w:pPr>
        <w:jc w:val="center"/>
        <w:rPr>
          <w:b/>
          <w:snapToGrid w:val="0"/>
          <w:sz w:val="22"/>
          <w:szCs w:val="22"/>
        </w:rPr>
      </w:pPr>
    </w:p>
    <w:p>
      <w:pPr>
        <w:jc w:val="center"/>
        <w:rPr>
          <w:b/>
          <w:snapToGrid w:val="0"/>
          <w:sz w:val="22"/>
          <w:szCs w:val="22"/>
        </w:rPr>
      </w:pPr>
    </w:p>
    <w:p>
      <w:pPr>
        <w:jc w:val="center"/>
        <w:rPr>
          <w:b/>
          <w:snapToGrid w:val="0"/>
          <w:sz w:val="22"/>
          <w:szCs w:val="22"/>
        </w:rPr>
      </w:pPr>
    </w:p>
    <w:p>
      <w:pPr>
        <w:jc w:val="center"/>
        <w:rPr>
          <w:b/>
          <w:snapToGrid w:val="0"/>
          <w:sz w:val="22"/>
          <w:szCs w:val="22"/>
        </w:rPr>
      </w:pPr>
    </w:p>
    <w:p>
      <w:pPr>
        <w:jc w:val="center"/>
        <w:rPr>
          <w:b/>
          <w:snapToGrid w:val="0"/>
          <w:sz w:val="22"/>
          <w:szCs w:val="22"/>
        </w:rPr>
      </w:pPr>
    </w:p>
    <w:tbl>
      <w:tblPr>
        <w:tblStyle w:val="12"/>
        <w:tblW w:w="98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20"/>
        <w:gridCol w:w="5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0" w:type="dxa"/>
          </w:tcPr>
          <w:p>
            <w:pPr>
              <w:spacing w:after="240"/>
              <w:jc w:val="both"/>
              <w:rPr>
                <w:i/>
                <w:sz w:val="22"/>
                <w:szCs w:val="22"/>
              </w:rPr>
            </w:pPr>
            <w:r>
              <w:rPr>
                <w:i/>
                <w:sz w:val="22"/>
                <w:szCs w:val="22"/>
              </w:rPr>
              <w:t>«Заказчик»:</w:t>
            </w:r>
          </w:p>
          <w:p>
            <w:pPr>
              <w:snapToGrid w:val="0"/>
              <w:rPr>
                <w:sz w:val="22"/>
                <w:szCs w:val="22"/>
              </w:rPr>
            </w:pPr>
            <w:r>
              <w:rPr>
                <w:b/>
                <w:sz w:val="22"/>
                <w:szCs w:val="22"/>
              </w:rPr>
              <w:t>______________________</w:t>
            </w:r>
            <w:r>
              <w:rPr>
                <w:i/>
                <w:sz w:val="22"/>
                <w:szCs w:val="22"/>
              </w:rPr>
              <w:t>(должность</w:t>
            </w:r>
            <w:r>
              <w:rPr>
                <w:sz w:val="22"/>
                <w:szCs w:val="22"/>
              </w:rPr>
              <w:t>)</w:t>
            </w:r>
          </w:p>
          <w:p>
            <w:pPr>
              <w:jc w:val="both"/>
              <w:rPr>
                <w:b/>
                <w:sz w:val="22"/>
                <w:szCs w:val="22"/>
              </w:rPr>
            </w:pPr>
          </w:p>
          <w:p>
            <w:pPr>
              <w:jc w:val="both"/>
              <w:rPr>
                <w:i/>
                <w:sz w:val="22"/>
                <w:szCs w:val="22"/>
              </w:rPr>
            </w:pPr>
            <w:r>
              <w:rPr>
                <w:b/>
                <w:sz w:val="22"/>
                <w:szCs w:val="22"/>
              </w:rPr>
              <w:t xml:space="preserve">_____________________ </w:t>
            </w:r>
            <w:r>
              <w:rPr>
                <w:i/>
                <w:sz w:val="22"/>
                <w:szCs w:val="22"/>
              </w:rPr>
              <w:t>(Ф.И.О.)</w:t>
            </w:r>
          </w:p>
          <w:p>
            <w:pPr>
              <w:ind w:left="170"/>
              <w:jc w:val="both"/>
              <w:rPr>
                <w:i/>
                <w:sz w:val="22"/>
                <w:szCs w:val="22"/>
              </w:rPr>
            </w:pPr>
            <w:r>
              <w:rPr>
                <w:sz w:val="22"/>
                <w:szCs w:val="22"/>
              </w:rPr>
              <w:t xml:space="preserve">М.П. </w:t>
            </w:r>
          </w:p>
          <w:p>
            <w:pPr>
              <w:jc w:val="both"/>
              <w:rPr>
                <w:snapToGrid w:val="0"/>
                <w:sz w:val="22"/>
                <w:szCs w:val="22"/>
              </w:rPr>
            </w:pPr>
            <w:r>
              <w:rPr>
                <w:sz w:val="22"/>
                <w:szCs w:val="22"/>
              </w:rPr>
              <w:t>«      » _____________ 2022 г.</w:t>
            </w:r>
          </w:p>
        </w:tc>
        <w:tc>
          <w:tcPr>
            <w:tcW w:w="5006" w:type="dxa"/>
          </w:tcPr>
          <w:p>
            <w:pPr>
              <w:rPr>
                <w:i/>
                <w:sz w:val="22"/>
                <w:szCs w:val="22"/>
              </w:rPr>
            </w:pPr>
            <w:r>
              <w:rPr>
                <w:i/>
                <w:sz w:val="22"/>
                <w:szCs w:val="22"/>
              </w:rPr>
              <w:t>«Поставщик»:</w:t>
            </w:r>
          </w:p>
          <w:p>
            <w:pPr>
              <w:tabs>
                <w:tab w:val="left" w:pos="426"/>
              </w:tabs>
              <w:snapToGrid w:val="0"/>
              <w:jc w:val="center"/>
              <w:rPr>
                <w:b/>
                <w:sz w:val="22"/>
                <w:szCs w:val="22"/>
              </w:rPr>
            </w:pPr>
          </w:p>
          <w:p>
            <w:pPr>
              <w:snapToGrid w:val="0"/>
              <w:rPr>
                <w:sz w:val="22"/>
                <w:szCs w:val="22"/>
              </w:rPr>
            </w:pPr>
            <w:r>
              <w:rPr>
                <w:b/>
                <w:sz w:val="22"/>
                <w:szCs w:val="22"/>
              </w:rPr>
              <w:t xml:space="preserve">_________________________ </w:t>
            </w:r>
            <w:r>
              <w:rPr>
                <w:i/>
                <w:sz w:val="22"/>
                <w:szCs w:val="22"/>
              </w:rPr>
              <w:t>(должность</w:t>
            </w:r>
            <w:r>
              <w:rPr>
                <w:sz w:val="22"/>
                <w:szCs w:val="22"/>
              </w:rPr>
              <w:t>)</w:t>
            </w:r>
          </w:p>
          <w:p>
            <w:pPr>
              <w:rPr>
                <w:b/>
                <w:sz w:val="22"/>
                <w:szCs w:val="22"/>
              </w:rPr>
            </w:pPr>
          </w:p>
          <w:p>
            <w:pPr>
              <w:ind w:firstLine="142"/>
              <w:rPr>
                <w:i/>
                <w:sz w:val="22"/>
                <w:szCs w:val="22"/>
              </w:rPr>
            </w:pPr>
            <w:r>
              <w:rPr>
                <w:b/>
                <w:sz w:val="22"/>
                <w:szCs w:val="22"/>
              </w:rPr>
              <w:t xml:space="preserve">____________________ </w:t>
            </w:r>
            <w:r>
              <w:rPr>
                <w:i/>
                <w:sz w:val="22"/>
                <w:szCs w:val="22"/>
              </w:rPr>
              <w:t>(Ф.И.О.)</w:t>
            </w:r>
          </w:p>
          <w:p>
            <w:pPr>
              <w:ind w:firstLine="142"/>
              <w:rPr>
                <w:sz w:val="22"/>
                <w:szCs w:val="22"/>
              </w:rPr>
            </w:pPr>
            <w:r>
              <w:rPr>
                <w:sz w:val="22"/>
                <w:szCs w:val="22"/>
              </w:rPr>
              <w:t xml:space="preserve">М.П. </w:t>
            </w:r>
            <w:r>
              <w:rPr>
                <w:i/>
                <w:sz w:val="22"/>
                <w:szCs w:val="22"/>
              </w:rPr>
              <w:t>(при наличии печати)</w:t>
            </w:r>
          </w:p>
          <w:p>
            <w:pPr>
              <w:jc w:val="both"/>
              <w:rPr>
                <w:snapToGrid w:val="0"/>
                <w:sz w:val="22"/>
                <w:szCs w:val="22"/>
              </w:rPr>
            </w:pPr>
            <w:r>
              <w:rPr>
                <w:sz w:val="22"/>
                <w:szCs w:val="22"/>
              </w:rPr>
              <w:t>«      » _____________ 2022 г.</w:t>
            </w:r>
          </w:p>
        </w:tc>
      </w:tr>
    </w:tbl>
    <w:p>
      <w:pPr>
        <w:rPr>
          <w:sz w:val="22"/>
          <w:szCs w:val="22"/>
        </w:rPr>
      </w:pPr>
    </w:p>
    <w:p>
      <w:pPr>
        <w:tabs>
          <w:tab w:val="left" w:pos="8127"/>
        </w:tabs>
        <w:rPr>
          <w:sz w:val="22"/>
          <w:szCs w:val="22"/>
        </w:rPr>
      </w:pPr>
    </w:p>
    <w:p>
      <w:pPr>
        <w:tabs>
          <w:tab w:val="left" w:pos="567"/>
        </w:tabs>
        <w:rPr>
          <w:sz w:val="22"/>
          <w:szCs w:val="22"/>
        </w:rPr>
      </w:pPr>
    </w:p>
    <w:p>
      <w:pPr>
        <w:tabs>
          <w:tab w:val="left" w:pos="567"/>
        </w:tabs>
        <w:jc w:val="right"/>
        <w:rPr>
          <w:b/>
          <w:sz w:val="22"/>
          <w:szCs w:val="22"/>
        </w:rPr>
      </w:pPr>
      <w:r>
        <w:rPr>
          <w:sz w:val="22"/>
          <w:szCs w:val="22"/>
        </w:rPr>
        <w:br w:type="page"/>
      </w:r>
      <w:bookmarkStart w:id="11" w:name="__RefHeading___Toc341251623"/>
      <w:bookmarkEnd w:id="11"/>
      <w:r>
        <w:rPr>
          <w:b/>
          <w:sz w:val="22"/>
          <w:szCs w:val="22"/>
        </w:rPr>
        <w:t>Приложение №4</w:t>
      </w:r>
    </w:p>
    <w:p>
      <w:pPr>
        <w:tabs>
          <w:tab w:val="left" w:pos="567"/>
        </w:tabs>
        <w:jc w:val="right"/>
        <w:rPr>
          <w:b/>
          <w:sz w:val="22"/>
          <w:szCs w:val="22"/>
        </w:rPr>
      </w:pPr>
      <w:r>
        <w:rPr>
          <w:b/>
          <w:sz w:val="22"/>
          <w:szCs w:val="22"/>
        </w:rPr>
        <w:t>к договору №</w:t>
      </w:r>
      <w:r>
        <w:rPr>
          <w:rFonts w:hint="default"/>
          <w:b/>
          <w:sz w:val="22"/>
          <w:szCs w:val="22"/>
          <w:lang w:val="ru-RU"/>
        </w:rPr>
        <w:t xml:space="preserve">  </w:t>
      </w:r>
      <w:r>
        <w:rPr>
          <w:b/>
          <w:sz w:val="22"/>
          <w:szCs w:val="22"/>
        </w:rPr>
        <w:t>от ___ ______ 2022 г.</w:t>
      </w:r>
    </w:p>
    <w:p>
      <w:pPr>
        <w:tabs>
          <w:tab w:val="left" w:pos="567"/>
        </w:tabs>
        <w:rPr>
          <w:sz w:val="22"/>
          <w:szCs w:val="22"/>
        </w:rPr>
      </w:pPr>
    </w:p>
    <w:p>
      <w:pPr>
        <w:tabs>
          <w:tab w:val="left" w:pos="567"/>
        </w:tabs>
        <w:rPr>
          <w:sz w:val="22"/>
          <w:szCs w:val="22"/>
        </w:rPr>
      </w:pPr>
    </w:p>
    <w:p>
      <w:pPr>
        <w:tabs>
          <w:tab w:val="left" w:pos="567"/>
        </w:tabs>
        <w:rPr>
          <w:sz w:val="22"/>
          <w:szCs w:val="22"/>
        </w:rPr>
      </w:pPr>
    </w:p>
    <w:p>
      <w:pPr>
        <w:tabs>
          <w:tab w:val="left" w:pos="567"/>
        </w:tabs>
        <w:jc w:val="center"/>
        <w:rPr>
          <w:b/>
          <w:sz w:val="22"/>
          <w:szCs w:val="22"/>
        </w:rPr>
      </w:pPr>
      <w:r>
        <w:rPr>
          <w:b/>
          <w:sz w:val="22"/>
          <w:szCs w:val="22"/>
        </w:rPr>
        <w:t>Порядок обмена отчетными документами с использованием УКЭП.</w:t>
      </w:r>
    </w:p>
    <w:p>
      <w:pPr>
        <w:tabs>
          <w:tab w:val="left" w:pos="567"/>
        </w:tabs>
        <w:rPr>
          <w:sz w:val="22"/>
          <w:szCs w:val="22"/>
        </w:rPr>
      </w:pPr>
    </w:p>
    <w:p>
      <w:pPr>
        <w:tabs>
          <w:tab w:val="left" w:pos="567"/>
        </w:tabs>
        <w:rPr>
          <w:sz w:val="22"/>
          <w:szCs w:val="22"/>
        </w:rPr>
      </w:pPr>
    </w:p>
    <w:p>
      <w:pPr>
        <w:tabs>
          <w:tab w:val="left" w:pos="567"/>
        </w:tabs>
        <w:rPr>
          <w:sz w:val="22"/>
          <w:szCs w:val="22"/>
        </w:rPr>
      </w:pPr>
    </w:p>
    <w:p>
      <w:pPr>
        <w:tabs>
          <w:tab w:val="left" w:pos="567"/>
        </w:tabs>
        <w:rPr>
          <w:sz w:val="22"/>
          <w:szCs w:val="22"/>
        </w:rPr>
      </w:pPr>
    </w:p>
    <w:p>
      <w:pPr>
        <w:tabs>
          <w:tab w:val="left" w:pos="567"/>
        </w:tabs>
        <w:rPr>
          <w:sz w:val="22"/>
          <w:szCs w:val="22"/>
        </w:rPr>
      </w:pPr>
    </w:p>
    <w:p>
      <w:pPr>
        <w:tabs>
          <w:tab w:val="left" w:pos="567"/>
        </w:tabs>
        <w:rPr>
          <w:sz w:val="22"/>
          <w:szCs w:val="22"/>
        </w:rPr>
      </w:pPr>
    </w:p>
    <w:p>
      <w:pPr>
        <w:tabs>
          <w:tab w:val="left" w:pos="567"/>
        </w:tabs>
        <w:rPr>
          <w:sz w:val="22"/>
          <w:szCs w:val="22"/>
        </w:rPr>
      </w:pPr>
    </w:p>
    <w:p>
      <w:pPr>
        <w:tabs>
          <w:tab w:val="left" w:pos="567"/>
        </w:tabs>
        <w:rPr>
          <w:sz w:val="22"/>
          <w:szCs w:val="22"/>
        </w:rPr>
      </w:pPr>
    </w:p>
    <w:p>
      <w:pPr>
        <w:tabs>
          <w:tab w:val="left" w:pos="567"/>
        </w:tabs>
        <w:rPr>
          <w:sz w:val="22"/>
          <w:szCs w:val="22"/>
        </w:rPr>
      </w:pPr>
    </w:p>
    <w:p>
      <w:pPr>
        <w:tabs>
          <w:tab w:val="left" w:pos="567"/>
        </w:tabs>
        <w:rPr>
          <w:sz w:val="22"/>
          <w:szCs w:val="22"/>
        </w:rPr>
      </w:pPr>
    </w:p>
    <w:p>
      <w:pPr>
        <w:tabs>
          <w:tab w:val="left" w:pos="567"/>
        </w:tabs>
        <w:rPr>
          <w:sz w:val="22"/>
          <w:szCs w:val="22"/>
        </w:rPr>
      </w:pPr>
    </w:p>
    <w:p>
      <w:pPr>
        <w:tabs>
          <w:tab w:val="left" w:pos="567"/>
        </w:tabs>
        <w:rPr>
          <w:sz w:val="22"/>
          <w:szCs w:val="22"/>
        </w:rPr>
      </w:pPr>
    </w:p>
    <w:p>
      <w:pPr>
        <w:tabs>
          <w:tab w:val="left" w:pos="567"/>
        </w:tabs>
        <w:rPr>
          <w:sz w:val="22"/>
          <w:szCs w:val="22"/>
        </w:rPr>
      </w:pPr>
    </w:p>
    <w:p>
      <w:pPr>
        <w:tabs>
          <w:tab w:val="left" w:pos="567"/>
        </w:tabs>
        <w:rPr>
          <w:sz w:val="22"/>
          <w:szCs w:val="22"/>
        </w:rPr>
      </w:pPr>
    </w:p>
    <w:p>
      <w:pPr>
        <w:tabs>
          <w:tab w:val="left" w:pos="567"/>
        </w:tabs>
        <w:rPr>
          <w:sz w:val="22"/>
          <w:szCs w:val="22"/>
        </w:rPr>
      </w:pPr>
    </w:p>
    <w:p>
      <w:pPr>
        <w:tabs>
          <w:tab w:val="left" w:pos="567"/>
        </w:tabs>
        <w:rPr>
          <w:sz w:val="22"/>
          <w:szCs w:val="22"/>
        </w:rPr>
      </w:pPr>
    </w:p>
    <w:p>
      <w:pPr>
        <w:tabs>
          <w:tab w:val="left" w:pos="567"/>
        </w:tabs>
        <w:rPr>
          <w:sz w:val="22"/>
          <w:szCs w:val="22"/>
        </w:rPr>
      </w:pPr>
    </w:p>
    <w:p>
      <w:pPr>
        <w:tabs>
          <w:tab w:val="left" w:pos="567"/>
        </w:tabs>
        <w:rPr>
          <w:sz w:val="22"/>
          <w:szCs w:val="22"/>
        </w:rPr>
      </w:pPr>
    </w:p>
    <w:p>
      <w:pPr>
        <w:tabs>
          <w:tab w:val="left" w:pos="567"/>
        </w:tabs>
        <w:rPr>
          <w:sz w:val="22"/>
          <w:szCs w:val="22"/>
        </w:rPr>
      </w:pPr>
    </w:p>
    <w:p>
      <w:pPr>
        <w:tabs>
          <w:tab w:val="left" w:pos="567"/>
        </w:tabs>
        <w:rPr>
          <w:sz w:val="22"/>
          <w:szCs w:val="22"/>
        </w:rPr>
      </w:pPr>
    </w:p>
    <w:p>
      <w:pPr>
        <w:tabs>
          <w:tab w:val="left" w:pos="567"/>
        </w:tabs>
        <w:rPr>
          <w:sz w:val="22"/>
          <w:szCs w:val="22"/>
        </w:rPr>
      </w:pPr>
    </w:p>
    <w:p>
      <w:pPr>
        <w:tabs>
          <w:tab w:val="left" w:pos="567"/>
        </w:tabs>
        <w:rPr>
          <w:sz w:val="22"/>
          <w:szCs w:val="22"/>
        </w:rPr>
      </w:pPr>
    </w:p>
    <w:p>
      <w:pPr>
        <w:tabs>
          <w:tab w:val="left" w:pos="567"/>
        </w:tabs>
        <w:rPr>
          <w:sz w:val="22"/>
          <w:szCs w:val="22"/>
        </w:rPr>
      </w:pPr>
    </w:p>
    <w:p>
      <w:pPr>
        <w:tabs>
          <w:tab w:val="left" w:pos="567"/>
        </w:tabs>
        <w:rPr>
          <w:sz w:val="22"/>
          <w:szCs w:val="22"/>
        </w:rPr>
      </w:pPr>
    </w:p>
    <w:p>
      <w:pPr>
        <w:tabs>
          <w:tab w:val="left" w:pos="567"/>
        </w:tabs>
        <w:rPr>
          <w:sz w:val="22"/>
          <w:szCs w:val="22"/>
        </w:rPr>
      </w:pPr>
    </w:p>
    <w:p>
      <w:pPr>
        <w:tabs>
          <w:tab w:val="left" w:pos="567"/>
        </w:tabs>
        <w:rPr>
          <w:sz w:val="22"/>
          <w:szCs w:val="22"/>
        </w:rPr>
      </w:pPr>
    </w:p>
    <w:p>
      <w:pPr>
        <w:tabs>
          <w:tab w:val="left" w:pos="567"/>
        </w:tabs>
        <w:rPr>
          <w:sz w:val="22"/>
          <w:szCs w:val="22"/>
        </w:rPr>
      </w:pPr>
    </w:p>
    <w:p>
      <w:pPr>
        <w:tabs>
          <w:tab w:val="left" w:pos="567"/>
        </w:tabs>
        <w:rPr>
          <w:sz w:val="22"/>
          <w:szCs w:val="22"/>
        </w:rPr>
      </w:pPr>
    </w:p>
    <w:p>
      <w:pPr>
        <w:tabs>
          <w:tab w:val="left" w:pos="567"/>
        </w:tabs>
        <w:rPr>
          <w:sz w:val="22"/>
          <w:szCs w:val="22"/>
        </w:rPr>
      </w:pPr>
    </w:p>
    <w:p>
      <w:pPr>
        <w:tabs>
          <w:tab w:val="left" w:pos="567"/>
        </w:tabs>
        <w:rPr>
          <w:sz w:val="22"/>
          <w:szCs w:val="22"/>
        </w:rPr>
      </w:pPr>
    </w:p>
    <w:p>
      <w:pPr>
        <w:tabs>
          <w:tab w:val="left" w:pos="567"/>
        </w:tabs>
        <w:rPr>
          <w:sz w:val="22"/>
          <w:szCs w:val="22"/>
        </w:rPr>
      </w:pPr>
    </w:p>
    <w:p>
      <w:pPr>
        <w:tabs>
          <w:tab w:val="left" w:pos="567"/>
        </w:tabs>
        <w:rPr>
          <w:sz w:val="22"/>
          <w:szCs w:val="22"/>
        </w:rPr>
      </w:pPr>
    </w:p>
    <w:p>
      <w:pPr>
        <w:tabs>
          <w:tab w:val="left" w:pos="567"/>
        </w:tabs>
        <w:rPr>
          <w:sz w:val="22"/>
          <w:szCs w:val="22"/>
        </w:rPr>
      </w:pPr>
    </w:p>
    <w:p>
      <w:pPr>
        <w:tabs>
          <w:tab w:val="left" w:pos="567"/>
        </w:tabs>
        <w:rPr>
          <w:sz w:val="22"/>
          <w:szCs w:val="22"/>
        </w:rPr>
      </w:pPr>
    </w:p>
    <w:p>
      <w:pPr>
        <w:tabs>
          <w:tab w:val="left" w:pos="567"/>
        </w:tabs>
        <w:rPr>
          <w:sz w:val="22"/>
          <w:szCs w:val="22"/>
        </w:rPr>
      </w:pPr>
    </w:p>
    <w:p>
      <w:pPr>
        <w:tabs>
          <w:tab w:val="left" w:pos="567"/>
        </w:tabs>
        <w:rPr>
          <w:sz w:val="22"/>
          <w:szCs w:val="22"/>
        </w:rPr>
      </w:pPr>
    </w:p>
    <w:p>
      <w:pPr>
        <w:tabs>
          <w:tab w:val="left" w:pos="567"/>
        </w:tabs>
        <w:rPr>
          <w:sz w:val="22"/>
          <w:szCs w:val="22"/>
        </w:rPr>
      </w:pPr>
    </w:p>
    <w:p>
      <w:pPr>
        <w:tabs>
          <w:tab w:val="left" w:pos="567"/>
        </w:tabs>
        <w:rPr>
          <w:sz w:val="22"/>
          <w:szCs w:val="22"/>
        </w:rPr>
      </w:pPr>
    </w:p>
    <w:p>
      <w:pPr>
        <w:tabs>
          <w:tab w:val="left" w:pos="567"/>
        </w:tabs>
        <w:rPr>
          <w:sz w:val="22"/>
          <w:szCs w:val="22"/>
        </w:rPr>
      </w:pPr>
    </w:p>
    <w:p>
      <w:pPr>
        <w:tabs>
          <w:tab w:val="left" w:pos="567"/>
        </w:tabs>
        <w:rPr>
          <w:sz w:val="22"/>
          <w:szCs w:val="22"/>
        </w:rPr>
      </w:pPr>
    </w:p>
    <w:p>
      <w:pPr>
        <w:tabs>
          <w:tab w:val="left" w:pos="567"/>
        </w:tabs>
        <w:rPr>
          <w:sz w:val="22"/>
          <w:szCs w:val="22"/>
        </w:rPr>
      </w:pPr>
    </w:p>
    <w:p>
      <w:pPr>
        <w:tabs>
          <w:tab w:val="left" w:pos="567"/>
        </w:tabs>
        <w:rPr>
          <w:sz w:val="22"/>
          <w:szCs w:val="22"/>
        </w:rPr>
      </w:pPr>
    </w:p>
    <w:p>
      <w:pPr>
        <w:tabs>
          <w:tab w:val="left" w:pos="567"/>
        </w:tabs>
        <w:rPr>
          <w:sz w:val="22"/>
          <w:szCs w:val="22"/>
        </w:rPr>
      </w:pPr>
    </w:p>
    <w:p>
      <w:pPr>
        <w:tabs>
          <w:tab w:val="left" w:pos="567"/>
        </w:tabs>
        <w:rPr>
          <w:sz w:val="22"/>
          <w:szCs w:val="22"/>
        </w:rPr>
      </w:pPr>
    </w:p>
    <w:p>
      <w:pPr>
        <w:tabs>
          <w:tab w:val="left" w:pos="567"/>
        </w:tabs>
        <w:rPr>
          <w:sz w:val="22"/>
          <w:szCs w:val="22"/>
        </w:rPr>
      </w:pPr>
    </w:p>
    <w:p>
      <w:pPr>
        <w:tabs>
          <w:tab w:val="left" w:pos="567"/>
        </w:tabs>
        <w:rPr>
          <w:sz w:val="22"/>
          <w:szCs w:val="22"/>
        </w:rPr>
      </w:pPr>
    </w:p>
    <w:p>
      <w:pPr>
        <w:tabs>
          <w:tab w:val="left" w:pos="567"/>
        </w:tabs>
        <w:rPr>
          <w:sz w:val="22"/>
          <w:szCs w:val="22"/>
        </w:rPr>
      </w:pPr>
    </w:p>
    <w:p>
      <w:pPr>
        <w:tabs>
          <w:tab w:val="left" w:pos="567"/>
        </w:tabs>
        <w:rPr>
          <w:sz w:val="22"/>
          <w:szCs w:val="22"/>
        </w:rPr>
      </w:pPr>
    </w:p>
    <w:p>
      <w:pPr>
        <w:tabs>
          <w:tab w:val="left" w:pos="567"/>
        </w:tabs>
        <w:rPr>
          <w:sz w:val="22"/>
          <w:szCs w:val="22"/>
        </w:rPr>
      </w:pPr>
    </w:p>
    <w:p>
      <w:pPr>
        <w:tabs>
          <w:tab w:val="left" w:pos="567"/>
        </w:tabs>
        <w:rPr>
          <w:sz w:val="22"/>
          <w:szCs w:val="22"/>
        </w:rPr>
      </w:pPr>
    </w:p>
    <w:p>
      <w:pPr>
        <w:tabs>
          <w:tab w:val="left" w:pos="567"/>
        </w:tabs>
        <w:rPr>
          <w:sz w:val="22"/>
          <w:szCs w:val="22"/>
        </w:rPr>
      </w:pPr>
    </w:p>
    <w:p>
      <w:pPr>
        <w:tabs>
          <w:tab w:val="left" w:pos="567"/>
        </w:tabs>
        <w:rPr>
          <w:sz w:val="22"/>
          <w:szCs w:val="22"/>
        </w:rPr>
      </w:pPr>
    </w:p>
    <w:p>
      <w:pPr>
        <w:tabs>
          <w:tab w:val="left" w:pos="567"/>
        </w:tabs>
        <w:rPr>
          <w:b/>
          <w:kern w:val="1"/>
          <w:sz w:val="22"/>
          <w:szCs w:val="22"/>
        </w:rPr>
      </w:pPr>
      <w:r>
        <w:rPr>
          <w:b/>
          <w:sz w:val="22"/>
          <w:szCs w:val="22"/>
        </w:rPr>
        <w:t>5</w:t>
      </w:r>
      <w:r>
        <w:rPr>
          <w:b/>
          <w:bCs/>
          <w:kern w:val="1"/>
          <w:sz w:val="22"/>
          <w:szCs w:val="22"/>
        </w:rPr>
        <w:t>. РЕКОМЕНДУЕМЫЕ</w:t>
      </w:r>
      <w:r>
        <w:rPr>
          <w:b/>
          <w:kern w:val="1"/>
          <w:sz w:val="22"/>
          <w:szCs w:val="22"/>
        </w:rPr>
        <w:t xml:space="preserve"> ОБРАЗЦЫ ФОРМ И ДОКУМЕНТОВ ДЛЯ ЗАПОЛНЕНИЯ </w:t>
      </w:r>
    </w:p>
    <w:p>
      <w:pPr>
        <w:tabs>
          <w:tab w:val="left" w:pos="567"/>
        </w:tabs>
        <w:rPr>
          <w:b/>
          <w:bCs/>
          <w:kern w:val="1"/>
          <w:sz w:val="22"/>
          <w:szCs w:val="22"/>
        </w:rPr>
      </w:pPr>
      <w:r>
        <w:rPr>
          <w:b/>
          <w:kern w:val="1"/>
          <w:sz w:val="22"/>
          <w:szCs w:val="22"/>
        </w:rPr>
        <w:t>УЧАСТНИКАМИ ЗАКУПКИ</w:t>
      </w:r>
    </w:p>
    <w:p>
      <w:pPr>
        <w:pStyle w:val="358"/>
        <w:spacing w:after="0"/>
        <w:ind w:firstLine="709"/>
        <w:jc w:val="center"/>
        <w:rPr>
          <w:b/>
          <w:bCs/>
          <w:kern w:val="1"/>
          <w:sz w:val="22"/>
          <w:szCs w:val="22"/>
        </w:rPr>
      </w:pPr>
      <w:bookmarkStart w:id="12" w:name="_%2525D0%2525A0%2525D0%252590%2525D0%252"/>
      <w:bookmarkEnd w:id="12"/>
    </w:p>
    <w:p>
      <w:pPr>
        <w:pStyle w:val="383"/>
        <w:spacing w:after="0"/>
        <w:jc w:val="center"/>
        <w:rPr>
          <w:b/>
          <w:bCs/>
          <w:sz w:val="22"/>
          <w:szCs w:val="22"/>
        </w:rPr>
      </w:pPr>
      <w:r>
        <w:rPr>
          <w:sz w:val="22"/>
          <w:szCs w:val="22"/>
        </w:rPr>
        <w:t xml:space="preserve">ФОРМА 1. ПЕРВАЯ ЧАСТЬ ЗАЯВКИ НА УЧАСТИЕ В </w:t>
      </w:r>
      <w:r>
        <w:rPr>
          <w:iCs/>
          <w:sz w:val="22"/>
          <w:szCs w:val="22"/>
        </w:rPr>
        <w:t>АУКЦИОНЕ</w:t>
      </w:r>
      <w:r>
        <w:rPr>
          <w:sz w:val="22"/>
          <w:szCs w:val="22"/>
        </w:rPr>
        <w:t xml:space="preserve"> В ЭЛЕКТРОННОЙ ФОРМЕ</w:t>
      </w:r>
    </w:p>
    <w:p>
      <w:pPr>
        <w:ind w:left="5579"/>
        <w:rPr>
          <w:b/>
          <w:bCs/>
          <w:sz w:val="22"/>
          <w:szCs w:val="22"/>
        </w:rPr>
      </w:pPr>
    </w:p>
    <w:p>
      <w:pPr>
        <w:jc w:val="right"/>
        <w:rPr>
          <w:bCs/>
          <w:sz w:val="22"/>
          <w:szCs w:val="22"/>
        </w:rPr>
      </w:pPr>
      <w:r>
        <w:rPr>
          <w:b/>
          <w:bCs/>
          <w:sz w:val="22"/>
          <w:szCs w:val="22"/>
        </w:rPr>
        <w:t>Заказчику:</w:t>
      </w:r>
    </w:p>
    <w:p>
      <w:pPr>
        <w:pStyle w:val="383"/>
        <w:spacing w:after="0"/>
        <w:jc w:val="right"/>
        <w:rPr>
          <w:b/>
          <w:iCs/>
          <w:sz w:val="22"/>
          <w:szCs w:val="22"/>
        </w:rPr>
      </w:pPr>
      <w:r>
        <w:rPr>
          <w:bCs/>
          <w:sz w:val="22"/>
          <w:szCs w:val="22"/>
        </w:rPr>
        <w:t>ГУП РК «Карелавтотранс-Сервис»</w:t>
      </w:r>
    </w:p>
    <w:p>
      <w:pPr>
        <w:pStyle w:val="383"/>
        <w:spacing w:after="0"/>
        <w:jc w:val="right"/>
        <w:rPr>
          <w:b/>
          <w:iCs/>
          <w:sz w:val="22"/>
          <w:szCs w:val="22"/>
        </w:rPr>
      </w:pPr>
    </w:p>
    <w:p>
      <w:pPr>
        <w:jc w:val="both"/>
        <w:rPr>
          <w:color w:val="000000"/>
          <w:sz w:val="22"/>
          <w:szCs w:val="22"/>
        </w:rPr>
      </w:pPr>
      <w:r>
        <w:rPr>
          <w:color w:val="000000"/>
          <w:sz w:val="22"/>
          <w:szCs w:val="22"/>
        </w:rPr>
        <w:t>Настоящим согласны поставить товары в соответствии с требованиями документации об аукционе, в том числе проекта договора и Технического задания и характеристикам, указанным ниже:</w:t>
      </w:r>
    </w:p>
    <w:p>
      <w:pPr>
        <w:jc w:val="both"/>
        <w:rPr>
          <w:color w:val="000000"/>
          <w:sz w:val="22"/>
          <w:szCs w:val="22"/>
        </w:rPr>
      </w:pPr>
    </w:p>
    <w:tbl>
      <w:tblPr>
        <w:tblStyle w:val="12"/>
        <w:tblW w:w="10027" w:type="dxa"/>
        <w:tblInd w:w="108" w:type="dxa"/>
        <w:tblLayout w:type="fixed"/>
        <w:tblCellMar>
          <w:top w:w="0" w:type="dxa"/>
          <w:left w:w="108" w:type="dxa"/>
          <w:bottom w:w="0" w:type="dxa"/>
          <w:right w:w="108" w:type="dxa"/>
        </w:tblCellMar>
      </w:tblPr>
      <w:tblGrid>
        <w:gridCol w:w="709"/>
        <w:gridCol w:w="1722"/>
        <w:gridCol w:w="2734"/>
        <w:gridCol w:w="1498"/>
        <w:gridCol w:w="1417"/>
        <w:gridCol w:w="1947"/>
      </w:tblGrid>
      <w:tr>
        <w:tblPrEx>
          <w:tblCellMar>
            <w:top w:w="0" w:type="dxa"/>
            <w:left w:w="108" w:type="dxa"/>
            <w:bottom w:w="0" w:type="dxa"/>
            <w:right w:w="108" w:type="dxa"/>
          </w:tblCellMar>
        </w:tblPrEx>
        <w:trPr>
          <w:trHeight w:val="471" w:hRule="atLeast"/>
        </w:trPr>
        <w:tc>
          <w:tcPr>
            <w:tcW w:w="709" w:type="dxa"/>
            <w:tcBorders>
              <w:top w:val="single" w:color="000000" w:sz="4" w:space="0"/>
              <w:left w:val="single" w:color="000000" w:sz="4" w:space="0"/>
              <w:bottom w:val="single" w:color="000000" w:sz="4" w:space="0"/>
            </w:tcBorders>
            <w:vAlign w:val="center"/>
          </w:tcPr>
          <w:p>
            <w:pPr>
              <w:widowControl w:val="0"/>
              <w:snapToGrid w:val="0"/>
              <w:jc w:val="center"/>
              <w:rPr>
                <w:b/>
                <w:bCs/>
                <w:kern w:val="1"/>
                <w:sz w:val="22"/>
                <w:szCs w:val="22"/>
              </w:rPr>
            </w:pPr>
            <w:r>
              <w:rPr>
                <w:b/>
                <w:bCs/>
                <w:kern w:val="1"/>
                <w:sz w:val="22"/>
                <w:szCs w:val="22"/>
              </w:rPr>
              <w:t>№</w:t>
            </w:r>
          </w:p>
          <w:p>
            <w:pPr>
              <w:widowControl w:val="0"/>
              <w:snapToGrid w:val="0"/>
              <w:jc w:val="center"/>
              <w:rPr>
                <w:b/>
                <w:bCs/>
                <w:kern w:val="1"/>
                <w:sz w:val="22"/>
                <w:szCs w:val="22"/>
              </w:rPr>
            </w:pPr>
            <w:r>
              <w:rPr>
                <w:b/>
                <w:bCs/>
                <w:kern w:val="1"/>
                <w:sz w:val="22"/>
                <w:szCs w:val="22"/>
              </w:rPr>
              <w:t>п/п</w:t>
            </w:r>
          </w:p>
        </w:tc>
        <w:tc>
          <w:tcPr>
            <w:tcW w:w="1722" w:type="dxa"/>
            <w:tcBorders>
              <w:top w:val="single" w:color="000000" w:sz="4" w:space="0"/>
              <w:left w:val="single" w:color="auto" w:sz="4" w:space="0"/>
              <w:bottom w:val="single" w:color="000000" w:sz="4" w:space="0"/>
            </w:tcBorders>
            <w:vAlign w:val="center"/>
          </w:tcPr>
          <w:p>
            <w:pPr>
              <w:widowControl w:val="0"/>
              <w:snapToGrid w:val="0"/>
              <w:jc w:val="center"/>
              <w:rPr>
                <w:b/>
                <w:bCs/>
                <w:kern w:val="1"/>
                <w:sz w:val="22"/>
                <w:szCs w:val="22"/>
              </w:rPr>
            </w:pPr>
            <w:r>
              <w:rPr>
                <w:b/>
                <w:bCs/>
                <w:kern w:val="1"/>
                <w:sz w:val="22"/>
                <w:szCs w:val="22"/>
              </w:rPr>
              <w:t>Наименование товара*</w:t>
            </w:r>
          </w:p>
        </w:tc>
        <w:tc>
          <w:tcPr>
            <w:tcW w:w="2734" w:type="dxa"/>
            <w:tcBorders>
              <w:top w:val="single" w:color="000000" w:sz="4" w:space="0"/>
              <w:left w:val="single" w:color="000000" w:sz="4" w:space="0"/>
              <w:right w:val="single" w:color="auto" w:sz="4" w:space="0"/>
            </w:tcBorders>
            <w:vAlign w:val="center"/>
          </w:tcPr>
          <w:p>
            <w:pPr>
              <w:widowControl w:val="0"/>
              <w:snapToGrid w:val="0"/>
              <w:jc w:val="center"/>
              <w:rPr>
                <w:b/>
                <w:bCs/>
                <w:kern w:val="1"/>
                <w:sz w:val="22"/>
                <w:szCs w:val="22"/>
              </w:rPr>
            </w:pPr>
            <w:r>
              <w:rPr>
                <w:b/>
                <w:sz w:val="22"/>
                <w:szCs w:val="22"/>
              </w:rPr>
              <w:t>Характеристики (показатели), предлагаемые Поставщиком**</w:t>
            </w:r>
          </w:p>
        </w:tc>
        <w:tc>
          <w:tcPr>
            <w:tcW w:w="1498" w:type="dxa"/>
            <w:tcBorders>
              <w:top w:val="single" w:color="000000" w:sz="4" w:space="0"/>
              <w:left w:val="single" w:color="auto" w:sz="4" w:space="0"/>
              <w:right w:val="single" w:color="000000" w:sz="4" w:space="0"/>
            </w:tcBorders>
            <w:vAlign w:val="center"/>
          </w:tcPr>
          <w:p>
            <w:pPr>
              <w:widowControl w:val="0"/>
              <w:snapToGrid w:val="0"/>
              <w:jc w:val="center"/>
              <w:rPr>
                <w:b/>
                <w:bCs/>
                <w:kern w:val="1"/>
                <w:sz w:val="22"/>
                <w:szCs w:val="22"/>
              </w:rPr>
            </w:pPr>
            <w:r>
              <w:rPr>
                <w:b/>
                <w:bCs/>
                <w:kern w:val="1"/>
                <w:sz w:val="22"/>
                <w:szCs w:val="22"/>
              </w:rPr>
              <w:t>Единица измерения</w:t>
            </w:r>
          </w:p>
        </w:tc>
        <w:tc>
          <w:tcPr>
            <w:tcW w:w="1417" w:type="dxa"/>
            <w:tcBorders>
              <w:top w:val="single" w:color="000000" w:sz="4" w:space="0"/>
              <w:left w:val="single" w:color="000000" w:sz="4" w:space="0"/>
              <w:right w:val="single" w:color="000000" w:sz="4" w:space="0"/>
            </w:tcBorders>
            <w:vAlign w:val="center"/>
          </w:tcPr>
          <w:p>
            <w:pPr>
              <w:widowControl w:val="0"/>
              <w:snapToGrid w:val="0"/>
              <w:jc w:val="center"/>
              <w:rPr>
                <w:b/>
                <w:bCs/>
                <w:kern w:val="1"/>
                <w:sz w:val="22"/>
                <w:szCs w:val="22"/>
              </w:rPr>
            </w:pPr>
            <w:r>
              <w:rPr>
                <w:b/>
                <w:bCs/>
                <w:kern w:val="1"/>
                <w:sz w:val="22"/>
                <w:szCs w:val="22"/>
              </w:rPr>
              <w:t>Количество</w:t>
            </w:r>
          </w:p>
        </w:tc>
        <w:tc>
          <w:tcPr>
            <w:tcW w:w="1947" w:type="dxa"/>
            <w:tcBorders>
              <w:top w:val="single" w:color="000000" w:sz="4" w:space="0"/>
              <w:left w:val="single" w:color="000000" w:sz="4" w:space="0"/>
              <w:right w:val="single" w:color="000000" w:sz="4" w:space="0"/>
            </w:tcBorders>
            <w:vAlign w:val="center"/>
          </w:tcPr>
          <w:p>
            <w:pPr>
              <w:widowControl w:val="0"/>
              <w:snapToGrid w:val="0"/>
              <w:jc w:val="center"/>
              <w:rPr>
                <w:b/>
                <w:bCs/>
                <w:kern w:val="1"/>
                <w:sz w:val="22"/>
                <w:szCs w:val="22"/>
              </w:rPr>
            </w:pPr>
            <w:r>
              <w:rPr>
                <w:b/>
                <w:color w:val="000000"/>
                <w:sz w:val="22"/>
                <w:szCs w:val="22"/>
              </w:rPr>
              <w:t>Страна происхождения товара</w:t>
            </w:r>
          </w:p>
        </w:tc>
      </w:tr>
      <w:tr>
        <w:tblPrEx>
          <w:tblCellMar>
            <w:top w:w="0" w:type="dxa"/>
            <w:left w:w="108" w:type="dxa"/>
            <w:bottom w:w="0" w:type="dxa"/>
            <w:right w:w="108" w:type="dxa"/>
          </w:tblCellMar>
        </w:tblPrEx>
        <w:trPr>
          <w:trHeight w:val="429" w:hRule="atLeast"/>
        </w:trPr>
        <w:tc>
          <w:tcPr>
            <w:tcW w:w="709" w:type="dxa"/>
            <w:tcBorders>
              <w:top w:val="single" w:color="000000" w:sz="4" w:space="0"/>
              <w:left w:val="single" w:color="000000" w:sz="4" w:space="0"/>
              <w:bottom w:val="single" w:color="000000" w:sz="4" w:space="0"/>
            </w:tcBorders>
            <w:vAlign w:val="center"/>
          </w:tcPr>
          <w:p>
            <w:pPr>
              <w:snapToGrid w:val="0"/>
              <w:jc w:val="center"/>
              <w:rPr>
                <w:b/>
                <w:sz w:val="22"/>
                <w:szCs w:val="22"/>
              </w:rPr>
            </w:pPr>
            <w:r>
              <w:rPr>
                <w:b/>
                <w:sz w:val="22"/>
                <w:szCs w:val="22"/>
              </w:rPr>
              <w:t>1</w:t>
            </w:r>
          </w:p>
        </w:tc>
        <w:tc>
          <w:tcPr>
            <w:tcW w:w="1722" w:type="dxa"/>
            <w:tcBorders>
              <w:top w:val="single" w:color="000000" w:sz="4" w:space="0"/>
              <w:left w:val="single" w:color="auto" w:sz="4" w:space="0"/>
              <w:bottom w:val="single" w:color="000000" w:sz="4" w:space="0"/>
            </w:tcBorders>
            <w:vAlign w:val="center"/>
          </w:tcPr>
          <w:p>
            <w:pPr>
              <w:snapToGrid w:val="0"/>
              <w:jc w:val="center"/>
              <w:rPr>
                <w:b/>
                <w:i/>
                <w:sz w:val="22"/>
                <w:szCs w:val="22"/>
              </w:rPr>
            </w:pPr>
            <w:r>
              <w:rPr>
                <w:b/>
                <w:i/>
                <w:sz w:val="22"/>
                <w:szCs w:val="22"/>
              </w:rPr>
              <w:t>(указать)</w:t>
            </w:r>
          </w:p>
        </w:tc>
        <w:tc>
          <w:tcPr>
            <w:tcW w:w="2734" w:type="dxa"/>
            <w:tcBorders>
              <w:top w:val="single" w:color="000000" w:sz="4" w:space="0"/>
              <w:left w:val="single" w:color="000000" w:sz="4" w:space="0"/>
              <w:bottom w:val="single" w:color="000000" w:sz="4" w:space="0"/>
              <w:right w:val="single" w:color="auto" w:sz="4" w:space="0"/>
            </w:tcBorders>
            <w:vAlign w:val="center"/>
          </w:tcPr>
          <w:p>
            <w:pPr>
              <w:snapToGrid w:val="0"/>
              <w:jc w:val="center"/>
              <w:rPr>
                <w:sz w:val="22"/>
                <w:szCs w:val="22"/>
              </w:rPr>
            </w:pPr>
            <w:r>
              <w:rPr>
                <w:b/>
                <w:i/>
                <w:sz w:val="22"/>
                <w:szCs w:val="22"/>
              </w:rPr>
              <w:t>(указать)</w:t>
            </w:r>
          </w:p>
        </w:tc>
        <w:tc>
          <w:tcPr>
            <w:tcW w:w="1498" w:type="dxa"/>
            <w:tcBorders>
              <w:top w:val="single" w:color="000000" w:sz="4" w:space="0"/>
              <w:left w:val="single" w:color="auto" w:sz="4" w:space="0"/>
              <w:bottom w:val="single" w:color="000000" w:sz="4" w:space="0"/>
              <w:right w:val="single" w:color="000000" w:sz="4" w:space="0"/>
            </w:tcBorders>
            <w:vAlign w:val="center"/>
          </w:tcPr>
          <w:p>
            <w:pPr>
              <w:snapToGrid w:val="0"/>
              <w:jc w:val="center"/>
              <w:rPr>
                <w:sz w:val="22"/>
                <w:szCs w:val="22"/>
              </w:rPr>
            </w:pPr>
            <w:r>
              <w:rPr>
                <w:b/>
                <w:i/>
                <w:sz w:val="22"/>
                <w:szCs w:val="22"/>
              </w:rPr>
              <w:t>(указать)</w:t>
            </w:r>
          </w:p>
        </w:tc>
        <w:tc>
          <w:tcPr>
            <w:tcW w:w="1417"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 w:val="22"/>
                <w:szCs w:val="22"/>
              </w:rPr>
            </w:pPr>
            <w:r>
              <w:rPr>
                <w:b/>
                <w:i/>
                <w:sz w:val="22"/>
                <w:szCs w:val="22"/>
              </w:rPr>
              <w:t>(указать)</w:t>
            </w:r>
          </w:p>
        </w:tc>
        <w:tc>
          <w:tcPr>
            <w:tcW w:w="1947"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 w:val="22"/>
                <w:szCs w:val="22"/>
              </w:rPr>
            </w:pPr>
            <w:r>
              <w:rPr>
                <w:b/>
                <w:i/>
                <w:sz w:val="22"/>
                <w:szCs w:val="22"/>
              </w:rPr>
              <w:t>(указать)</w:t>
            </w:r>
          </w:p>
        </w:tc>
      </w:tr>
    </w:tbl>
    <w:p>
      <w:pPr>
        <w:jc w:val="both"/>
        <w:rPr>
          <w:sz w:val="22"/>
          <w:szCs w:val="22"/>
        </w:rPr>
      </w:pPr>
    </w:p>
    <w:p>
      <w:pPr>
        <w:jc w:val="both"/>
        <w:rPr>
          <w:sz w:val="22"/>
          <w:szCs w:val="22"/>
        </w:rPr>
      </w:pPr>
      <w:r>
        <w:rPr>
          <w:sz w:val="22"/>
          <w:szCs w:val="22"/>
        </w:rPr>
        <w:t>* - для каждой позиции предлагаемого к поставке товара необходимо указать товарный знак в случае его наличия.</w:t>
      </w:r>
    </w:p>
    <w:p>
      <w:pPr>
        <w:jc w:val="both"/>
        <w:rPr>
          <w:b/>
          <w:sz w:val="22"/>
          <w:szCs w:val="22"/>
        </w:rPr>
      </w:pPr>
      <w:r>
        <w:rPr>
          <w:sz w:val="22"/>
          <w:szCs w:val="22"/>
        </w:rPr>
        <w:t xml:space="preserve">** - </w:t>
      </w:r>
      <w:r>
        <w:rPr>
          <w:b/>
          <w:sz w:val="22"/>
          <w:szCs w:val="22"/>
        </w:rPr>
        <w:t>при предоставлении сведений о значениях конкретных показателей товаров необходимо указывать точные значения таких показателей. В первой части заявки не допускается указание неконкретных значений для конкретных показателей товаров, предлагаемых для поставки, в части значения конкретных показателей товаров, предлагаемых для поставки, не допускается содержание слов «должен», «должно», «должна», «должны», «или», «не более», «не менее», «или эквивалент», «не ранее», «от», «до», «не хуже», «–», «либо». На значения показателей, неконкретных по своей сущности, указанные выше требования не распространяются.</w:t>
      </w:r>
    </w:p>
    <w:p>
      <w:pPr>
        <w:jc w:val="center"/>
        <w:rPr>
          <w:sz w:val="22"/>
          <w:szCs w:val="22"/>
        </w:rPr>
      </w:pPr>
    </w:p>
    <w:p>
      <w:pPr>
        <w:pageBreakBefore/>
        <w:jc w:val="center"/>
        <w:rPr>
          <w:b/>
          <w:sz w:val="22"/>
          <w:szCs w:val="22"/>
        </w:rPr>
      </w:pPr>
      <w:r>
        <w:rPr>
          <w:sz w:val="22"/>
          <w:szCs w:val="22"/>
        </w:rPr>
        <w:t xml:space="preserve">ФОРМА 2. ВТОРАЯ ЧАСТЬ ЗАЯВКИ НА УЧАСТИЕ В </w:t>
      </w:r>
      <w:r>
        <w:rPr>
          <w:iCs/>
          <w:sz w:val="22"/>
          <w:szCs w:val="22"/>
        </w:rPr>
        <w:t>АУКЦИОНЕ</w:t>
      </w:r>
      <w:r>
        <w:rPr>
          <w:sz w:val="22"/>
          <w:szCs w:val="22"/>
        </w:rPr>
        <w:t xml:space="preserve"> В ЭЛЕКТРОННОЙ ФОРМЕ</w:t>
      </w:r>
    </w:p>
    <w:p>
      <w:pPr>
        <w:rPr>
          <w:b/>
          <w:sz w:val="22"/>
          <w:szCs w:val="22"/>
        </w:rPr>
      </w:pPr>
    </w:p>
    <w:p>
      <w:pPr>
        <w:pStyle w:val="383"/>
        <w:spacing w:after="0"/>
        <w:jc w:val="right"/>
        <w:rPr>
          <w:b/>
          <w:iCs/>
          <w:sz w:val="22"/>
          <w:szCs w:val="22"/>
        </w:rPr>
      </w:pPr>
      <w:r>
        <w:rPr>
          <w:b/>
          <w:bCs/>
          <w:sz w:val="22"/>
          <w:szCs w:val="22"/>
        </w:rPr>
        <w:t xml:space="preserve">Заказчику: </w:t>
      </w:r>
      <w:r>
        <w:rPr>
          <w:bCs/>
          <w:sz w:val="22"/>
          <w:szCs w:val="22"/>
        </w:rPr>
        <w:t>ГУП РК «Карелавтотранс-Сервис»</w:t>
      </w:r>
    </w:p>
    <w:p>
      <w:pPr>
        <w:jc w:val="right"/>
        <w:rPr>
          <w:b/>
          <w:sz w:val="22"/>
          <w:szCs w:val="22"/>
        </w:rPr>
      </w:pPr>
    </w:p>
    <w:p>
      <w:pPr>
        <w:ind w:left="5579"/>
        <w:rPr>
          <w:b/>
          <w:sz w:val="22"/>
          <w:szCs w:val="22"/>
        </w:rPr>
      </w:pPr>
    </w:p>
    <w:p>
      <w:pPr>
        <w:pStyle w:val="380"/>
        <w:tabs>
          <w:tab w:val="left" w:pos="567"/>
        </w:tabs>
        <w:spacing w:after="0"/>
        <w:jc w:val="both"/>
        <w:rPr>
          <w:bCs/>
          <w:sz w:val="22"/>
          <w:szCs w:val="22"/>
        </w:rPr>
      </w:pPr>
      <w:r>
        <w:rPr>
          <w:bCs/>
          <w:iCs/>
          <w:sz w:val="22"/>
          <w:szCs w:val="22"/>
        </w:rPr>
        <w:t>1.1. Сведения для юридического лица:</w:t>
      </w:r>
    </w:p>
    <w:p>
      <w:pPr>
        <w:pStyle w:val="32"/>
        <w:tabs>
          <w:tab w:val="left" w:pos="567"/>
          <w:tab w:val="left" w:leader="underscore" w:pos="9639"/>
        </w:tabs>
        <w:jc w:val="both"/>
        <w:rPr>
          <w:bCs/>
          <w:sz w:val="22"/>
          <w:szCs w:val="22"/>
        </w:rPr>
      </w:pPr>
      <w:r>
        <w:rPr>
          <w:bCs/>
          <w:sz w:val="22"/>
          <w:szCs w:val="22"/>
        </w:rPr>
        <w:t xml:space="preserve">1.1.1. Фирменное наименование (наименование): </w:t>
      </w:r>
      <w:r>
        <w:rPr>
          <w:bCs/>
          <w:sz w:val="22"/>
          <w:szCs w:val="22"/>
        </w:rPr>
        <w:tab/>
      </w:r>
    </w:p>
    <w:p>
      <w:pPr>
        <w:pStyle w:val="32"/>
        <w:tabs>
          <w:tab w:val="left" w:pos="567"/>
          <w:tab w:val="left" w:leader="underscore" w:pos="9639"/>
        </w:tabs>
        <w:rPr>
          <w:bCs/>
          <w:sz w:val="22"/>
          <w:szCs w:val="22"/>
        </w:rPr>
      </w:pPr>
      <w:r>
        <w:rPr>
          <w:bCs/>
          <w:sz w:val="22"/>
          <w:szCs w:val="22"/>
        </w:rPr>
        <w:t xml:space="preserve">1.1.2. Сведения об организационно-правовой форме: </w:t>
      </w:r>
      <w:r>
        <w:rPr>
          <w:bCs/>
          <w:sz w:val="22"/>
          <w:szCs w:val="22"/>
        </w:rPr>
        <w:tab/>
      </w:r>
    </w:p>
    <w:p>
      <w:pPr>
        <w:pStyle w:val="32"/>
        <w:tabs>
          <w:tab w:val="left" w:pos="567"/>
          <w:tab w:val="left" w:leader="underscore" w:pos="9639"/>
        </w:tabs>
        <w:jc w:val="both"/>
        <w:rPr>
          <w:bCs/>
          <w:sz w:val="22"/>
          <w:szCs w:val="22"/>
        </w:rPr>
      </w:pPr>
      <w:r>
        <w:rPr>
          <w:bCs/>
          <w:sz w:val="22"/>
          <w:szCs w:val="22"/>
        </w:rPr>
        <w:t xml:space="preserve">1.1.3. Место нахождения: </w:t>
      </w:r>
      <w:r>
        <w:rPr>
          <w:bCs/>
          <w:sz w:val="22"/>
          <w:szCs w:val="22"/>
        </w:rPr>
        <w:tab/>
      </w:r>
    </w:p>
    <w:p>
      <w:pPr>
        <w:pStyle w:val="32"/>
        <w:tabs>
          <w:tab w:val="left" w:pos="567"/>
          <w:tab w:val="left" w:leader="underscore" w:pos="9639"/>
        </w:tabs>
        <w:jc w:val="both"/>
        <w:rPr>
          <w:bCs/>
          <w:sz w:val="22"/>
          <w:szCs w:val="22"/>
        </w:rPr>
      </w:pPr>
      <w:r>
        <w:rPr>
          <w:bCs/>
          <w:sz w:val="22"/>
          <w:szCs w:val="22"/>
        </w:rPr>
        <w:t xml:space="preserve">1.1.4. Почтовый адрес: </w:t>
      </w:r>
      <w:r>
        <w:rPr>
          <w:bCs/>
          <w:sz w:val="22"/>
          <w:szCs w:val="22"/>
        </w:rPr>
        <w:tab/>
      </w:r>
    </w:p>
    <w:p>
      <w:pPr>
        <w:pStyle w:val="32"/>
        <w:tabs>
          <w:tab w:val="left" w:pos="567"/>
          <w:tab w:val="left" w:leader="underscore" w:pos="9639"/>
        </w:tabs>
        <w:jc w:val="both"/>
        <w:rPr>
          <w:bCs/>
          <w:sz w:val="22"/>
          <w:szCs w:val="22"/>
        </w:rPr>
      </w:pPr>
      <w:r>
        <w:rPr>
          <w:bCs/>
          <w:sz w:val="22"/>
          <w:szCs w:val="22"/>
        </w:rPr>
        <w:t xml:space="preserve">1.1.5. Адрес электронной почты </w:t>
      </w:r>
      <w:r>
        <w:rPr>
          <w:bCs/>
          <w:i/>
          <w:sz w:val="22"/>
          <w:szCs w:val="22"/>
        </w:rPr>
        <w:t>(рекомендуется к заполнению)</w:t>
      </w:r>
      <w:r>
        <w:rPr>
          <w:bCs/>
          <w:sz w:val="22"/>
          <w:szCs w:val="22"/>
        </w:rPr>
        <w:t xml:space="preserve">: </w:t>
      </w:r>
      <w:r>
        <w:rPr>
          <w:bCs/>
          <w:sz w:val="22"/>
          <w:szCs w:val="22"/>
        </w:rPr>
        <w:tab/>
      </w:r>
    </w:p>
    <w:p>
      <w:pPr>
        <w:pStyle w:val="32"/>
        <w:tabs>
          <w:tab w:val="left" w:pos="567"/>
          <w:tab w:val="left" w:leader="underscore" w:pos="9639"/>
        </w:tabs>
        <w:jc w:val="both"/>
        <w:rPr>
          <w:bCs/>
          <w:sz w:val="22"/>
          <w:szCs w:val="22"/>
        </w:rPr>
      </w:pPr>
      <w:r>
        <w:rPr>
          <w:bCs/>
          <w:sz w:val="22"/>
          <w:szCs w:val="22"/>
        </w:rPr>
        <w:t>1.1. Сведения для физического лица:</w:t>
      </w:r>
    </w:p>
    <w:p>
      <w:pPr>
        <w:pStyle w:val="32"/>
        <w:tabs>
          <w:tab w:val="left" w:pos="567"/>
          <w:tab w:val="left" w:leader="underscore" w:pos="9639"/>
        </w:tabs>
        <w:jc w:val="both"/>
        <w:rPr>
          <w:bCs/>
          <w:sz w:val="22"/>
          <w:szCs w:val="22"/>
        </w:rPr>
      </w:pPr>
      <w:r>
        <w:rPr>
          <w:bCs/>
          <w:sz w:val="22"/>
          <w:szCs w:val="22"/>
        </w:rPr>
        <w:t>1.1.1. Фамилия имя отчество</w:t>
      </w:r>
      <w:r>
        <w:rPr>
          <w:bCs/>
          <w:sz w:val="22"/>
          <w:szCs w:val="22"/>
        </w:rPr>
        <w:tab/>
      </w:r>
    </w:p>
    <w:p>
      <w:pPr>
        <w:pStyle w:val="32"/>
        <w:tabs>
          <w:tab w:val="left" w:pos="567"/>
          <w:tab w:val="left" w:leader="underscore" w:pos="9639"/>
        </w:tabs>
        <w:jc w:val="both"/>
        <w:rPr>
          <w:bCs/>
          <w:sz w:val="22"/>
          <w:szCs w:val="22"/>
        </w:rPr>
      </w:pPr>
      <w:r>
        <w:rPr>
          <w:bCs/>
          <w:sz w:val="22"/>
          <w:szCs w:val="22"/>
        </w:rPr>
        <w:t>1.1.2. Паспортные данные</w:t>
      </w:r>
      <w:r>
        <w:rPr>
          <w:bCs/>
          <w:sz w:val="22"/>
          <w:szCs w:val="22"/>
        </w:rPr>
        <w:tab/>
      </w:r>
    </w:p>
    <w:p>
      <w:pPr>
        <w:pStyle w:val="32"/>
        <w:tabs>
          <w:tab w:val="left" w:pos="567"/>
          <w:tab w:val="left" w:leader="underscore" w:pos="9639"/>
        </w:tabs>
        <w:jc w:val="both"/>
        <w:rPr>
          <w:bCs/>
          <w:sz w:val="22"/>
          <w:szCs w:val="22"/>
        </w:rPr>
      </w:pPr>
      <w:r>
        <w:rPr>
          <w:bCs/>
          <w:sz w:val="22"/>
          <w:szCs w:val="22"/>
        </w:rPr>
        <w:t>1.1.3. Сведения о месте жительства</w:t>
      </w:r>
      <w:r>
        <w:rPr>
          <w:bCs/>
          <w:sz w:val="22"/>
          <w:szCs w:val="22"/>
        </w:rPr>
        <w:tab/>
      </w:r>
    </w:p>
    <w:p>
      <w:pPr>
        <w:pStyle w:val="32"/>
        <w:tabs>
          <w:tab w:val="left" w:pos="567"/>
          <w:tab w:val="left" w:leader="underscore" w:pos="9639"/>
        </w:tabs>
        <w:jc w:val="both"/>
        <w:rPr>
          <w:bCs/>
          <w:sz w:val="22"/>
          <w:szCs w:val="22"/>
        </w:rPr>
      </w:pPr>
      <w:r>
        <w:rPr>
          <w:bCs/>
          <w:sz w:val="22"/>
          <w:szCs w:val="22"/>
        </w:rPr>
        <w:t xml:space="preserve">1.1.4. Адрес электронной почты </w:t>
      </w:r>
      <w:r>
        <w:rPr>
          <w:bCs/>
          <w:i/>
          <w:sz w:val="22"/>
          <w:szCs w:val="22"/>
        </w:rPr>
        <w:t>(рекомендуется к заполнению)</w:t>
      </w:r>
      <w:r>
        <w:rPr>
          <w:bCs/>
          <w:sz w:val="22"/>
          <w:szCs w:val="22"/>
        </w:rPr>
        <w:t xml:space="preserve">: </w:t>
      </w:r>
      <w:r>
        <w:rPr>
          <w:bCs/>
          <w:sz w:val="22"/>
          <w:szCs w:val="22"/>
        </w:rPr>
        <w:tab/>
      </w:r>
    </w:p>
    <w:p>
      <w:pPr>
        <w:pStyle w:val="32"/>
        <w:tabs>
          <w:tab w:val="left" w:pos="567"/>
          <w:tab w:val="left" w:leader="underscore" w:pos="9639"/>
        </w:tabs>
        <w:jc w:val="both"/>
        <w:rPr>
          <w:bCs/>
          <w:sz w:val="22"/>
          <w:szCs w:val="22"/>
        </w:rPr>
      </w:pPr>
      <w:r>
        <w:rPr>
          <w:bCs/>
          <w:sz w:val="22"/>
          <w:szCs w:val="22"/>
        </w:rPr>
        <w:t xml:space="preserve">1.2. Номер контактного телефона: </w:t>
      </w:r>
      <w:r>
        <w:rPr>
          <w:bCs/>
          <w:sz w:val="22"/>
          <w:szCs w:val="22"/>
        </w:rPr>
        <w:tab/>
      </w:r>
    </w:p>
    <w:p>
      <w:pPr>
        <w:pStyle w:val="32"/>
        <w:tabs>
          <w:tab w:val="left" w:pos="567"/>
          <w:tab w:val="left" w:leader="underscore" w:pos="9639"/>
        </w:tabs>
        <w:jc w:val="both"/>
        <w:rPr>
          <w:bCs/>
          <w:sz w:val="22"/>
          <w:szCs w:val="22"/>
        </w:rPr>
      </w:pPr>
      <w:r>
        <w:rPr>
          <w:bCs/>
          <w:sz w:val="22"/>
          <w:szCs w:val="22"/>
        </w:rPr>
        <w:t xml:space="preserve">1.3. Идентификационный номер налогоплательщика </w:t>
      </w:r>
      <w:r>
        <w:rPr>
          <w:sz w:val="22"/>
          <w:szCs w:val="22"/>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Pr>
          <w:bCs/>
          <w:sz w:val="22"/>
          <w:szCs w:val="22"/>
        </w:rPr>
        <w:t>: ________________________________________________________________</w:t>
      </w:r>
    </w:p>
    <w:p>
      <w:pPr>
        <w:pStyle w:val="32"/>
        <w:tabs>
          <w:tab w:val="left" w:pos="567"/>
          <w:tab w:val="left" w:leader="underscore" w:pos="9639"/>
        </w:tabs>
        <w:jc w:val="both"/>
        <w:rPr>
          <w:bCs/>
          <w:sz w:val="22"/>
          <w:szCs w:val="22"/>
        </w:rPr>
      </w:pPr>
      <w:r>
        <w:rPr>
          <w:bCs/>
          <w:sz w:val="22"/>
          <w:szCs w:val="22"/>
        </w:rPr>
        <w:t xml:space="preserve">1.4. Банковские реквизиты </w:t>
      </w:r>
      <w:r>
        <w:rPr>
          <w:bCs/>
          <w:i/>
          <w:sz w:val="22"/>
          <w:szCs w:val="22"/>
        </w:rPr>
        <w:t>(рекомендуется к заполнению)</w:t>
      </w:r>
      <w:r>
        <w:rPr>
          <w:bCs/>
          <w:sz w:val="22"/>
          <w:szCs w:val="22"/>
        </w:rPr>
        <w:t xml:space="preserve">: </w:t>
      </w:r>
      <w:r>
        <w:rPr>
          <w:bCs/>
          <w:sz w:val="22"/>
          <w:szCs w:val="22"/>
        </w:rPr>
        <w:tab/>
      </w:r>
    </w:p>
    <w:p>
      <w:pPr>
        <w:pStyle w:val="32"/>
        <w:tabs>
          <w:tab w:val="left" w:pos="567"/>
          <w:tab w:val="left" w:leader="underscore" w:pos="9639"/>
        </w:tabs>
        <w:jc w:val="both"/>
        <w:rPr>
          <w:b/>
          <w:bCs/>
          <w:sz w:val="22"/>
          <w:szCs w:val="22"/>
        </w:rPr>
      </w:pPr>
      <w:r>
        <w:rPr>
          <w:bCs/>
          <w:sz w:val="22"/>
          <w:szCs w:val="22"/>
        </w:rPr>
        <w:t xml:space="preserve">1.5. Применение упрощенной системы налогообложения </w:t>
      </w:r>
      <w:r>
        <w:rPr>
          <w:bCs/>
          <w:i/>
          <w:sz w:val="22"/>
          <w:szCs w:val="22"/>
        </w:rPr>
        <w:t>(рекомендуется к заполнению, да/нет)</w:t>
      </w:r>
      <w:r>
        <w:rPr>
          <w:bCs/>
          <w:sz w:val="22"/>
          <w:szCs w:val="22"/>
        </w:rPr>
        <w:t>: ____________________.</w:t>
      </w:r>
    </w:p>
    <w:p>
      <w:pPr>
        <w:tabs>
          <w:tab w:val="left" w:pos="567"/>
          <w:tab w:val="left" w:leader="underscore" w:pos="9923"/>
        </w:tabs>
        <w:jc w:val="both"/>
        <w:rPr>
          <w:sz w:val="22"/>
          <w:szCs w:val="22"/>
        </w:rPr>
      </w:pPr>
      <w:r>
        <w:rPr>
          <w:b/>
          <w:bCs/>
          <w:sz w:val="22"/>
          <w:szCs w:val="22"/>
        </w:rPr>
        <w:t xml:space="preserve">Настоящим декларируется соответствие участника закупки, </w:t>
      </w:r>
      <w:r>
        <w:rPr>
          <w:b/>
          <w:bCs/>
          <w:iCs/>
          <w:sz w:val="22"/>
          <w:szCs w:val="22"/>
        </w:rPr>
        <w:t>подавшего настоящую заявку на участие в аукционе следующим требованиям:</w:t>
      </w:r>
    </w:p>
    <w:p>
      <w:pPr>
        <w:tabs>
          <w:tab w:val="left" w:pos="567"/>
          <w:tab w:val="left" w:leader="underscore" w:pos="9923"/>
        </w:tabs>
        <w:jc w:val="both"/>
        <w:rPr>
          <w:sz w:val="22"/>
          <w:szCs w:val="22"/>
        </w:rPr>
      </w:pPr>
      <w:r>
        <w:rPr>
          <w:sz w:val="22"/>
          <w:szCs w:val="22"/>
        </w:rPr>
        <w:t>1)соответствие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являющихся предметом торгов.</w:t>
      </w:r>
    </w:p>
    <w:p>
      <w:pPr>
        <w:widowControl w:val="0"/>
        <w:tabs>
          <w:tab w:val="left" w:pos="567"/>
        </w:tabs>
        <w:autoSpaceDE w:val="0"/>
        <w:jc w:val="both"/>
        <w:rPr>
          <w:sz w:val="22"/>
          <w:szCs w:val="22"/>
        </w:rPr>
      </w:pPr>
      <w:r>
        <w:rPr>
          <w:sz w:val="22"/>
          <w:szCs w:val="22"/>
        </w:rPr>
        <w:t>2)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pPr>
        <w:widowControl w:val="0"/>
        <w:tabs>
          <w:tab w:val="left" w:pos="567"/>
        </w:tabs>
        <w:autoSpaceDE w:val="0"/>
        <w:jc w:val="both"/>
        <w:rPr>
          <w:sz w:val="22"/>
          <w:szCs w:val="22"/>
        </w:rPr>
      </w:pPr>
      <w:r>
        <w:rPr>
          <w:sz w:val="22"/>
          <w:szCs w:val="22"/>
        </w:rPr>
        <w:t>3) 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pPr>
        <w:widowControl w:val="0"/>
        <w:tabs>
          <w:tab w:val="left" w:pos="567"/>
        </w:tabs>
        <w:autoSpaceDE w:val="0"/>
        <w:jc w:val="both"/>
        <w:rPr>
          <w:sz w:val="22"/>
          <w:szCs w:val="22"/>
        </w:rPr>
      </w:pPr>
      <w:r>
        <w:rPr>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pPr>
        <w:widowControl w:val="0"/>
        <w:tabs>
          <w:tab w:val="left" w:pos="567"/>
        </w:tabs>
        <w:autoSpaceDE w:val="0"/>
        <w:jc w:val="both"/>
        <w:rPr>
          <w:sz w:val="22"/>
          <w:szCs w:val="22"/>
        </w:rPr>
      </w:pPr>
      <w:r>
        <w:rPr>
          <w:sz w:val="22"/>
          <w:szCs w:val="22"/>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pPr>
        <w:widowControl w:val="0"/>
        <w:tabs>
          <w:tab w:val="left" w:pos="567"/>
        </w:tabs>
        <w:autoSpaceDE w:val="0"/>
        <w:jc w:val="both"/>
        <w:rPr>
          <w:sz w:val="22"/>
          <w:szCs w:val="22"/>
        </w:rPr>
      </w:pPr>
      <w:r>
        <w:rPr>
          <w:sz w:val="22"/>
          <w:szCs w:val="22"/>
        </w:rPr>
        <w:t>6) участник закупки не включен в реестр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(или) в реестр недобросовестных поставщиков, предусмотренный Федеральным законом от 05.04.2013 N 44-ФЗ (с последними изменениями) "О контрактной системе в сфере закупок товаров, работ, услуг для обеспечения государственных и муниципальных нужд".</w:t>
      </w:r>
      <w:bookmarkEnd w:id="10"/>
    </w:p>
    <w:p>
      <w:pPr>
        <w:tabs>
          <w:tab w:val="left" w:pos="567"/>
        </w:tabs>
        <w:rPr>
          <w:sz w:val="22"/>
          <w:szCs w:val="22"/>
        </w:rPr>
      </w:pPr>
    </w:p>
    <w:p>
      <w:pPr>
        <w:suppressAutoHyphens w:val="0"/>
        <w:rPr>
          <w:b/>
          <w:sz w:val="22"/>
          <w:szCs w:val="22"/>
        </w:rPr>
        <w:sectPr>
          <w:footerReference r:id="rId8" w:type="first"/>
          <w:footerReference r:id="rId6" w:type="default"/>
          <w:footerReference r:id="rId7" w:type="even"/>
          <w:pgSz w:w="11906" w:h="16838"/>
          <w:pgMar w:top="851" w:right="849" w:bottom="1135" w:left="993" w:header="720" w:footer="720" w:gutter="0"/>
          <w:cols w:space="720" w:num="1"/>
          <w:docGrid w:linePitch="272" w:charSpace="0"/>
        </w:sectPr>
      </w:pPr>
    </w:p>
    <w:p>
      <w:pPr>
        <w:suppressAutoHyphens w:val="0"/>
        <w:rPr>
          <w:bCs/>
          <w:sz w:val="22"/>
          <w:szCs w:val="22"/>
        </w:rPr>
      </w:pPr>
      <w:r>
        <w:rPr>
          <w:b/>
          <w:sz w:val="22"/>
          <w:szCs w:val="22"/>
        </w:rPr>
        <w:t>6. ПРИЛОЖЕНИЕ. ОБОСНОВАНИЕ НАЧАЛЬНОЙ (МАКСИМАЛЬНОЙ) ЦЕНЫ ДОГОВОРА</w:t>
      </w:r>
    </w:p>
    <w:p>
      <w:pPr>
        <w:autoSpaceDE w:val="0"/>
        <w:ind w:right="-6"/>
        <w:rPr>
          <w:sz w:val="22"/>
          <w:szCs w:val="22"/>
        </w:rPr>
      </w:pPr>
      <w:r>
        <w:rPr>
          <w:sz w:val="22"/>
          <w:szCs w:val="22"/>
        </w:rPr>
        <w:t xml:space="preserve">В целях определения начальной (максимальной) цены договора на поставку товара осуществлена процедура получения ценовой информации путем направления запросов о предоставлении ценовой информации потенциальным поставщикам. </w:t>
      </w:r>
    </w:p>
    <w:p>
      <w:pPr>
        <w:autoSpaceDE w:val="0"/>
        <w:ind w:right="-6"/>
        <w:rPr>
          <w:sz w:val="22"/>
          <w:szCs w:val="22"/>
        </w:rPr>
      </w:pPr>
    </w:p>
    <w:tbl>
      <w:tblPr>
        <w:tblStyle w:val="12"/>
        <w:tblW w:w="15455" w:type="dxa"/>
        <w:tblInd w:w="91" w:type="dxa"/>
        <w:tblLayout w:type="fixed"/>
        <w:tblCellMar>
          <w:top w:w="0" w:type="dxa"/>
          <w:left w:w="108" w:type="dxa"/>
          <w:bottom w:w="0" w:type="dxa"/>
          <w:right w:w="108" w:type="dxa"/>
        </w:tblCellMar>
      </w:tblPr>
      <w:tblGrid>
        <w:gridCol w:w="584"/>
        <w:gridCol w:w="1843"/>
        <w:gridCol w:w="992"/>
        <w:gridCol w:w="1560"/>
        <w:gridCol w:w="1417"/>
        <w:gridCol w:w="1559"/>
        <w:gridCol w:w="1560"/>
        <w:gridCol w:w="1701"/>
        <w:gridCol w:w="1417"/>
        <w:gridCol w:w="1145"/>
        <w:gridCol w:w="1677"/>
      </w:tblGrid>
      <w:tr>
        <w:tblPrEx>
          <w:tblCellMar>
            <w:top w:w="0" w:type="dxa"/>
            <w:left w:w="108" w:type="dxa"/>
            <w:bottom w:w="0" w:type="dxa"/>
            <w:right w:w="108" w:type="dxa"/>
          </w:tblCellMar>
        </w:tblPrEx>
        <w:trPr>
          <w:trHeight w:val="1215" w:hRule="atLeast"/>
        </w:trPr>
        <w:tc>
          <w:tcPr>
            <w:tcW w:w="584" w:type="dxa"/>
            <w:tcBorders>
              <w:top w:val="single" w:color="auto" w:sz="8" w:space="0"/>
              <w:left w:val="single" w:color="auto" w:sz="8" w:space="0"/>
              <w:bottom w:val="single" w:color="auto" w:sz="8" w:space="0"/>
              <w:right w:val="single" w:color="auto" w:sz="4" w:space="0"/>
            </w:tcBorders>
            <w:shd w:val="clear" w:color="auto" w:fill="auto"/>
            <w:vAlign w:val="center"/>
          </w:tcPr>
          <w:p>
            <w:pPr>
              <w:suppressAutoHyphens w:val="0"/>
              <w:jc w:val="center"/>
              <w:rPr>
                <w:color w:val="000000"/>
                <w:sz w:val="22"/>
                <w:szCs w:val="22"/>
                <w:highlight w:val="none"/>
                <w:lang w:eastAsia="ru-RU"/>
              </w:rPr>
            </w:pPr>
            <w:r>
              <w:rPr>
                <w:color w:val="000000"/>
                <w:sz w:val="22"/>
                <w:szCs w:val="22"/>
                <w:highlight w:val="none"/>
                <w:lang w:eastAsia="ru-RU"/>
              </w:rPr>
              <w:t>№ п/п</w:t>
            </w:r>
          </w:p>
        </w:tc>
        <w:tc>
          <w:tcPr>
            <w:tcW w:w="1843" w:type="dxa"/>
            <w:tcBorders>
              <w:top w:val="single" w:color="auto" w:sz="8" w:space="0"/>
              <w:left w:val="nil"/>
              <w:bottom w:val="single" w:color="auto" w:sz="8" w:space="0"/>
              <w:right w:val="single" w:color="auto" w:sz="4" w:space="0"/>
            </w:tcBorders>
            <w:shd w:val="clear" w:color="auto" w:fill="auto"/>
            <w:vAlign w:val="center"/>
          </w:tcPr>
          <w:p>
            <w:pPr>
              <w:suppressAutoHyphens w:val="0"/>
              <w:jc w:val="center"/>
              <w:rPr>
                <w:color w:val="000000"/>
                <w:sz w:val="22"/>
                <w:szCs w:val="22"/>
                <w:highlight w:val="none"/>
                <w:lang w:eastAsia="ru-RU"/>
              </w:rPr>
            </w:pPr>
            <w:r>
              <w:rPr>
                <w:color w:val="000000"/>
                <w:sz w:val="22"/>
                <w:szCs w:val="22"/>
                <w:highlight w:val="none"/>
                <w:lang w:eastAsia="ru-RU"/>
              </w:rPr>
              <w:t>Наименование товара</w:t>
            </w:r>
          </w:p>
        </w:tc>
        <w:tc>
          <w:tcPr>
            <w:tcW w:w="992" w:type="dxa"/>
            <w:tcBorders>
              <w:top w:val="single" w:color="auto" w:sz="8" w:space="0"/>
              <w:left w:val="nil"/>
              <w:bottom w:val="single" w:color="auto" w:sz="8" w:space="0"/>
              <w:right w:val="single" w:color="auto" w:sz="4" w:space="0"/>
            </w:tcBorders>
            <w:shd w:val="clear" w:color="auto" w:fill="auto"/>
            <w:vAlign w:val="center"/>
          </w:tcPr>
          <w:p>
            <w:pPr>
              <w:suppressAutoHyphens w:val="0"/>
              <w:jc w:val="center"/>
              <w:rPr>
                <w:color w:val="000000"/>
                <w:sz w:val="22"/>
                <w:szCs w:val="22"/>
                <w:highlight w:val="none"/>
                <w:lang w:eastAsia="ru-RU"/>
              </w:rPr>
            </w:pPr>
            <w:r>
              <w:rPr>
                <w:color w:val="000000"/>
                <w:sz w:val="22"/>
                <w:szCs w:val="22"/>
                <w:highlight w:val="none"/>
                <w:lang w:eastAsia="ru-RU"/>
              </w:rPr>
              <w:t>Ед.измерения</w:t>
            </w:r>
          </w:p>
        </w:tc>
        <w:tc>
          <w:tcPr>
            <w:tcW w:w="1560" w:type="dxa"/>
            <w:tcBorders>
              <w:top w:val="single" w:color="auto" w:sz="8" w:space="0"/>
              <w:left w:val="nil"/>
              <w:bottom w:val="single" w:color="auto" w:sz="8" w:space="0"/>
              <w:right w:val="single" w:color="auto" w:sz="4" w:space="0"/>
            </w:tcBorders>
            <w:shd w:val="clear" w:color="auto" w:fill="auto"/>
            <w:vAlign w:val="center"/>
          </w:tcPr>
          <w:p>
            <w:pPr>
              <w:suppressAutoHyphens w:val="0"/>
              <w:jc w:val="center"/>
              <w:rPr>
                <w:color w:val="000000"/>
                <w:sz w:val="22"/>
                <w:szCs w:val="22"/>
                <w:highlight w:val="none"/>
                <w:lang w:eastAsia="ru-RU"/>
              </w:rPr>
            </w:pPr>
            <w:r>
              <w:rPr>
                <w:color w:val="000000"/>
                <w:sz w:val="22"/>
                <w:szCs w:val="22"/>
                <w:highlight w:val="none"/>
                <w:lang w:eastAsia="ru-RU"/>
              </w:rPr>
              <w:t>Кол-во товара</w:t>
            </w:r>
          </w:p>
        </w:tc>
        <w:tc>
          <w:tcPr>
            <w:tcW w:w="1417" w:type="dxa"/>
            <w:tcBorders>
              <w:top w:val="single" w:color="auto" w:sz="8" w:space="0"/>
              <w:left w:val="nil"/>
              <w:bottom w:val="single" w:color="auto" w:sz="8" w:space="0"/>
              <w:right w:val="single" w:color="auto" w:sz="4" w:space="0"/>
            </w:tcBorders>
            <w:shd w:val="clear" w:color="auto" w:fill="auto"/>
            <w:vAlign w:val="center"/>
          </w:tcPr>
          <w:p>
            <w:pPr>
              <w:suppressAutoHyphens w:val="0"/>
              <w:jc w:val="center"/>
              <w:rPr>
                <w:color w:val="000000"/>
                <w:sz w:val="22"/>
                <w:szCs w:val="22"/>
                <w:highlight w:val="none"/>
                <w:lang w:eastAsia="ru-RU"/>
              </w:rPr>
            </w:pPr>
            <w:r>
              <w:rPr>
                <w:color w:val="000000"/>
                <w:sz w:val="22"/>
                <w:szCs w:val="22"/>
                <w:highlight w:val="none"/>
                <w:lang w:eastAsia="ru-RU"/>
              </w:rPr>
              <w:t>Цена 1, руб.</w:t>
            </w:r>
          </w:p>
        </w:tc>
        <w:tc>
          <w:tcPr>
            <w:tcW w:w="1559" w:type="dxa"/>
            <w:tcBorders>
              <w:top w:val="single" w:color="auto" w:sz="8" w:space="0"/>
              <w:left w:val="nil"/>
              <w:bottom w:val="single" w:color="auto" w:sz="8" w:space="0"/>
              <w:right w:val="single" w:color="auto" w:sz="4" w:space="0"/>
            </w:tcBorders>
            <w:shd w:val="clear" w:color="auto" w:fill="auto"/>
            <w:vAlign w:val="center"/>
          </w:tcPr>
          <w:p>
            <w:pPr>
              <w:suppressAutoHyphens w:val="0"/>
              <w:jc w:val="center"/>
              <w:rPr>
                <w:color w:val="000000"/>
                <w:sz w:val="22"/>
                <w:szCs w:val="22"/>
                <w:highlight w:val="none"/>
                <w:lang w:eastAsia="ru-RU"/>
              </w:rPr>
            </w:pPr>
            <w:r>
              <w:rPr>
                <w:color w:val="000000"/>
                <w:sz w:val="22"/>
                <w:szCs w:val="22"/>
                <w:highlight w:val="none"/>
                <w:lang w:eastAsia="ru-RU"/>
              </w:rPr>
              <w:t>Цена 2, руб.</w:t>
            </w:r>
          </w:p>
        </w:tc>
        <w:tc>
          <w:tcPr>
            <w:tcW w:w="1560" w:type="dxa"/>
            <w:tcBorders>
              <w:top w:val="single" w:color="auto" w:sz="8" w:space="0"/>
              <w:left w:val="nil"/>
              <w:bottom w:val="single" w:color="auto" w:sz="8" w:space="0"/>
              <w:right w:val="single" w:color="auto" w:sz="4" w:space="0"/>
            </w:tcBorders>
            <w:shd w:val="clear" w:color="auto" w:fill="auto"/>
            <w:vAlign w:val="center"/>
          </w:tcPr>
          <w:p>
            <w:pPr>
              <w:suppressAutoHyphens w:val="0"/>
              <w:jc w:val="center"/>
              <w:rPr>
                <w:color w:val="000000"/>
                <w:sz w:val="22"/>
                <w:szCs w:val="22"/>
                <w:highlight w:val="none"/>
                <w:lang w:eastAsia="ru-RU"/>
              </w:rPr>
            </w:pPr>
            <w:r>
              <w:rPr>
                <w:color w:val="000000"/>
                <w:sz w:val="22"/>
                <w:szCs w:val="22"/>
                <w:highlight w:val="none"/>
                <w:lang w:eastAsia="ru-RU"/>
              </w:rPr>
              <w:t>Цена 3, руб.</w:t>
            </w:r>
          </w:p>
        </w:tc>
        <w:tc>
          <w:tcPr>
            <w:tcW w:w="1701" w:type="dxa"/>
            <w:tcBorders>
              <w:top w:val="single" w:color="auto" w:sz="8" w:space="0"/>
              <w:left w:val="nil"/>
              <w:bottom w:val="single" w:color="auto" w:sz="8" w:space="0"/>
              <w:right w:val="single" w:color="auto" w:sz="4" w:space="0"/>
            </w:tcBorders>
            <w:shd w:val="clear" w:color="auto" w:fill="auto"/>
            <w:vAlign w:val="center"/>
          </w:tcPr>
          <w:p>
            <w:pPr>
              <w:suppressAutoHyphens w:val="0"/>
              <w:jc w:val="center"/>
              <w:rPr>
                <w:color w:val="000000"/>
                <w:sz w:val="22"/>
                <w:szCs w:val="22"/>
                <w:highlight w:val="none"/>
                <w:lang w:eastAsia="ru-RU"/>
              </w:rPr>
            </w:pPr>
            <w:r>
              <w:rPr>
                <w:color w:val="000000"/>
                <w:sz w:val="22"/>
                <w:szCs w:val="22"/>
                <w:highlight w:val="none"/>
                <w:lang w:eastAsia="ru-RU"/>
              </w:rPr>
              <w:t>Средняя арифметическая величина цены</w:t>
            </w:r>
          </w:p>
        </w:tc>
        <w:tc>
          <w:tcPr>
            <w:tcW w:w="1417" w:type="dxa"/>
            <w:tcBorders>
              <w:top w:val="single" w:color="auto" w:sz="8" w:space="0"/>
              <w:left w:val="nil"/>
              <w:bottom w:val="single" w:color="auto" w:sz="8" w:space="0"/>
              <w:right w:val="single" w:color="auto" w:sz="4" w:space="0"/>
            </w:tcBorders>
            <w:shd w:val="clear" w:color="auto" w:fill="auto"/>
            <w:vAlign w:val="center"/>
          </w:tcPr>
          <w:p>
            <w:pPr>
              <w:suppressAutoHyphens w:val="0"/>
              <w:jc w:val="center"/>
              <w:rPr>
                <w:color w:val="000000"/>
                <w:sz w:val="22"/>
                <w:szCs w:val="22"/>
                <w:highlight w:val="none"/>
                <w:lang w:eastAsia="ru-RU"/>
              </w:rPr>
            </w:pPr>
            <w:r>
              <w:rPr>
                <w:color w:val="000000"/>
                <w:sz w:val="22"/>
                <w:szCs w:val="22"/>
                <w:highlight w:val="none"/>
                <w:lang w:eastAsia="ru-RU"/>
              </w:rPr>
              <w:t>Среднее квадратичное отклонение</w:t>
            </w:r>
          </w:p>
        </w:tc>
        <w:tc>
          <w:tcPr>
            <w:tcW w:w="1145" w:type="dxa"/>
            <w:tcBorders>
              <w:top w:val="single" w:color="auto" w:sz="8" w:space="0"/>
              <w:left w:val="nil"/>
              <w:bottom w:val="single" w:color="auto" w:sz="8" w:space="0"/>
              <w:right w:val="single" w:color="auto" w:sz="4" w:space="0"/>
            </w:tcBorders>
            <w:shd w:val="clear" w:color="auto" w:fill="auto"/>
            <w:vAlign w:val="center"/>
          </w:tcPr>
          <w:p>
            <w:pPr>
              <w:suppressAutoHyphens w:val="0"/>
              <w:jc w:val="center"/>
              <w:rPr>
                <w:color w:val="000000"/>
                <w:sz w:val="22"/>
                <w:szCs w:val="22"/>
                <w:highlight w:val="none"/>
                <w:lang w:eastAsia="ru-RU"/>
              </w:rPr>
            </w:pPr>
            <w:r>
              <w:rPr>
                <w:color w:val="000000"/>
                <w:sz w:val="22"/>
                <w:szCs w:val="22"/>
                <w:highlight w:val="none"/>
                <w:lang w:eastAsia="ru-RU"/>
              </w:rPr>
              <w:t>К вар., %</w:t>
            </w:r>
          </w:p>
        </w:tc>
        <w:tc>
          <w:tcPr>
            <w:tcW w:w="1677" w:type="dxa"/>
            <w:tcBorders>
              <w:top w:val="single" w:color="auto" w:sz="8" w:space="0"/>
              <w:left w:val="nil"/>
              <w:bottom w:val="single" w:color="auto" w:sz="8" w:space="0"/>
              <w:right w:val="single" w:color="auto" w:sz="8" w:space="0"/>
            </w:tcBorders>
            <w:shd w:val="clear" w:color="auto" w:fill="auto"/>
            <w:vAlign w:val="center"/>
          </w:tcPr>
          <w:p>
            <w:pPr>
              <w:suppressAutoHyphens w:val="0"/>
              <w:jc w:val="center"/>
              <w:rPr>
                <w:color w:val="000000"/>
                <w:sz w:val="22"/>
                <w:szCs w:val="22"/>
                <w:highlight w:val="none"/>
                <w:lang w:eastAsia="ru-RU"/>
              </w:rPr>
            </w:pPr>
            <w:r>
              <w:rPr>
                <w:color w:val="000000"/>
                <w:sz w:val="22"/>
                <w:szCs w:val="22"/>
                <w:highlight w:val="none"/>
                <w:lang w:eastAsia="ru-RU"/>
              </w:rPr>
              <w:t>Сумма, руб.</w:t>
            </w:r>
          </w:p>
        </w:tc>
      </w:tr>
      <w:tr>
        <w:tblPrEx>
          <w:tblCellMar>
            <w:top w:w="0" w:type="dxa"/>
            <w:left w:w="108" w:type="dxa"/>
            <w:bottom w:w="0" w:type="dxa"/>
            <w:right w:w="108" w:type="dxa"/>
          </w:tblCellMar>
        </w:tblPrEx>
        <w:trPr>
          <w:trHeight w:val="315" w:hRule="atLeast"/>
        </w:trPr>
        <w:tc>
          <w:tcPr>
            <w:tcW w:w="584" w:type="dxa"/>
            <w:tcBorders>
              <w:top w:val="nil"/>
              <w:left w:val="single" w:color="auto" w:sz="8" w:space="0"/>
              <w:bottom w:val="single" w:color="auto" w:sz="8" w:space="0"/>
              <w:right w:val="single" w:color="auto" w:sz="4" w:space="0"/>
            </w:tcBorders>
            <w:shd w:val="clear" w:color="auto" w:fill="auto"/>
            <w:vAlign w:val="center"/>
          </w:tcPr>
          <w:p>
            <w:pPr>
              <w:suppressAutoHyphens w:val="0"/>
              <w:jc w:val="center"/>
              <w:rPr>
                <w:color w:val="000000"/>
                <w:sz w:val="22"/>
                <w:szCs w:val="22"/>
                <w:highlight w:val="none"/>
                <w:lang w:eastAsia="ru-RU"/>
              </w:rPr>
            </w:pPr>
            <w:r>
              <w:rPr>
                <w:color w:val="000000"/>
                <w:sz w:val="22"/>
                <w:szCs w:val="22"/>
                <w:highlight w:val="none"/>
                <w:lang w:eastAsia="ru-RU"/>
              </w:rPr>
              <w:t>1</w:t>
            </w:r>
          </w:p>
        </w:tc>
        <w:tc>
          <w:tcPr>
            <w:tcW w:w="1843" w:type="dxa"/>
            <w:tcBorders>
              <w:top w:val="nil"/>
              <w:left w:val="nil"/>
              <w:bottom w:val="single" w:color="auto" w:sz="8" w:space="0"/>
              <w:right w:val="single" w:color="auto" w:sz="4" w:space="0"/>
            </w:tcBorders>
            <w:shd w:val="clear" w:color="auto" w:fill="auto"/>
            <w:vAlign w:val="center"/>
          </w:tcPr>
          <w:p>
            <w:pPr>
              <w:suppressAutoHyphens w:val="0"/>
              <w:jc w:val="center"/>
              <w:rPr>
                <w:color w:val="000000"/>
                <w:sz w:val="22"/>
                <w:szCs w:val="22"/>
                <w:highlight w:val="none"/>
                <w:lang w:eastAsia="ru-RU"/>
              </w:rPr>
            </w:pPr>
            <w:r>
              <w:rPr>
                <w:color w:val="000000"/>
                <w:sz w:val="22"/>
                <w:szCs w:val="22"/>
                <w:highlight w:val="none"/>
                <w:lang w:eastAsia="ru-RU"/>
              </w:rPr>
              <w:t>2</w:t>
            </w:r>
          </w:p>
        </w:tc>
        <w:tc>
          <w:tcPr>
            <w:tcW w:w="992" w:type="dxa"/>
            <w:tcBorders>
              <w:top w:val="nil"/>
              <w:left w:val="nil"/>
              <w:bottom w:val="single" w:color="auto" w:sz="8" w:space="0"/>
              <w:right w:val="single" w:color="auto" w:sz="4" w:space="0"/>
            </w:tcBorders>
            <w:shd w:val="clear" w:color="auto" w:fill="auto"/>
            <w:vAlign w:val="center"/>
          </w:tcPr>
          <w:p>
            <w:pPr>
              <w:suppressAutoHyphens w:val="0"/>
              <w:jc w:val="center"/>
              <w:rPr>
                <w:color w:val="000000"/>
                <w:sz w:val="22"/>
                <w:szCs w:val="22"/>
                <w:highlight w:val="none"/>
                <w:lang w:eastAsia="ru-RU"/>
              </w:rPr>
            </w:pPr>
            <w:r>
              <w:rPr>
                <w:color w:val="000000"/>
                <w:sz w:val="22"/>
                <w:szCs w:val="22"/>
                <w:highlight w:val="none"/>
                <w:lang w:eastAsia="ru-RU"/>
              </w:rPr>
              <w:t>3</w:t>
            </w:r>
          </w:p>
        </w:tc>
        <w:tc>
          <w:tcPr>
            <w:tcW w:w="1560" w:type="dxa"/>
            <w:tcBorders>
              <w:top w:val="nil"/>
              <w:left w:val="nil"/>
              <w:bottom w:val="single" w:color="auto" w:sz="8" w:space="0"/>
              <w:right w:val="single" w:color="auto" w:sz="4" w:space="0"/>
            </w:tcBorders>
            <w:shd w:val="clear" w:color="auto" w:fill="auto"/>
            <w:vAlign w:val="center"/>
          </w:tcPr>
          <w:p>
            <w:pPr>
              <w:suppressAutoHyphens w:val="0"/>
              <w:jc w:val="center"/>
              <w:rPr>
                <w:color w:val="000000"/>
                <w:sz w:val="22"/>
                <w:szCs w:val="22"/>
                <w:highlight w:val="none"/>
                <w:lang w:eastAsia="ru-RU"/>
              </w:rPr>
            </w:pPr>
            <w:r>
              <w:rPr>
                <w:color w:val="000000"/>
                <w:sz w:val="22"/>
                <w:szCs w:val="22"/>
                <w:highlight w:val="none"/>
                <w:lang w:eastAsia="ru-RU"/>
              </w:rPr>
              <w:t>4</w:t>
            </w:r>
          </w:p>
        </w:tc>
        <w:tc>
          <w:tcPr>
            <w:tcW w:w="1417" w:type="dxa"/>
            <w:tcBorders>
              <w:top w:val="nil"/>
              <w:left w:val="nil"/>
              <w:bottom w:val="single" w:color="auto" w:sz="8" w:space="0"/>
              <w:right w:val="single" w:color="auto" w:sz="4" w:space="0"/>
            </w:tcBorders>
            <w:shd w:val="clear" w:color="auto" w:fill="auto"/>
            <w:vAlign w:val="center"/>
          </w:tcPr>
          <w:p>
            <w:pPr>
              <w:suppressAutoHyphens w:val="0"/>
              <w:jc w:val="center"/>
              <w:rPr>
                <w:color w:val="000000"/>
                <w:sz w:val="22"/>
                <w:szCs w:val="22"/>
                <w:highlight w:val="none"/>
                <w:lang w:eastAsia="ru-RU"/>
              </w:rPr>
            </w:pPr>
            <w:r>
              <w:rPr>
                <w:color w:val="000000"/>
                <w:sz w:val="22"/>
                <w:szCs w:val="22"/>
                <w:highlight w:val="none"/>
                <w:lang w:eastAsia="ru-RU"/>
              </w:rPr>
              <w:t>5</w:t>
            </w:r>
          </w:p>
        </w:tc>
        <w:tc>
          <w:tcPr>
            <w:tcW w:w="1559" w:type="dxa"/>
            <w:tcBorders>
              <w:top w:val="nil"/>
              <w:left w:val="nil"/>
              <w:bottom w:val="single" w:color="auto" w:sz="8" w:space="0"/>
              <w:right w:val="single" w:color="auto" w:sz="4" w:space="0"/>
            </w:tcBorders>
            <w:shd w:val="clear" w:color="auto" w:fill="auto"/>
            <w:vAlign w:val="center"/>
          </w:tcPr>
          <w:p>
            <w:pPr>
              <w:suppressAutoHyphens w:val="0"/>
              <w:jc w:val="center"/>
              <w:rPr>
                <w:color w:val="000000"/>
                <w:sz w:val="22"/>
                <w:szCs w:val="22"/>
                <w:highlight w:val="none"/>
                <w:lang w:eastAsia="ru-RU"/>
              </w:rPr>
            </w:pPr>
            <w:r>
              <w:rPr>
                <w:color w:val="000000"/>
                <w:sz w:val="22"/>
                <w:szCs w:val="22"/>
                <w:highlight w:val="none"/>
                <w:lang w:eastAsia="ru-RU"/>
              </w:rPr>
              <w:t>6</w:t>
            </w:r>
          </w:p>
        </w:tc>
        <w:tc>
          <w:tcPr>
            <w:tcW w:w="1560" w:type="dxa"/>
            <w:tcBorders>
              <w:top w:val="nil"/>
              <w:left w:val="nil"/>
              <w:bottom w:val="single" w:color="auto" w:sz="8" w:space="0"/>
              <w:right w:val="single" w:color="auto" w:sz="4" w:space="0"/>
            </w:tcBorders>
            <w:shd w:val="clear" w:color="auto" w:fill="auto"/>
            <w:vAlign w:val="center"/>
          </w:tcPr>
          <w:p>
            <w:pPr>
              <w:suppressAutoHyphens w:val="0"/>
              <w:jc w:val="center"/>
              <w:rPr>
                <w:color w:val="000000"/>
                <w:sz w:val="22"/>
                <w:szCs w:val="22"/>
                <w:highlight w:val="none"/>
                <w:lang w:eastAsia="ru-RU"/>
              </w:rPr>
            </w:pPr>
            <w:r>
              <w:rPr>
                <w:color w:val="000000"/>
                <w:sz w:val="22"/>
                <w:szCs w:val="22"/>
                <w:highlight w:val="none"/>
                <w:lang w:eastAsia="ru-RU"/>
              </w:rPr>
              <w:t>7</w:t>
            </w:r>
          </w:p>
        </w:tc>
        <w:tc>
          <w:tcPr>
            <w:tcW w:w="1701" w:type="dxa"/>
            <w:tcBorders>
              <w:top w:val="nil"/>
              <w:left w:val="nil"/>
              <w:bottom w:val="single" w:color="auto" w:sz="8" w:space="0"/>
              <w:right w:val="single" w:color="auto" w:sz="4" w:space="0"/>
            </w:tcBorders>
            <w:shd w:val="clear" w:color="auto" w:fill="auto"/>
            <w:vAlign w:val="center"/>
          </w:tcPr>
          <w:p>
            <w:pPr>
              <w:suppressAutoHyphens w:val="0"/>
              <w:jc w:val="center"/>
              <w:rPr>
                <w:color w:val="000000"/>
                <w:sz w:val="22"/>
                <w:szCs w:val="22"/>
                <w:highlight w:val="none"/>
                <w:lang w:eastAsia="ru-RU"/>
              </w:rPr>
            </w:pPr>
            <w:r>
              <w:rPr>
                <w:color w:val="000000"/>
                <w:sz w:val="22"/>
                <w:szCs w:val="22"/>
                <w:highlight w:val="none"/>
                <w:lang w:eastAsia="ru-RU"/>
              </w:rPr>
              <w:t>10</w:t>
            </w:r>
          </w:p>
        </w:tc>
        <w:tc>
          <w:tcPr>
            <w:tcW w:w="1417" w:type="dxa"/>
            <w:tcBorders>
              <w:top w:val="nil"/>
              <w:left w:val="nil"/>
              <w:bottom w:val="single" w:color="auto" w:sz="8" w:space="0"/>
              <w:right w:val="single" w:color="auto" w:sz="4" w:space="0"/>
            </w:tcBorders>
            <w:shd w:val="clear" w:color="auto" w:fill="auto"/>
            <w:vAlign w:val="center"/>
          </w:tcPr>
          <w:p>
            <w:pPr>
              <w:suppressAutoHyphens w:val="0"/>
              <w:jc w:val="center"/>
              <w:rPr>
                <w:color w:val="000000"/>
                <w:sz w:val="22"/>
                <w:szCs w:val="22"/>
                <w:highlight w:val="none"/>
                <w:lang w:eastAsia="ru-RU"/>
              </w:rPr>
            </w:pPr>
            <w:r>
              <w:rPr>
                <w:color w:val="000000"/>
                <w:sz w:val="22"/>
                <w:szCs w:val="22"/>
                <w:highlight w:val="none"/>
                <w:lang w:eastAsia="ru-RU"/>
              </w:rPr>
              <w:t>11</w:t>
            </w:r>
          </w:p>
        </w:tc>
        <w:tc>
          <w:tcPr>
            <w:tcW w:w="1145" w:type="dxa"/>
            <w:tcBorders>
              <w:top w:val="nil"/>
              <w:left w:val="nil"/>
              <w:bottom w:val="single" w:color="auto" w:sz="8" w:space="0"/>
              <w:right w:val="single" w:color="auto" w:sz="4" w:space="0"/>
            </w:tcBorders>
            <w:shd w:val="clear" w:color="auto" w:fill="auto"/>
            <w:vAlign w:val="center"/>
          </w:tcPr>
          <w:p>
            <w:pPr>
              <w:suppressAutoHyphens w:val="0"/>
              <w:jc w:val="center"/>
              <w:rPr>
                <w:color w:val="000000"/>
                <w:sz w:val="22"/>
                <w:szCs w:val="22"/>
                <w:highlight w:val="none"/>
                <w:lang w:eastAsia="ru-RU"/>
              </w:rPr>
            </w:pPr>
            <w:r>
              <w:rPr>
                <w:color w:val="000000"/>
                <w:sz w:val="22"/>
                <w:szCs w:val="22"/>
                <w:highlight w:val="none"/>
                <w:lang w:eastAsia="ru-RU"/>
              </w:rPr>
              <w:t>12</w:t>
            </w:r>
          </w:p>
        </w:tc>
        <w:tc>
          <w:tcPr>
            <w:tcW w:w="1677" w:type="dxa"/>
            <w:tcBorders>
              <w:top w:val="nil"/>
              <w:left w:val="nil"/>
              <w:bottom w:val="single" w:color="auto" w:sz="8" w:space="0"/>
              <w:right w:val="single" w:color="auto" w:sz="8" w:space="0"/>
            </w:tcBorders>
            <w:shd w:val="clear" w:color="auto" w:fill="auto"/>
            <w:vAlign w:val="center"/>
          </w:tcPr>
          <w:p>
            <w:pPr>
              <w:suppressAutoHyphens w:val="0"/>
              <w:jc w:val="center"/>
              <w:rPr>
                <w:color w:val="000000"/>
                <w:sz w:val="22"/>
                <w:szCs w:val="22"/>
                <w:highlight w:val="none"/>
                <w:lang w:eastAsia="ru-RU"/>
              </w:rPr>
            </w:pPr>
            <w:r>
              <w:rPr>
                <w:color w:val="000000"/>
                <w:sz w:val="22"/>
                <w:szCs w:val="22"/>
                <w:highlight w:val="none"/>
                <w:lang w:eastAsia="ru-RU"/>
              </w:rPr>
              <w:t>13</w:t>
            </w:r>
          </w:p>
        </w:tc>
      </w:tr>
      <w:tr>
        <w:tblPrEx>
          <w:tblCellMar>
            <w:top w:w="0" w:type="dxa"/>
            <w:left w:w="108" w:type="dxa"/>
            <w:bottom w:w="0" w:type="dxa"/>
            <w:right w:w="108" w:type="dxa"/>
          </w:tblCellMar>
        </w:tblPrEx>
        <w:trPr>
          <w:trHeight w:val="900" w:hRule="atLeast"/>
        </w:trPr>
        <w:tc>
          <w:tcPr>
            <w:tcW w:w="584" w:type="dxa"/>
            <w:tcBorders>
              <w:top w:val="nil"/>
              <w:left w:val="single" w:color="auto" w:sz="8" w:space="0"/>
              <w:bottom w:val="single" w:color="auto" w:sz="4" w:space="0"/>
              <w:right w:val="single" w:color="auto" w:sz="4" w:space="0"/>
            </w:tcBorders>
            <w:shd w:val="clear" w:color="auto" w:fill="auto"/>
            <w:noWrap/>
            <w:vAlign w:val="center"/>
          </w:tcPr>
          <w:p>
            <w:pPr>
              <w:suppressAutoHyphens w:val="0"/>
              <w:jc w:val="center"/>
              <w:rPr>
                <w:color w:val="000000"/>
                <w:sz w:val="22"/>
                <w:szCs w:val="22"/>
                <w:highlight w:val="none"/>
                <w:lang w:eastAsia="ru-RU"/>
              </w:rPr>
            </w:pPr>
            <w:r>
              <w:rPr>
                <w:color w:val="000000"/>
                <w:sz w:val="22"/>
                <w:szCs w:val="22"/>
                <w:highlight w:val="none"/>
                <w:lang w:eastAsia="ru-RU"/>
              </w:rPr>
              <w:t>1</w:t>
            </w:r>
          </w:p>
        </w:tc>
        <w:tc>
          <w:tcPr>
            <w:tcW w:w="1843" w:type="dxa"/>
            <w:tcBorders>
              <w:top w:val="nil"/>
              <w:left w:val="nil"/>
              <w:bottom w:val="nil"/>
              <w:right w:val="nil"/>
            </w:tcBorders>
            <w:shd w:val="clear" w:color="auto" w:fill="auto"/>
            <w:vAlign w:val="bottom"/>
          </w:tcPr>
          <w:p>
            <w:pPr>
              <w:suppressAutoHyphens w:val="0"/>
              <w:rPr>
                <w:color w:val="000000"/>
                <w:sz w:val="22"/>
                <w:szCs w:val="22"/>
                <w:highlight w:val="none"/>
                <w:lang w:eastAsia="ru-RU"/>
              </w:rPr>
            </w:pPr>
            <w:r>
              <w:rPr>
                <w:color w:val="000000"/>
                <w:sz w:val="22"/>
                <w:szCs w:val="22"/>
                <w:highlight w:val="none"/>
                <w:lang w:eastAsia="ru-RU"/>
              </w:rPr>
              <w:t xml:space="preserve">Дизельное топливо  Экологический класс не ниже 5 </w:t>
            </w:r>
          </w:p>
        </w:tc>
        <w:tc>
          <w:tcPr>
            <w:tcW w:w="992" w:type="dxa"/>
            <w:tcBorders>
              <w:top w:val="nil"/>
              <w:left w:val="single" w:color="auto" w:sz="4" w:space="0"/>
              <w:bottom w:val="single" w:color="auto" w:sz="4" w:space="0"/>
              <w:right w:val="single" w:color="auto" w:sz="4" w:space="0"/>
            </w:tcBorders>
            <w:shd w:val="clear" w:color="auto" w:fill="auto"/>
            <w:vAlign w:val="center"/>
          </w:tcPr>
          <w:p>
            <w:pPr>
              <w:suppressAutoHyphens w:val="0"/>
              <w:jc w:val="center"/>
              <w:rPr>
                <w:color w:val="000000"/>
                <w:sz w:val="22"/>
                <w:szCs w:val="22"/>
                <w:highlight w:val="none"/>
                <w:lang w:eastAsia="ru-RU"/>
              </w:rPr>
            </w:pPr>
            <w:r>
              <w:rPr>
                <w:color w:val="000000"/>
                <w:sz w:val="22"/>
                <w:szCs w:val="22"/>
                <w:highlight w:val="none"/>
                <w:lang w:eastAsia="ru-RU"/>
              </w:rPr>
              <w:t>л</w:t>
            </w:r>
          </w:p>
        </w:tc>
        <w:tc>
          <w:tcPr>
            <w:tcW w:w="1560" w:type="dxa"/>
            <w:tcBorders>
              <w:top w:val="nil"/>
              <w:left w:val="nil"/>
              <w:bottom w:val="single" w:color="auto" w:sz="4" w:space="0"/>
              <w:right w:val="single" w:color="auto" w:sz="4" w:space="0"/>
            </w:tcBorders>
            <w:shd w:val="clear" w:color="auto" w:fill="auto"/>
            <w:noWrap/>
            <w:vAlign w:val="center"/>
          </w:tcPr>
          <w:p>
            <w:pPr>
              <w:suppressAutoHyphens w:val="0"/>
              <w:jc w:val="center"/>
              <w:rPr>
                <w:rFonts w:hint="default"/>
                <w:color w:val="000000"/>
                <w:sz w:val="22"/>
                <w:szCs w:val="22"/>
                <w:highlight w:val="none"/>
                <w:lang w:val="en-US" w:eastAsia="ru-RU"/>
              </w:rPr>
            </w:pPr>
            <w:r>
              <w:rPr>
                <w:rFonts w:hint="default"/>
                <w:color w:val="000000"/>
                <w:sz w:val="22"/>
                <w:szCs w:val="22"/>
                <w:highlight w:val="none"/>
                <w:lang w:val="en-US" w:eastAsia="ru-RU"/>
              </w:rPr>
              <w:t>165000</w:t>
            </w:r>
          </w:p>
        </w:tc>
        <w:tc>
          <w:tcPr>
            <w:tcW w:w="1417" w:type="dxa"/>
            <w:tcBorders>
              <w:top w:val="nil"/>
              <w:left w:val="nil"/>
              <w:bottom w:val="single" w:color="auto" w:sz="4" w:space="0"/>
              <w:right w:val="single" w:color="auto" w:sz="4" w:space="0"/>
            </w:tcBorders>
            <w:shd w:val="clear" w:color="auto" w:fill="auto"/>
            <w:vAlign w:val="center"/>
          </w:tcPr>
          <w:p>
            <w:pPr>
              <w:suppressAutoHyphens w:val="0"/>
              <w:jc w:val="center"/>
              <w:rPr>
                <w:rFonts w:hint="default"/>
                <w:color w:val="000000"/>
                <w:sz w:val="22"/>
                <w:szCs w:val="22"/>
                <w:highlight w:val="none"/>
                <w:lang w:val="en-US" w:eastAsia="ru-RU"/>
              </w:rPr>
            </w:pPr>
            <w:r>
              <w:rPr>
                <w:rFonts w:hint="default"/>
                <w:color w:val="000000"/>
                <w:sz w:val="22"/>
                <w:szCs w:val="22"/>
                <w:highlight w:val="none"/>
                <w:lang w:val="en-US" w:eastAsia="ru-RU"/>
              </w:rPr>
              <w:t>60,79</w:t>
            </w:r>
          </w:p>
        </w:tc>
        <w:tc>
          <w:tcPr>
            <w:tcW w:w="1559" w:type="dxa"/>
            <w:tcBorders>
              <w:top w:val="nil"/>
              <w:left w:val="nil"/>
              <w:bottom w:val="single" w:color="auto" w:sz="4" w:space="0"/>
              <w:right w:val="single" w:color="auto" w:sz="4" w:space="0"/>
            </w:tcBorders>
            <w:shd w:val="clear" w:color="auto" w:fill="auto"/>
            <w:vAlign w:val="center"/>
          </w:tcPr>
          <w:p>
            <w:pPr>
              <w:suppressAutoHyphens w:val="0"/>
              <w:jc w:val="center"/>
              <w:rPr>
                <w:rFonts w:hint="default"/>
                <w:color w:val="000000"/>
                <w:sz w:val="22"/>
                <w:szCs w:val="22"/>
                <w:highlight w:val="none"/>
                <w:lang w:val="en-US" w:eastAsia="ru-RU"/>
              </w:rPr>
            </w:pPr>
            <w:r>
              <w:rPr>
                <w:rFonts w:hint="default"/>
                <w:color w:val="000000"/>
                <w:sz w:val="22"/>
                <w:szCs w:val="22"/>
                <w:highlight w:val="none"/>
                <w:lang w:val="en-US" w:eastAsia="ru-RU"/>
              </w:rPr>
              <w:t>59,45</w:t>
            </w:r>
          </w:p>
        </w:tc>
        <w:tc>
          <w:tcPr>
            <w:tcW w:w="1560" w:type="dxa"/>
            <w:tcBorders>
              <w:top w:val="nil"/>
              <w:left w:val="nil"/>
              <w:bottom w:val="single" w:color="auto" w:sz="4" w:space="0"/>
              <w:right w:val="single" w:color="auto" w:sz="4" w:space="0"/>
            </w:tcBorders>
            <w:shd w:val="clear" w:color="auto" w:fill="auto"/>
            <w:vAlign w:val="center"/>
          </w:tcPr>
          <w:p>
            <w:pPr>
              <w:suppressAutoHyphens w:val="0"/>
              <w:jc w:val="center"/>
              <w:rPr>
                <w:rFonts w:hint="default"/>
                <w:color w:val="000000"/>
                <w:sz w:val="22"/>
                <w:szCs w:val="22"/>
                <w:highlight w:val="none"/>
                <w:lang w:val="en-US" w:eastAsia="ru-RU"/>
              </w:rPr>
            </w:pPr>
            <w:r>
              <w:rPr>
                <w:rFonts w:hint="default"/>
                <w:color w:val="000000"/>
                <w:sz w:val="22"/>
                <w:szCs w:val="22"/>
                <w:highlight w:val="none"/>
                <w:lang w:val="en-US" w:eastAsia="ru-RU"/>
              </w:rPr>
              <w:t>61,00</w:t>
            </w:r>
          </w:p>
        </w:tc>
        <w:tc>
          <w:tcPr>
            <w:tcW w:w="1701" w:type="dxa"/>
            <w:tcBorders>
              <w:top w:val="nil"/>
              <w:left w:val="nil"/>
              <w:bottom w:val="single" w:color="auto" w:sz="4" w:space="0"/>
              <w:right w:val="single" w:color="auto" w:sz="4" w:space="0"/>
            </w:tcBorders>
            <w:shd w:val="clear" w:color="auto" w:fill="auto"/>
            <w:noWrap/>
            <w:vAlign w:val="center"/>
          </w:tcPr>
          <w:p>
            <w:pPr>
              <w:suppressAutoHyphens w:val="0"/>
              <w:jc w:val="center"/>
              <w:rPr>
                <w:rFonts w:hint="default"/>
                <w:color w:val="000000"/>
                <w:sz w:val="22"/>
                <w:szCs w:val="22"/>
                <w:highlight w:val="none"/>
                <w:lang w:val="en-US" w:eastAsia="ru-RU"/>
              </w:rPr>
            </w:pPr>
            <w:r>
              <w:rPr>
                <w:rFonts w:hint="default"/>
                <w:color w:val="000000"/>
                <w:sz w:val="22"/>
                <w:szCs w:val="22"/>
                <w:highlight w:val="none"/>
                <w:lang w:val="en-US" w:eastAsia="ru-RU"/>
              </w:rPr>
              <w:t>60,41</w:t>
            </w:r>
          </w:p>
        </w:tc>
        <w:tc>
          <w:tcPr>
            <w:tcW w:w="1417" w:type="dxa"/>
            <w:tcBorders>
              <w:top w:val="nil"/>
              <w:left w:val="nil"/>
              <w:bottom w:val="single" w:color="auto" w:sz="4" w:space="0"/>
              <w:right w:val="single" w:color="auto" w:sz="4" w:space="0"/>
            </w:tcBorders>
            <w:shd w:val="clear" w:color="auto" w:fill="auto"/>
            <w:noWrap/>
            <w:vAlign w:val="center"/>
          </w:tcPr>
          <w:p>
            <w:pPr>
              <w:suppressAutoHyphens w:val="0"/>
              <w:jc w:val="center"/>
              <w:rPr>
                <w:color w:val="000000"/>
                <w:sz w:val="22"/>
                <w:szCs w:val="22"/>
                <w:highlight w:val="none"/>
                <w:lang w:eastAsia="ru-RU"/>
              </w:rPr>
            </w:pPr>
            <w:r>
              <w:rPr>
                <w:color w:val="000000"/>
                <w:sz w:val="22"/>
                <w:szCs w:val="22"/>
                <w:highlight w:val="none"/>
                <w:lang w:eastAsia="ru-RU"/>
              </w:rPr>
              <w:t>0,8409</w:t>
            </w:r>
          </w:p>
        </w:tc>
        <w:tc>
          <w:tcPr>
            <w:tcW w:w="1145" w:type="dxa"/>
            <w:tcBorders>
              <w:top w:val="nil"/>
              <w:left w:val="nil"/>
              <w:bottom w:val="single" w:color="auto" w:sz="4" w:space="0"/>
              <w:right w:val="single" w:color="auto" w:sz="4" w:space="0"/>
            </w:tcBorders>
            <w:shd w:val="clear" w:color="auto" w:fill="auto"/>
            <w:noWrap/>
            <w:vAlign w:val="center"/>
          </w:tcPr>
          <w:p>
            <w:pPr>
              <w:suppressAutoHyphens w:val="0"/>
              <w:jc w:val="center"/>
              <w:rPr>
                <w:color w:val="000000"/>
                <w:sz w:val="22"/>
                <w:szCs w:val="22"/>
                <w:highlight w:val="none"/>
                <w:lang w:eastAsia="ru-RU"/>
              </w:rPr>
            </w:pPr>
            <w:r>
              <w:rPr>
                <w:color w:val="000000"/>
                <w:sz w:val="22"/>
                <w:szCs w:val="22"/>
                <w:highlight w:val="none"/>
                <w:lang w:eastAsia="ru-RU"/>
              </w:rPr>
              <w:t>1,39%</w:t>
            </w:r>
          </w:p>
        </w:tc>
        <w:tc>
          <w:tcPr>
            <w:tcW w:w="1677" w:type="dxa"/>
            <w:tcBorders>
              <w:top w:val="nil"/>
              <w:left w:val="nil"/>
              <w:bottom w:val="single" w:color="auto" w:sz="4" w:space="0"/>
              <w:right w:val="single" w:color="auto" w:sz="8" w:space="0"/>
            </w:tcBorders>
            <w:shd w:val="clear" w:color="auto" w:fill="auto"/>
            <w:noWrap/>
            <w:vAlign w:val="center"/>
          </w:tcPr>
          <w:p>
            <w:pPr>
              <w:suppressAutoHyphens w:val="0"/>
              <w:jc w:val="center"/>
              <w:rPr>
                <w:rFonts w:hint="default"/>
                <w:color w:val="000000"/>
                <w:sz w:val="22"/>
                <w:szCs w:val="22"/>
                <w:highlight w:val="none"/>
                <w:lang w:val="en-US" w:eastAsia="ru-RU"/>
              </w:rPr>
            </w:pPr>
            <w:r>
              <w:rPr>
                <w:rFonts w:hint="default"/>
                <w:color w:val="000000"/>
                <w:sz w:val="22"/>
                <w:szCs w:val="22"/>
                <w:highlight w:val="none"/>
                <w:lang w:val="en-US" w:eastAsia="ru-RU"/>
              </w:rPr>
              <w:t>9 967 650,00</w:t>
            </w:r>
          </w:p>
        </w:tc>
      </w:tr>
      <w:tr>
        <w:tblPrEx>
          <w:tblCellMar>
            <w:top w:w="0" w:type="dxa"/>
            <w:left w:w="108" w:type="dxa"/>
            <w:bottom w:w="0" w:type="dxa"/>
            <w:right w:w="108" w:type="dxa"/>
          </w:tblCellMar>
        </w:tblPrEx>
        <w:trPr>
          <w:trHeight w:val="315" w:hRule="atLeast"/>
        </w:trPr>
        <w:tc>
          <w:tcPr>
            <w:tcW w:w="2427" w:type="dxa"/>
            <w:gridSpan w:val="2"/>
            <w:tcBorders>
              <w:top w:val="single" w:color="auto" w:sz="4" w:space="0"/>
              <w:left w:val="single" w:color="auto" w:sz="8" w:space="0"/>
              <w:bottom w:val="single" w:color="auto" w:sz="8" w:space="0"/>
              <w:right w:val="single" w:color="000000" w:sz="4" w:space="0"/>
            </w:tcBorders>
            <w:shd w:val="clear" w:color="auto" w:fill="auto"/>
            <w:noWrap/>
            <w:vAlign w:val="center"/>
          </w:tcPr>
          <w:p>
            <w:pPr>
              <w:suppressAutoHyphens w:val="0"/>
              <w:rPr>
                <w:b/>
                <w:bCs/>
                <w:color w:val="000000"/>
                <w:sz w:val="22"/>
                <w:szCs w:val="22"/>
                <w:highlight w:val="none"/>
                <w:lang w:eastAsia="ru-RU"/>
              </w:rPr>
            </w:pPr>
            <w:r>
              <w:rPr>
                <w:b/>
                <w:bCs/>
                <w:color w:val="000000"/>
                <w:sz w:val="22"/>
                <w:szCs w:val="22"/>
                <w:highlight w:val="none"/>
                <w:lang w:eastAsia="ru-RU"/>
              </w:rPr>
              <w:t>Начальная максимальная цена контракта составляет</w:t>
            </w:r>
          </w:p>
        </w:tc>
        <w:tc>
          <w:tcPr>
            <w:tcW w:w="992" w:type="dxa"/>
            <w:tcBorders>
              <w:top w:val="nil"/>
              <w:left w:val="nil"/>
              <w:bottom w:val="single" w:color="auto" w:sz="8" w:space="0"/>
              <w:right w:val="single" w:color="auto" w:sz="4" w:space="0"/>
            </w:tcBorders>
            <w:shd w:val="clear" w:color="auto" w:fill="auto"/>
            <w:noWrap/>
            <w:vAlign w:val="center"/>
          </w:tcPr>
          <w:p>
            <w:pPr>
              <w:suppressAutoHyphens w:val="0"/>
              <w:jc w:val="center"/>
              <w:rPr>
                <w:b/>
                <w:bCs/>
                <w:color w:val="000000"/>
                <w:sz w:val="22"/>
                <w:szCs w:val="22"/>
                <w:highlight w:val="none"/>
                <w:lang w:eastAsia="ru-RU"/>
              </w:rPr>
            </w:pPr>
            <w:r>
              <w:rPr>
                <w:b/>
                <w:bCs/>
                <w:color w:val="000000"/>
                <w:sz w:val="22"/>
                <w:szCs w:val="22"/>
                <w:highlight w:val="none"/>
                <w:lang w:eastAsia="ru-RU"/>
              </w:rPr>
              <w:t> </w:t>
            </w:r>
          </w:p>
        </w:tc>
        <w:tc>
          <w:tcPr>
            <w:tcW w:w="1560" w:type="dxa"/>
            <w:tcBorders>
              <w:top w:val="nil"/>
              <w:left w:val="nil"/>
              <w:bottom w:val="single" w:color="auto" w:sz="8" w:space="0"/>
              <w:right w:val="single" w:color="auto" w:sz="4" w:space="0"/>
            </w:tcBorders>
            <w:shd w:val="clear" w:color="auto" w:fill="auto"/>
            <w:noWrap/>
            <w:vAlign w:val="center"/>
          </w:tcPr>
          <w:p>
            <w:pPr>
              <w:suppressAutoHyphens w:val="0"/>
              <w:jc w:val="center"/>
              <w:rPr>
                <w:b/>
                <w:bCs/>
                <w:color w:val="000000"/>
                <w:sz w:val="22"/>
                <w:szCs w:val="22"/>
                <w:highlight w:val="none"/>
                <w:lang w:eastAsia="ru-RU"/>
              </w:rPr>
            </w:pPr>
            <w:r>
              <w:rPr>
                <w:b/>
                <w:bCs/>
                <w:color w:val="000000"/>
                <w:sz w:val="22"/>
                <w:szCs w:val="22"/>
                <w:highlight w:val="none"/>
                <w:lang w:eastAsia="ru-RU"/>
              </w:rPr>
              <w:t> </w:t>
            </w:r>
          </w:p>
        </w:tc>
        <w:tc>
          <w:tcPr>
            <w:tcW w:w="1417" w:type="dxa"/>
            <w:tcBorders>
              <w:top w:val="nil"/>
              <w:left w:val="nil"/>
              <w:bottom w:val="single" w:color="auto" w:sz="8" w:space="0"/>
              <w:right w:val="single" w:color="auto" w:sz="4" w:space="0"/>
            </w:tcBorders>
            <w:shd w:val="clear" w:color="auto" w:fill="auto"/>
            <w:noWrap/>
            <w:vAlign w:val="center"/>
          </w:tcPr>
          <w:p>
            <w:pPr>
              <w:suppressAutoHyphens w:val="0"/>
              <w:jc w:val="center"/>
              <w:rPr>
                <w:b/>
                <w:bCs/>
                <w:color w:val="000000"/>
                <w:sz w:val="22"/>
                <w:szCs w:val="22"/>
                <w:highlight w:val="none"/>
                <w:lang w:eastAsia="ru-RU"/>
              </w:rPr>
            </w:pPr>
            <w:r>
              <w:rPr>
                <w:b/>
                <w:bCs/>
                <w:color w:val="000000"/>
                <w:sz w:val="22"/>
                <w:szCs w:val="22"/>
                <w:highlight w:val="none"/>
                <w:lang w:eastAsia="ru-RU"/>
              </w:rPr>
              <w:t> </w:t>
            </w:r>
          </w:p>
        </w:tc>
        <w:tc>
          <w:tcPr>
            <w:tcW w:w="1559" w:type="dxa"/>
            <w:tcBorders>
              <w:top w:val="nil"/>
              <w:left w:val="nil"/>
              <w:bottom w:val="single" w:color="auto" w:sz="8" w:space="0"/>
              <w:right w:val="single" w:color="auto" w:sz="4" w:space="0"/>
            </w:tcBorders>
            <w:shd w:val="clear" w:color="auto" w:fill="auto"/>
            <w:noWrap/>
            <w:vAlign w:val="center"/>
          </w:tcPr>
          <w:p>
            <w:pPr>
              <w:suppressAutoHyphens w:val="0"/>
              <w:jc w:val="center"/>
              <w:rPr>
                <w:b/>
                <w:bCs/>
                <w:color w:val="000000"/>
                <w:sz w:val="22"/>
                <w:szCs w:val="22"/>
                <w:highlight w:val="none"/>
                <w:lang w:eastAsia="ru-RU"/>
              </w:rPr>
            </w:pPr>
            <w:r>
              <w:rPr>
                <w:b/>
                <w:bCs/>
                <w:color w:val="000000"/>
                <w:sz w:val="22"/>
                <w:szCs w:val="22"/>
                <w:highlight w:val="none"/>
                <w:lang w:eastAsia="ru-RU"/>
              </w:rPr>
              <w:t> </w:t>
            </w:r>
          </w:p>
        </w:tc>
        <w:tc>
          <w:tcPr>
            <w:tcW w:w="1560" w:type="dxa"/>
            <w:tcBorders>
              <w:top w:val="nil"/>
              <w:left w:val="nil"/>
              <w:bottom w:val="single" w:color="auto" w:sz="8" w:space="0"/>
              <w:right w:val="single" w:color="auto" w:sz="4" w:space="0"/>
            </w:tcBorders>
            <w:shd w:val="clear" w:color="auto" w:fill="auto"/>
            <w:noWrap/>
            <w:vAlign w:val="center"/>
          </w:tcPr>
          <w:p>
            <w:pPr>
              <w:suppressAutoHyphens w:val="0"/>
              <w:jc w:val="center"/>
              <w:rPr>
                <w:b/>
                <w:bCs/>
                <w:color w:val="000000"/>
                <w:sz w:val="22"/>
                <w:szCs w:val="22"/>
                <w:highlight w:val="none"/>
                <w:lang w:eastAsia="ru-RU"/>
              </w:rPr>
            </w:pPr>
            <w:r>
              <w:rPr>
                <w:b/>
                <w:bCs/>
                <w:color w:val="000000"/>
                <w:sz w:val="22"/>
                <w:szCs w:val="22"/>
                <w:highlight w:val="none"/>
                <w:lang w:eastAsia="ru-RU"/>
              </w:rPr>
              <w:t> </w:t>
            </w:r>
          </w:p>
        </w:tc>
        <w:tc>
          <w:tcPr>
            <w:tcW w:w="1701" w:type="dxa"/>
            <w:tcBorders>
              <w:top w:val="nil"/>
              <w:left w:val="nil"/>
              <w:bottom w:val="single" w:color="auto" w:sz="8" w:space="0"/>
              <w:right w:val="single" w:color="auto" w:sz="4" w:space="0"/>
            </w:tcBorders>
            <w:shd w:val="clear" w:color="auto" w:fill="auto"/>
            <w:noWrap/>
            <w:vAlign w:val="center"/>
          </w:tcPr>
          <w:p>
            <w:pPr>
              <w:suppressAutoHyphens w:val="0"/>
              <w:jc w:val="center"/>
              <w:rPr>
                <w:color w:val="000000"/>
                <w:sz w:val="22"/>
                <w:szCs w:val="22"/>
                <w:highlight w:val="none"/>
                <w:lang w:eastAsia="ru-RU"/>
              </w:rPr>
            </w:pPr>
            <w:r>
              <w:rPr>
                <w:color w:val="000000"/>
                <w:sz w:val="22"/>
                <w:szCs w:val="22"/>
                <w:highlight w:val="none"/>
                <w:lang w:eastAsia="ru-RU"/>
              </w:rPr>
              <w:t> </w:t>
            </w:r>
          </w:p>
        </w:tc>
        <w:tc>
          <w:tcPr>
            <w:tcW w:w="1417" w:type="dxa"/>
            <w:tcBorders>
              <w:top w:val="nil"/>
              <w:left w:val="nil"/>
              <w:bottom w:val="single" w:color="auto" w:sz="8" w:space="0"/>
              <w:right w:val="single" w:color="auto" w:sz="4" w:space="0"/>
            </w:tcBorders>
            <w:shd w:val="clear" w:color="auto" w:fill="auto"/>
            <w:noWrap/>
            <w:vAlign w:val="center"/>
          </w:tcPr>
          <w:p>
            <w:pPr>
              <w:suppressAutoHyphens w:val="0"/>
              <w:jc w:val="center"/>
              <w:rPr>
                <w:color w:val="000000"/>
                <w:sz w:val="22"/>
                <w:szCs w:val="22"/>
                <w:highlight w:val="none"/>
                <w:lang w:eastAsia="ru-RU"/>
              </w:rPr>
            </w:pPr>
            <w:r>
              <w:rPr>
                <w:color w:val="000000"/>
                <w:sz w:val="22"/>
                <w:szCs w:val="22"/>
                <w:highlight w:val="none"/>
                <w:lang w:eastAsia="ru-RU"/>
              </w:rPr>
              <w:t> </w:t>
            </w:r>
          </w:p>
        </w:tc>
        <w:tc>
          <w:tcPr>
            <w:tcW w:w="1145" w:type="dxa"/>
            <w:tcBorders>
              <w:top w:val="nil"/>
              <w:left w:val="nil"/>
              <w:bottom w:val="single" w:color="auto" w:sz="8" w:space="0"/>
              <w:right w:val="single" w:color="auto" w:sz="4" w:space="0"/>
            </w:tcBorders>
            <w:shd w:val="clear" w:color="auto" w:fill="auto"/>
            <w:noWrap/>
            <w:vAlign w:val="center"/>
          </w:tcPr>
          <w:p>
            <w:pPr>
              <w:suppressAutoHyphens w:val="0"/>
              <w:jc w:val="center"/>
              <w:rPr>
                <w:color w:val="000000"/>
                <w:sz w:val="22"/>
                <w:szCs w:val="22"/>
                <w:highlight w:val="none"/>
                <w:lang w:eastAsia="ru-RU"/>
              </w:rPr>
            </w:pPr>
            <w:r>
              <w:rPr>
                <w:color w:val="000000"/>
                <w:sz w:val="22"/>
                <w:szCs w:val="22"/>
                <w:highlight w:val="none"/>
                <w:lang w:eastAsia="ru-RU"/>
              </w:rPr>
              <w:t> </w:t>
            </w:r>
          </w:p>
        </w:tc>
        <w:tc>
          <w:tcPr>
            <w:tcW w:w="1677" w:type="dxa"/>
            <w:tcBorders>
              <w:top w:val="nil"/>
              <w:left w:val="nil"/>
              <w:bottom w:val="single" w:color="auto" w:sz="8" w:space="0"/>
              <w:right w:val="single" w:color="auto" w:sz="8" w:space="0"/>
            </w:tcBorders>
            <w:shd w:val="clear" w:color="auto" w:fill="auto"/>
            <w:noWrap/>
            <w:vAlign w:val="center"/>
          </w:tcPr>
          <w:p>
            <w:pPr>
              <w:suppressAutoHyphens w:val="0"/>
              <w:jc w:val="center"/>
              <w:rPr>
                <w:rFonts w:hint="default"/>
                <w:b/>
                <w:bCs/>
                <w:color w:val="000000"/>
                <w:sz w:val="22"/>
                <w:szCs w:val="22"/>
                <w:highlight w:val="none"/>
                <w:lang w:val="en-US" w:eastAsia="ru-RU"/>
              </w:rPr>
            </w:pPr>
            <w:r>
              <w:rPr>
                <w:rFonts w:hint="default"/>
                <w:b/>
                <w:bCs/>
                <w:color w:val="000000"/>
                <w:sz w:val="22"/>
                <w:szCs w:val="22"/>
                <w:highlight w:val="none"/>
                <w:lang w:val="en-US" w:eastAsia="ru-RU"/>
              </w:rPr>
              <w:t>9 967 650,00</w:t>
            </w:r>
          </w:p>
        </w:tc>
      </w:tr>
      <w:tr>
        <w:tblPrEx>
          <w:tblCellMar>
            <w:top w:w="0" w:type="dxa"/>
            <w:left w:w="108" w:type="dxa"/>
            <w:bottom w:w="0" w:type="dxa"/>
            <w:right w:w="108" w:type="dxa"/>
          </w:tblCellMar>
        </w:tblPrEx>
        <w:trPr>
          <w:trHeight w:val="300" w:hRule="atLeast"/>
        </w:trPr>
        <w:tc>
          <w:tcPr>
            <w:tcW w:w="584" w:type="dxa"/>
            <w:tcBorders>
              <w:top w:val="nil"/>
              <w:left w:val="nil"/>
              <w:bottom w:val="nil"/>
              <w:right w:val="nil"/>
            </w:tcBorders>
            <w:shd w:val="clear" w:color="auto" w:fill="auto"/>
            <w:noWrap/>
            <w:vAlign w:val="center"/>
          </w:tcPr>
          <w:p>
            <w:pPr>
              <w:suppressAutoHyphens w:val="0"/>
              <w:jc w:val="center"/>
              <w:rPr>
                <w:color w:val="000000"/>
                <w:sz w:val="22"/>
                <w:szCs w:val="22"/>
                <w:highlight w:val="yellow"/>
                <w:lang w:eastAsia="ru-RU"/>
              </w:rPr>
            </w:pPr>
          </w:p>
        </w:tc>
        <w:tc>
          <w:tcPr>
            <w:tcW w:w="1843" w:type="dxa"/>
            <w:tcBorders>
              <w:top w:val="nil"/>
              <w:left w:val="nil"/>
              <w:bottom w:val="nil"/>
              <w:right w:val="nil"/>
            </w:tcBorders>
            <w:shd w:val="clear" w:color="auto" w:fill="auto"/>
            <w:noWrap/>
            <w:vAlign w:val="center"/>
          </w:tcPr>
          <w:p>
            <w:pPr>
              <w:suppressAutoHyphens w:val="0"/>
              <w:jc w:val="center"/>
              <w:rPr>
                <w:color w:val="000000"/>
                <w:sz w:val="22"/>
                <w:szCs w:val="22"/>
                <w:highlight w:val="yellow"/>
                <w:lang w:eastAsia="ru-RU"/>
              </w:rPr>
            </w:pPr>
          </w:p>
        </w:tc>
        <w:tc>
          <w:tcPr>
            <w:tcW w:w="992" w:type="dxa"/>
            <w:tcBorders>
              <w:top w:val="nil"/>
              <w:left w:val="nil"/>
              <w:bottom w:val="nil"/>
              <w:right w:val="nil"/>
            </w:tcBorders>
            <w:shd w:val="clear" w:color="auto" w:fill="auto"/>
            <w:noWrap/>
            <w:vAlign w:val="center"/>
          </w:tcPr>
          <w:p>
            <w:pPr>
              <w:suppressAutoHyphens w:val="0"/>
              <w:jc w:val="center"/>
              <w:rPr>
                <w:color w:val="000000"/>
                <w:sz w:val="22"/>
                <w:szCs w:val="22"/>
                <w:highlight w:val="yellow"/>
                <w:lang w:eastAsia="ru-RU"/>
              </w:rPr>
            </w:pPr>
          </w:p>
        </w:tc>
        <w:tc>
          <w:tcPr>
            <w:tcW w:w="1560" w:type="dxa"/>
            <w:tcBorders>
              <w:top w:val="nil"/>
              <w:left w:val="nil"/>
              <w:bottom w:val="nil"/>
              <w:right w:val="nil"/>
            </w:tcBorders>
            <w:shd w:val="clear" w:color="auto" w:fill="auto"/>
            <w:noWrap/>
            <w:vAlign w:val="center"/>
          </w:tcPr>
          <w:p>
            <w:pPr>
              <w:suppressAutoHyphens w:val="0"/>
              <w:jc w:val="center"/>
              <w:rPr>
                <w:color w:val="000000"/>
                <w:sz w:val="22"/>
                <w:szCs w:val="22"/>
                <w:highlight w:val="yellow"/>
                <w:lang w:eastAsia="ru-RU"/>
              </w:rPr>
            </w:pPr>
          </w:p>
        </w:tc>
        <w:tc>
          <w:tcPr>
            <w:tcW w:w="1417" w:type="dxa"/>
            <w:tcBorders>
              <w:top w:val="nil"/>
              <w:left w:val="nil"/>
              <w:bottom w:val="nil"/>
              <w:right w:val="nil"/>
            </w:tcBorders>
            <w:shd w:val="clear" w:color="auto" w:fill="auto"/>
            <w:noWrap/>
            <w:vAlign w:val="center"/>
          </w:tcPr>
          <w:p>
            <w:pPr>
              <w:suppressAutoHyphens w:val="0"/>
              <w:jc w:val="center"/>
              <w:rPr>
                <w:color w:val="000000"/>
                <w:sz w:val="22"/>
                <w:szCs w:val="22"/>
                <w:highlight w:val="yellow"/>
                <w:lang w:eastAsia="ru-RU"/>
              </w:rPr>
            </w:pPr>
          </w:p>
        </w:tc>
        <w:tc>
          <w:tcPr>
            <w:tcW w:w="1559" w:type="dxa"/>
            <w:tcBorders>
              <w:top w:val="nil"/>
              <w:left w:val="nil"/>
              <w:bottom w:val="nil"/>
              <w:right w:val="nil"/>
            </w:tcBorders>
            <w:shd w:val="clear" w:color="auto" w:fill="auto"/>
            <w:noWrap/>
            <w:vAlign w:val="center"/>
          </w:tcPr>
          <w:p>
            <w:pPr>
              <w:suppressAutoHyphens w:val="0"/>
              <w:jc w:val="center"/>
              <w:rPr>
                <w:color w:val="000000"/>
                <w:sz w:val="22"/>
                <w:szCs w:val="22"/>
                <w:highlight w:val="yellow"/>
                <w:lang w:eastAsia="ru-RU"/>
              </w:rPr>
            </w:pPr>
          </w:p>
        </w:tc>
        <w:tc>
          <w:tcPr>
            <w:tcW w:w="1560" w:type="dxa"/>
            <w:tcBorders>
              <w:top w:val="nil"/>
              <w:left w:val="nil"/>
              <w:bottom w:val="nil"/>
              <w:right w:val="nil"/>
            </w:tcBorders>
            <w:shd w:val="clear" w:color="auto" w:fill="auto"/>
            <w:noWrap/>
            <w:vAlign w:val="center"/>
          </w:tcPr>
          <w:p>
            <w:pPr>
              <w:suppressAutoHyphens w:val="0"/>
              <w:jc w:val="center"/>
              <w:rPr>
                <w:color w:val="000000"/>
                <w:sz w:val="22"/>
                <w:szCs w:val="22"/>
                <w:highlight w:val="yellow"/>
                <w:lang w:eastAsia="ru-RU"/>
              </w:rPr>
            </w:pPr>
          </w:p>
        </w:tc>
        <w:tc>
          <w:tcPr>
            <w:tcW w:w="1701" w:type="dxa"/>
            <w:tcBorders>
              <w:top w:val="nil"/>
              <w:left w:val="nil"/>
              <w:bottom w:val="nil"/>
              <w:right w:val="nil"/>
            </w:tcBorders>
            <w:shd w:val="clear" w:color="auto" w:fill="auto"/>
            <w:noWrap/>
            <w:vAlign w:val="center"/>
          </w:tcPr>
          <w:p>
            <w:pPr>
              <w:suppressAutoHyphens w:val="0"/>
              <w:jc w:val="center"/>
              <w:rPr>
                <w:color w:val="000000"/>
                <w:sz w:val="22"/>
                <w:szCs w:val="22"/>
                <w:highlight w:val="yellow"/>
                <w:lang w:eastAsia="ru-RU"/>
              </w:rPr>
            </w:pPr>
          </w:p>
        </w:tc>
        <w:tc>
          <w:tcPr>
            <w:tcW w:w="1417" w:type="dxa"/>
            <w:tcBorders>
              <w:top w:val="nil"/>
              <w:left w:val="nil"/>
              <w:bottom w:val="nil"/>
              <w:right w:val="nil"/>
            </w:tcBorders>
            <w:shd w:val="clear" w:color="auto" w:fill="auto"/>
            <w:noWrap/>
            <w:vAlign w:val="center"/>
          </w:tcPr>
          <w:p>
            <w:pPr>
              <w:suppressAutoHyphens w:val="0"/>
              <w:jc w:val="center"/>
              <w:rPr>
                <w:color w:val="000000"/>
                <w:sz w:val="22"/>
                <w:szCs w:val="22"/>
                <w:highlight w:val="yellow"/>
                <w:lang w:eastAsia="ru-RU"/>
              </w:rPr>
            </w:pPr>
          </w:p>
        </w:tc>
        <w:tc>
          <w:tcPr>
            <w:tcW w:w="1145" w:type="dxa"/>
            <w:tcBorders>
              <w:top w:val="nil"/>
              <w:left w:val="nil"/>
              <w:bottom w:val="nil"/>
              <w:right w:val="nil"/>
            </w:tcBorders>
            <w:shd w:val="clear" w:color="auto" w:fill="auto"/>
            <w:noWrap/>
            <w:vAlign w:val="center"/>
          </w:tcPr>
          <w:p>
            <w:pPr>
              <w:suppressAutoHyphens w:val="0"/>
              <w:jc w:val="center"/>
              <w:rPr>
                <w:color w:val="000000"/>
                <w:sz w:val="22"/>
                <w:szCs w:val="22"/>
                <w:highlight w:val="yellow"/>
                <w:lang w:eastAsia="ru-RU"/>
              </w:rPr>
            </w:pPr>
          </w:p>
        </w:tc>
        <w:tc>
          <w:tcPr>
            <w:tcW w:w="1677" w:type="dxa"/>
            <w:tcBorders>
              <w:top w:val="nil"/>
              <w:left w:val="nil"/>
              <w:bottom w:val="nil"/>
              <w:right w:val="nil"/>
            </w:tcBorders>
            <w:shd w:val="clear" w:color="auto" w:fill="auto"/>
            <w:noWrap/>
            <w:vAlign w:val="center"/>
          </w:tcPr>
          <w:p>
            <w:pPr>
              <w:suppressAutoHyphens w:val="0"/>
              <w:jc w:val="center"/>
              <w:rPr>
                <w:color w:val="000000"/>
                <w:sz w:val="22"/>
                <w:szCs w:val="22"/>
                <w:highlight w:val="yellow"/>
                <w:lang w:eastAsia="ru-RU"/>
              </w:rPr>
            </w:pPr>
          </w:p>
        </w:tc>
      </w:tr>
      <w:tr>
        <w:tblPrEx>
          <w:tblCellMar>
            <w:top w:w="0" w:type="dxa"/>
            <w:left w:w="108" w:type="dxa"/>
            <w:bottom w:w="0" w:type="dxa"/>
            <w:right w:w="108" w:type="dxa"/>
          </w:tblCellMar>
        </w:tblPrEx>
        <w:trPr>
          <w:trHeight w:val="300" w:hRule="atLeast"/>
        </w:trPr>
        <w:tc>
          <w:tcPr>
            <w:tcW w:w="584" w:type="dxa"/>
            <w:tcBorders>
              <w:top w:val="nil"/>
              <w:left w:val="nil"/>
              <w:bottom w:val="nil"/>
              <w:right w:val="nil"/>
            </w:tcBorders>
            <w:shd w:val="clear" w:color="auto" w:fill="auto"/>
            <w:noWrap/>
            <w:vAlign w:val="center"/>
          </w:tcPr>
          <w:p>
            <w:pPr>
              <w:suppressAutoHyphens w:val="0"/>
              <w:jc w:val="center"/>
              <w:rPr>
                <w:color w:val="000000"/>
                <w:sz w:val="22"/>
                <w:szCs w:val="22"/>
                <w:highlight w:val="yellow"/>
                <w:lang w:eastAsia="ru-RU"/>
              </w:rPr>
            </w:pPr>
          </w:p>
        </w:tc>
        <w:tc>
          <w:tcPr>
            <w:tcW w:w="1843" w:type="dxa"/>
            <w:tcBorders>
              <w:top w:val="nil"/>
              <w:left w:val="nil"/>
              <w:bottom w:val="nil"/>
              <w:right w:val="nil"/>
            </w:tcBorders>
            <w:shd w:val="clear" w:color="auto" w:fill="auto"/>
            <w:noWrap/>
            <w:vAlign w:val="center"/>
          </w:tcPr>
          <w:p>
            <w:pPr>
              <w:suppressAutoHyphens w:val="0"/>
              <w:jc w:val="center"/>
              <w:rPr>
                <w:color w:val="000000"/>
                <w:sz w:val="22"/>
                <w:szCs w:val="22"/>
                <w:highlight w:val="yellow"/>
                <w:lang w:eastAsia="ru-RU"/>
              </w:rPr>
            </w:pPr>
          </w:p>
        </w:tc>
        <w:tc>
          <w:tcPr>
            <w:tcW w:w="992" w:type="dxa"/>
            <w:tcBorders>
              <w:top w:val="nil"/>
              <w:left w:val="nil"/>
              <w:bottom w:val="nil"/>
              <w:right w:val="nil"/>
            </w:tcBorders>
            <w:shd w:val="clear" w:color="auto" w:fill="auto"/>
            <w:noWrap/>
            <w:vAlign w:val="center"/>
          </w:tcPr>
          <w:p>
            <w:pPr>
              <w:suppressAutoHyphens w:val="0"/>
              <w:jc w:val="center"/>
              <w:rPr>
                <w:color w:val="000000"/>
                <w:sz w:val="22"/>
                <w:szCs w:val="22"/>
                <w:highlight w:val="yellow"/>
                <w:lang w:eastAsia="ru-RU"/>
              </w:rPr>
            </w:pPr>
          </w:p>
        </w:tc>
        <w:tc>
          <w:tcPr>
            <w:tcW w:w="1560" w:type="dxa"/>
            <w:tcBorders>
              <w:top w:val="nil"/>
              <w:left w:val="nil"/>
              <w:bottom w:val="nil"/>
              <w:right w:val="nil"/>
            </w:tcBorders>
            <w:shd w:val="clear" w:color="auto" w:fill="auto"/>
            <w:noWrap/>
            <w:vAlign w:val="center"/>
          </w:tcPr>
          <w:p>
            <w:pPr>
              <w:suppressAutoHyphens w:val="0"/>
              <w:jc w:val="center"/>
              <w:rPr>
                <w:color w:val="000000"/>
                <w:sz w:val="22"/>
                <w:szCs w:val="22"/>
                <w:highlight w:val="yellow"/>
                <w:lang w:eastAsia="ru-RU"/>
              </w:rPr>
            </w:pPr>
          </w:p>
        </w:tc>
        <w:tc>
          <w:tcPr>
            <w:tcW w:w="1417" w:type="dxa"/>
            <w:tcBorders>
              <w:top w:val="nil"/>
              <w:left w:val="nil"/>
              <w:bottom w:val="nil"/>
              <w:right w:val="nil"/>
            </w:tcBorders>
            <w:shd w:val="clear" w:color="auto" w:fill="auto"/>
            <w:noWrap/>
            <w:vAlign w:val="center"/>
          </w:tcPr>
          <w:p>
            <w:pPr>
              <w:suppressAutoHyphens w:val="0"/>
              <w:jc w:val="center"/>
              <w:rPr>
                <w:color w:val="000000"/>
                <w:sz w:val="22"/>
                <w:szCs w:val="22"/>
                <w:highlight w:val="yellow"/>
                <w:lang w:eastAsia="ru-RU"/>
              </w:rPr>
            </w:pPr>
          </w:p>
        </w:tc>
        <w:tc>
          <w:tcPr>
            <w:tcW w:w="1559" w:type="dxa"/>
            <w:tcBorders>
              <w:top w:val="nil"/>
              <w:left w:val="nil"/>
              <w:bottom w:val="nil"/>
              <w:right w:val="nil"/>
            </w:tcBorders>
            <w:shd w:val="clear" w:color="auto" w:fill="auto"/>
            <w:noWrap/>
            <w:vAlign w:val="center"/>
          </w:tcPr>
          <w:p>
            <w:pPr>
              <w:suppressAutoHyphens w:val="0"/>
              <w:jc w:val="center"/>
              <w:rPr>
                <w:color w:val="000000"/>
                <w:sz w:val="22"/>
                <w:szCs w:val="22"/>
                <w:highlight w:val="yellow"/>
                <w:lang w:eastAsia="ru-RU"/>
              </w:rPr>
            </w:pPr>
          </w:p>
        </w:tc>
        <w:tc>
          <w:tcPr>
            <w:tcW w:w="1560" w:type="dxa"/>
            <w:tcBorders>
              <w:top w:val="nil"/>
              <w:left w:val="nil"/>
              <w:bottom w:val="nil"/>
              <w:right w:val="nil"/>
            </w:tcBorders>
            <w:shd w:val="clear" w:color="auto" w:fill="auto"/>
            <w:noWrap/>
            <w:vAlign w:val="center"/>
          </w:tcPr>
          <w:p>
            <w:pPr>
              <w:suppressAutoHyphens w:val="0"/>
              <w:jc w:val="center"/>
              <w:rPr>
                <w:color w:val="000000"/>
                <w:sz w:val="22"/>
                <w:szCs w:val="22"/>
                <w:highlight w:val="yellow"/>
                <w:lang w:eastAsia="ru-RU"/>
              </w:rPr>
            </w:pPr>
          </w:p>
        </w:tc>
        <w:tc>
          <w:tcPr>
            <w:tcW w:w="1701" w:type="dxa"/>
            <w:tcBorders>
              <w:top w:val="nil"/>
              <w:left w:val="nil"/>
              <w:bottom w:val="nil"/>
              <w:right w:val="nil"/>
            </w:tcBorders>
            <w:shd w:val="clear" w:color="auto" w:fill="auto"/>
            <w:noWrap/>
            <w:vAlign w:val="center"/>
          </w:tcPr>
          <w:p>
            <w:pPr>
              <w:suppressAutoHyphens w:val="0"/>
              <w:jc w:val="center"/>
              <w:rPr>
                <w:color w:val="000000"/>
                <w:sz w:val="22"/>
                <w:szCs w:val="22"/>
                <w:highlight w:val="yellow"/>
                <w:lang w:eastAsia="ru-RU"/>
              </w:rPr>
            </w:pPr>
          </w:p>
        </w:tc>
        <w:tc>
          <w:tcPr>
            <w:tcW w:w="1417" w:type="dxa"/>
            <w:tcBorders>
              <w:top w:val="nil"/>
              <w:left w:val="nil"/>
              <w:bottom w:val="nil"/>
              <w:right w:val="nil"/>
            </w:tcBorders>
            <w:shd w:val="clear" w:color="auto" w:fill="auto"/>
            <w:noWrap/>
            <w:vAlign w:val="center"/>
          </w:tcPr>
          <w:p>
            <w:pPr>
              <w:suppressAutoHyphens w:val="0"/>
              <w:jc w:val="center"/>
              <w:rPr>
                <w:color w:val="000000"/>
                <w:sz w:val="22"/>
                <w:szCs w:val="22"/>
                <w:highlight w:val="yellow"/>
                <w:lang w:eastAsia="ru-RU"/>
              </w:rPr>
            </w:pPr>
          </w:p>
        </w:tc>
        <w:tc>
          <w:tcPr>
            <w:tcW w:w="1145" w:type="dxa"/>
            <w:tcBorders>
              <w:top w:val="nil"/>
              <w:left w:val="nil"/>
              <w:bottom w:val="nil"/>
              <w:right w:val="nil"/>
            </w:tcBorders>
            <w:shd w:val="clear" w:color="auto" w:fill="auto"/>
            <w:noWrap/>
            <w:vAlign w:val="center"/>
          </w:tcPr>
          <w:p>
            <w:pPr>
              <w:suppressAutoHyphens w:val="0"/>
              <w:jc w:val="center"/>
              <w:rPr>
                <w:color w:val="000000"/>
                <w:sz w:val="22"/>
                <w:szCs w:val="22"/>
                <w:highlight w:val="yellow"/>
                <w:lang w:eastAsia="ru-RU"/>
              </w:rPr>
            </w:pPr>
          </w:p>
        </w:tc>
        <w:tc>
          <w:tcPr>
            <w:tcW w:w="1677" w:type="dxa"/>
            <w:tcBorders>
              <w:top w:val="nil"/>
              <w:left w:val="nil"/>
              <w:bottom w:val="nil"/>
              <w:right w:val="nil"/>
            </w:tcBorders>
            <w:shd w:val="clear" w:color="auto" w:fill="auto"/>
            <w:noWrap/>
            <w:vAlign w:val="center"/>
          </w:tcPr>
          <w:p>
            <w:pPr>
              <w:suppressAutoHyphens w:val="0"/>
              <w:jc w:val="center"/>
              <w:rPr>
                <w:color w:val="000000"/>
                <w:sz w:val="22"/>
                <w:szCs w:val="22"/>
                <w:highlight w:val="yellow"/>
                <w:lang w:eastAsia="ru-RU"/>
              </w:rPr>
            </w:pPr>
          </w:p>
        </w:tc>
      </w:tr>
      <w:tr>
        <w:tblPrEx>
          <w:tblCellMar>
            <w:top w:w="0" w:type="dxa"/>
            <w:left w:w="108" w:type="dxa"/>
            <w:bottom w:w="0" w:type="dxa"/>
            <w:right w:w="108" w:type="dxa"/>
          </w:tblCellMar>
        </w:tblPrEx>
        <w:trPr>
          <w:trHeight w:val="300" w:hRule="atLeast"/>
        </w:trPr>
        <w:tc>
          <w:tcPr>
            <w:tcW w:w="15455" w:type="dxa"/>
            <w:gridSpan w:val="11"/>
            <w:tcBorders>
              <w:top w:val="nil"/>
              <w:left w:val="nil"/>
              <w:bottom w:val="nil"/>
              <w:right w:val="nil"/>
            </w:tcBorders>
            <w:shd w:val="clear" w:color="auto" w:fill="auto"/>
            <w:noWrap/>
            <w:vAlign w:val="center"/>
          </w:tcPr>
          <w:p>
            <w:pPr>
              <w:suppressAutoHyphens w:val="0"/>
              <w:rPr>
                <w:color w:val="000000"/>
                <w:sz w:val="22"/>
                <w:szCs w:val="22"/>
                <w:highlight w:val="yellow"/>
                <w:lang w:eastAsia="ru-RU"/>
              </w:rPr>
            </w:pPr>
          </w:p>
        </w:tc>
      </w:tr>
      <w:tr>
        <w:tblPrEx>
          <w:tblCellMar>
            <w:top w:w="0" w:type="dxa"/>
            <w:left w:w="108" w:type="dxa"/>
            <w:bottom w:w="0" w:type="dxa"/>
            <w:right w:w="108" w:type="dxa"/>
          </w:tblCellMar>
        </w:tblPrEx>
        <w:trPr>
          <w:trHeight w:val="300" w:hRule="atLeast"/>
        </w:trPr>
        <w:tc>
          <w:tcPr>
            <w:tcW w:w="15455" w:type="dxa"/>
            <w:gridSpan w:val="11"/>
            <w:tcBorders>
              <w:top w:val="nil"/>
              <w:left w:val="nil"/>
              <w:bottom w:val="nil"/>
              <w:right w:val="nil"/>
            </w:tcBorders>
            <w:shd w:val="clear" w:color="auto" w:fill="auto"/>
            <w:noWrap/>
            <w:vAlign w:val="center"/>
          </w:tcPr>
          <w:p>
            <w:pPr>
              <w:suppressAutoHyphens w:val="0"/>
              <w:rPr>
                <w:color w:val="000000"/>
                <w:sz w:val="22"/>
                <w:szCs w:val="22"/>
                <w:highlight w:val="yellow"/>
                <w:lang w:eastAsia="ru-RU"/>
              </w:rPr>
            </w:pPr>
          </w:p>
        </w:tc>
      </w:tr>
      <w:tr>
        <w:tblPrEx>
          <w:tblCellMar>
            <w:top w:w="0" w:type="dxa"/>
            <w:left w:w="108" w:type="dxa"/>
            <w:bottom w:w="0" w:type="dxa"/>
            <w:right w:w="108" w:type="dxa"/>
          </w:tblCellMar>
        </w:tblPrEx>
        <w:trPr>
          <w:trHeight w:val="300" w:hRule="atLeast"/>
        </w:trPr>
        <w:tc>
          <w:tcPr>
            <w:tcW w:w="15455" w:type="dxa"/>
            <w:gridSpan w:val="11"/>
            <w:tcBorders>
              <w:top w:val="nil"/>
              <w:left w:val="nil"/>
              <w:bottom w:val="nil"/>
              <w:right w:val="nil"/>
            </w:tcBorders>
            <w:shd w:val="clear" w:color="auto" w:fill="auto"/>
            <w:noWrap/>
            <w:vAlign w:val="center"/>
          </w:tcPr>
          <w:p>
            <w:pPr>
              <w:suppressAutoHyphens w:val="0"/>
              <w:rPr>
                <w:rFonts w:hint="default"/>
                <w:color w:val="000000"/>
                <w:sz w:val="22"/>
                <w:szCs w:val="22"/>
                <w:highlight w:val="none"/>
                <w:lang w:val="en-US" w:eastAsia="ru-RU"/>
              </w:rPr>
            </w:pPr>
            <w:r>
              <w:rPr>
                <w:color w:val="000000"/>
                <w:sz w:val="22"/>
                <w:szCs w:val="22"/>
                <w:highlight w:val="none"/>
                <w:lang w:eastAsia="ru-RU"/>
              </w:rPr>
              <w:t xml:space="preserve">Цена 1: Коммерческое предложение  №1  от </w:t>
            </w:r>
            <w:r>
              <w:rPr>
                <w:rFonts w:hint="default"/>
                <w:color w:val="000000"/>
                <w:sz w:val="22"/>
                <w:szCs w:val="22"/>
                <w:highlight w:val="none"/>
                <w:lang w:val="en-US" w:eastAsia="ru-RU"/>
              </w:rPr>
              <w:t>15.09.2022</w:t>
            </w:r>
          </w:p>
        </w:tc>
      </w:tr>
      <w:tr>
        <w:tblPrEx>
          <w:tblCellMar>
            <w:top w:w="0" w:type="dxa"/>
            <w:left w:w="108" w:type="dxa"/>
            <w:bottom w:w="0" w:type="dxa"/>
            <w:right w:w="108" w:type="dxa"/>
          </w:tblCellMar>
        </w:tblPrEx>
        <w:trPr>
          <w:trHeight w:val="300" w:hRule="atLeast"/>
        </w:trPr>
        <w:tc>
          <w:tcPr>
            <w:tcW w:w="15455" w:type="dxa"/>
            <w:gridSpan w:val="11"/>
            <w:tcBorders>
              <w:top w:val="nil"/>
              <w:left w:val="nil"/>
              <w:bottom w:val="nil"/>
              <w:right w:val="nil"/>
            </w:tcBorders>
            <w:shd w:val="clear" w:color="auto" w:fill="auto"/>
            <w:noWrap/>
            <w:vAlign w:val="center"/>
          </w:tcPr>
          <w:p>
            <w:pPr>
              <w:suppressAutoHyphens w:val="0"/>
              <w:rPr>
                <w:rFonts w:hint="default"/>
                <w:color w:val="000000"/>
                <w:sz w:val="22"/>
                <w:szCs w:val="22"/>
                <w:highlight w:val="none"/>
                <w:lang w:val="en-US" w:eastAsia="ru-RU"/>
              </w:rPr>
            </w:pPr>
            <w:r>
              <w:rPr>
                <w:color w:val="000000"/>
                <w:sz w:val="22"/>
                <w:szCs w:val="22"/>
                <w:highlight w:val="none"/>
                <w:lang w:eastAsia="ru-RU"/>
              </w:rPr>
              <w:t>Цена 2:   Коммерческое предложение  №2  от</w:t>
            </w:r>
            <w:r>
              <w:rPr>
                <w:rFonts w:hint="default"/>
                <w:color w:val="000000"/>
                <w:sz w:val="22"/>
                <w:szCs w:val="22"/>
                <w:highlight w:val="none"/>
                <w:lang w:val="en-US" w:eastAsia="ru-RU"/>
              </w:rPr>
              <w:t xml:space="preserve"> 15.09.2022</w:t>
            </w:r>
          </w:p>
        </w:tc>
      </w:tr>
      <w:tr>
        <w:tblPrEx>
          <w:tblCellMar>
            <w:top w:w="0" w:type="dxa"/>
            <w:left w:w="108" w:type="dxa"/>
            <w:bottom w:w="0" w:type="dxa"/>
            <w:right w:w="108" w:type="dxa"/>
          </w:tblCellMar>
        </w:tblPrEx>
        <w:trPr>
          <w:trHeight w:val="300" w:hRule="atLeast"/>
        </w:trPr>
        <w:tc>
          <w:tcPr>
            <w:tcW w:w="15455" w:type="dxa"/>
            <w:gridSpan w:val="11"/>
            <w:tcBorders>
              <w:top w:val="nil"/>
              <w:left w:val="nil"/>
              <w:bottom w:val="nil"/>
              <w:right w:val="nil"/>
            </w:tcBorders>
            <w:shd w:val="clear" w:color="auto" w:fill="auto"/>
            <w:noWrap/>
            <w:vAlign w:val="center"/>
          </w:tcPr>
          <w:p>
            <w:pPr>
              <w:suppressAutoHyphens w:val="0"/>
              <w:rPr>
                <w:rFonts w:hint="default"/>
                <w:color w:val="000000"/>
                <w:sz w:val="22"/>
                <w:szCs w:val="22"/>
                <w:highlight w:val="yellow"/>
                <w:lang w:val="en-US" w:eastAsia="ru-RU"/>
              </w:rPr>
            </w:pPr>
            <w:r>
              <w:rPr>
                <w:color w:val="000000"/>
                <w:sz w:val="22"/>
                <w:szCs w:val="22"/>
                <w:highlight w:val="none"/>
                <w:lang w:eastAsia="ru-RU"/>
              </w:rPr>
              <w:t xml:space="preserve">Цена 3:  Коммерческое предложение  №3  от </w:t>
            </w:r>
            <w:r>
              <w:rPr>
                <w:rFonts w:hint="default"/>
                <w:color w:val="000000"/>
                <w:sz w:val="22"/>
                <w:szCs w:val="22"/>
                <w:highlight w:val="none"/>
                <w:lang w:val="en-US" w:eastAsia="ru-RU"/>
              </w:rPr>
              <w:t>20.09.2022</w:t>
            </w:r>
          </w:p>
        </w:tc>
      </w:tr>
    </w:tbl>
    <w:p>
      <w:pPr>
        <w:autoSpaceDE w:val="0"/>
        <w:ind w:right="-6"/>
        <w:rPr>
          <w:sz w:val="22"/>
          <w:szCs w:val="22"/>
        </w:rPr>
      </w:pPr>
    </w:p>
    <w:p>
      <w:pPr>
        <w:autoSpaceDE w:val="0"/>
        <w:ind w:right="-6"/>
        <w:rPr>
          <w:sz w:val="22"/>
          <w:szCs w:val="22"/>
        </w:rPr>
      </w:pPr>
    </w:p>
    <w:p>
      <w:pPr>
        <w:autoSpaceDE w:val="0"/>
        <w:ind w:right="-6"/>
        <w:rPr>
          <w:sz w:val="22"/>
          <w:szCs w:val="22"/>
        </w:rPr>
      </w:pPr>
    </w:p>
    <w:p>
      <w:pPr>
        <w:autoSpaceDE w:val="0"/>
        <w:ind w:right="-6"/>
        <w:rPr>
          <w:sz w:val="22"/>
          <w:szCs w:val="22"/>
          <w:highlight w:val="none"/>
        </w:rPr>
      </w:pPr>
    </w:p>
    <w:p>
      <w:pPr>
        <w:suppressAutoHyphens w:val="0"/>
        <w:rPr>
          <w:rFonts w:hint="default"/>
          <w:highlight w:val="none"/>
          <w:lang w:val="ru-RU"/>
        </w:rPr>
      </w:pPr>
      <w:r>
        <w:rPr>
          <w:highlight w:val="none"/>
        </w:rPr>
        <w:t xml:space="preserve">Подготовил    </w:t>
      </w:r>
      <w:r>
        <w:rPr>
          <w:highlight w:val="none"/>
          <w:lang w:val="ru-RU"/>
        </w:rPr>
        <w:t>юрисконсульт</w:t>
      </w:r>
      <w:r>
        <w:rPr>
          <w:highlight w:val="none"/>
        </w:rPr>
        <w:t xml:space="preserve">                                                               </w:t>
      </w:r>
      <w:r>
        <w:rPr>
          <w:highlight w:val="none"/>
          <w:lang w:val="ru-RU"/>
        </w:rPr>
        <w:t>А</w:t>
      </w:r>
      <w:r>
        <w:rPr>
          <w:rFonts w:hint="default"/>
          <w:highlight w:val="none"/>
          <w:lang w:val="ru-RU"/>
        </w:rPr>
        <w:t>.А. Недопекина</w:t>
      </w:r>
    </w:p>
    <w:p>
      <w:pPr>
        <w:suppressAutoHyphens w:val="0"/>
      </w:pPr>
    </w:p>
    <w:p>
      <w:pPr>
        <w:suppressAutoHyphens w:val="0"/>
      </w:pPr>
    </w:p>
    <w:p>
      <w:pPr>
        <w:suppressAutoHyphens w:val="0"/>
        <w:rPr>
          <w:b/>
          <w:bCs/>
          <w:color w:val="000000"/>
          <w:lang w:eastAsia="ru-RU"/>
        </w:rPr>
      </w:pPr>
    </w:p>
    <w:sectPr>
      <w:pgSz w:w="16838" w:h="11906" w:orient="landscape"/>
      <w:pgMar w:top="993" w:right="851" w:bottom="849" w:left="1135" w:header="720" w:footer="720"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Mangal">
    <w:altName w:val="Miriam Mono CLM"/>
    <w:panose1 w:val="02040503050203030202"/>
    <w:charset w:val="00"/>
    <w:family w:val="roman"/>
    <w:pitch w:val="default"/>
    <w:sig w:usb0="00000000" w:usb1="00000000" w:usb2="00000000" w:usb3="00000000" w:csb0="00000001" w:csb1="00000000"/>
  </w:font>
  <w:font w:name="Miriam Mono CLM">
    <w:panose1 w:val="02000503000000000000"/>
    <w:charset w:val="00"/>
    <w:family w:val="auto"/>
    <w:pitch w:val="default"/>
    <w:sig w:usb0="80000803" w:usb1="50002802" w:usb2="00000000" w:usb3="00000000" w:csb0="00000020" w:csb1="00000000"/>
  </w:font>
  <w:font w:name="Cambria">
    <w:panose1 w:val="02040503050406030204"/>
    <w:charset w:val="CC"/>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Verdana">
    <w:panose1 w:val="020B0604030504040204"/>
    <w:charset w:val="CC"/>
    <w:family w:val="swiss"/>
    <w:pitch w:val="default"/>
    <w:sig w:usb0="A00006FF" w:usb1="4000205B" w:usb2="00000010" w:usb3="00000000" w:csb0="2000019F" w:csb1="00000000"/>
  </w:font>
  <w:font w:name="Times New Roman CYR">
    <w:altName w:val="Times New Roman"/>
    <w:panose1 w:val="02020603050405020304"/>
    <w:charset w:val="CC"/>
    <w:family w:val="roman"/>
    <w:pitch w:val="default"/>
    <w:sig w:usb0="00000000" w:usb1="00000000" w:usb2="00000009" w:usb3="00000000" w:csb0="000001FF" w:csb1="00000000"/>
  </w:font>
  <w:font w:name="Lucida Sans Unicode">
    <w:panose1 w:val="020B0602030504020204"/>
    <w:charset w:val="CC"/>
    <w:family w:val="swiss"/>
    <w:pitch w:val="default"/>
    <w:sig w:usb0="80001AFF" w:usb1="0000396B" w:usb2="00000000" w:usb3="00000000" w:csb0="200000BF" w:csb1="D7F70000"/>
  </w:font>
  <w:font w:name="Gelvetsky 12pt">
    <w:altName w:val="Times New Roman"/>
    <w:panose1 w:val="00000000000000000000"/>
    <w:charset w:val="00"/>
    <w:family w:val="auto"/>
    <w:pitch w:val="default"/>
    <w:sig w:usb0="00000000" w:usb1="00000000" w:usb2="00000000" w:usb3="00000000" w:csb0="00000001" w:csb1="00000000"/>
  </w:font>
  <w:font w:name="Arial Unicode MS">
    <w:altName w:val="Arial"/>
    <w:panose1 w:val="020B0604020202020204"/>
    <w:charset w:val="80"/>
    <w:family w:val="swiss"/>
    <w:pitch w:val="default"/>
    <w:sig w:usb0="00000000" w:usb1="00000000" w:usb2="0000003F" w:usb3="00000000" w:csb0="003F01FF" w:csb1="00000000"/>
  </w:font>
  <w:font w:name="GaramondC">
    <w:altName w:val="Courier New"/>
    <w:panose1 w:val="00000000000000000000"/>
    <w:charset w:val="00"/>
    <w:family w:val="roman"/>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GaramondNarrowC">
    <w:altName w:val="Courier New"/>
    <w:panose1 w:val="00000000000000000000"/>
    <w:charset w:val="00"/>
    <w:family w:val="decorative"/>
    <w:pitch w:val="default"/>
    <w:sig w:usb0="00000000"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pPr>
    <w:r>
      <w:fldChar w:fldCharType="begin"/>
    </w:r>
    <w:r>
      <w:instrText xml:space="preserve"> PAGE </w:instrText>
    </w:r>
    <w:r>
      <w:fldChar w:fldCharType="separate"/>
    </w:r>
    <w:r>
      <w:t>8</w:t>
    </w:r>
    <w:r>
      <w:fldChar w:fldCharType="end"/>
    </w:r>
  </w:p>
  <w:p>
    <w:pPr>
      <w:pStyle w:val="4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pPr>
    <w:r>
      <w:fldChar w:fldCharType="begin"/>
    </w:r>
    <w:r>
      <w:instrText xml:space="preserve"> PAGE </w:instrText>
    </w:r>
    <w:r>
      <w:fldChar w:fldCharType="separate"/>
    </w:r>
    <w:r>
      <w:t>26</w:t>
    </w:r>
    <w:r>
      <w:fldChar w:fldCharType="end"/>
    </w:r>
  </w:p>
  <w:p>
    <w:pPr>
      <w:pStyle w:val="42"/>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r>
        <w:rPr>
          <w:rStyle w:val="333"/>
        </w:rPr>
        <w:footnoteRef/>
      </w:r>
      <w:r>
        <w:br w:type="page"/>
      </w:r>
    </w:p>
    <w:p>
      <w:pPr>
        <w:pStyle w:val="30"/>
        <w:pageBreakBefore/>
        <w:jc w:val="both"/>
      </w:pPr>
      <w:r>
        <w:rPr>
          <w:sz w:val="22"/>
          <w:szCs w:val="22"/>
        </w:rPr>
        <w:tab/>
      </w:r>
      <w:r>
        <w:rPr>
          <w:sz w:val="22"/>
          <w:szCs w:val="22"/>
        </w:rPr>
        <w:t>Незаполненные данные в проекте договора указываются Заказчиком до направления проекта договора лицу, с которым заключается такой договор по результатам аукциона, на основании заявки указанного лица и прочих актуальных на момент направления проекта договора сведений. Настоящая и последующие сноски будут удалены Заказчиком до направления проекта договора лицу, с которым заключается такой договор по результатам аукциона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4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39"/>
      <w:lvlText w:val=""/>
      <w:lvlJc w:val="left"/>
      <w:pPr>
        <w:tabs>
          <w:tab w:val="left" w:pos="360"/>
        </w:tabs>
        <w:ind w:left="360" w:hanging="360"/>
      </w:pPr>
      <w:rPr>
        <w:rFonts w:hint="default" w:ascii="Symbol" w:hAnsi="Symbol"/>
      </w:rPr>
    </w:lvl>
  </w:abstractNum>
  <w:abstractNum w:abstractNumId="2">
    <w:nsid w:val="00000005"/>
    <w:multiLevelType w:val="singleLevel"/>
    <w:tmpl w:val="00000005"/>
    <w:lvl w:ilvl="0" w:tentative="0">
      <w:start w:val="1"/>
      <w:numFmt w:val="bullet"/>
      <w:lvlText w:val="–"/>
      <w:lvlJc w:val="left"/>
      <w:pPr>
        <w:tabs>
          <w:tab w:val="left" w:pos="0"/>
        </w:tabs>
        <w:ind w:left="1260" w:hanging="360"/>
      </w:pPr>
      <w:rPr>
        <w:rFonts w:ascii="Times New Roman" w:hAnsi="Times New Roman" w:cs="Times New Roman"/>
        <w:sz w:val="22"/>
        <w:szCs w:val="22"/>
      </w:rPr>
    </w:lvl>
  </w:abstractNum>
  <w:abstractNum w:abstractNumId="3">
    <w:nsid w:val="00000018"/>
    <w:multiLevelType w:val="singleLevel"/>
    <w:tmpl w:val="00000018"/>
    <w:lvl w:ilvl="0" w:tentative="0">
      <w:start w:val="1"/>
      <w:numFmt w:val="decimal"/>
      <w:lvlText w:val="%1."/>
      <w:lvlJc w:val="left"/>
      <w:pPr>
        <w:tabs>
          <w:tab w:val="left" w:pos="0"/>
        </w:tabs>
        <w:ind w:left="0" w:firstLine="0"/>
      </w:pPr>
      <w:rPr>
        <w:rFonts w:hint="default"/>
        <w:b/>
      </w:rPr>
    </w:lvl>
  </w:abstractNum>
  <w:abstractNum w:abstractNumId="4">
    <w:nsid w:val="00000019"/>
    <w:multiLevelType w:val="singleLevel"/>
    <w:tmpl w:val="00000019"/>
    <w:lvl w:ilvl="0" w:tentative="0">
      <w:start w:val="1"/>
      <w:numFmt w:val="lowerLetter"/>
      <w:lvlText w:val="%1."/>
      <w:lvlJc w:val="left"/>
      <w:pPr>
        <w:tabs>
          <w:tab w:val="left" w:pos="0"/>
        </w:tabs>
        <w:ind w:left="1260" w:hanging="360"/>
      </w:pPr>
      <w:rPr>
        <w:kern w:val="1"/>
        <w:sz w:val="22"/>
        <w:szCs w:val="22"/>
      </w:rPr>
    </w:lvl>
  </w:abstractNum>
  <w:abstractNum w:abstractNumId="5">
    <w:nsid w:val="36440074"/>
    <w:multiLevelType w:val="multilevel"/>
    <w:tmpl w:val="36440074"/>
    <w:lvl w:ilvl="0" w:tentative="0">
      <w:start w:val="1"/>
      <w:numFmt w:val="decimal"/>
      <w:lvlText w:val="%1."/>
      <w:lvlJc w:val="left"/>
      <w:pPr>
        <w:tabs>
          <w:tab w:val="left" w:pos="360"/>
        </w:tabs>
        <w:ind w:left="360" w:hanging="360"/>
      </w:pPr>
      <w:rPr>
        <w:rFonts w:hint="default" w:cs="Times New Roman"/>
      </w:rPr>
    </w:lvl>
    <w:lvl w:ilvl="1" w:tentative="0">
      <w:start w:val="1"/>
      <w:numFmt w:val="decimal"/>
      <w:pStyle w:val="497"/>
      <w:lvlText w:val="%1.%2."/>
      <w:lvlJc w:val="left"/>
      <w:pPr>
        <w:tabs>
          <w:tab w:val="left" w:pos="6528"/>
        </w:tabs>
        <w:ind w:left="6528" w:hanging="432"/>
      </w:pPr>
      <w:rPr>
        <w:rFonts w:hint="default" w:cs="Times New Roman"/>
        <w:b w:val="0"/>
      </w:rPr>
    </w:lvl>
    <w:lvl w:ilvl="2" w:tentative="0">
      <w:start w:val="1"/>
      <w:numFmt w:val="decimal"/>
      <w:lvlText w:val="%1.%2.%3."/>
      <w:lvlJc w:val="left"/>
      <w:pPr>
        <w:tabs>
          <w:tab w:val="left" w:pos="7950"/>
        </w:tabs>
        <w:ind w:left="7734" w:hanging="504"/>
      </w:pPr>
      <w:rPr>
        <w:rFonts w:hint="default" w:cs="Times New Roman"/>
        <w:b w:val="0"/>
      </w:rPr>
    </w:lvl>
    <w:lvl w:ilvl="3" w:tentative="0">
      <w:start w:val="1"/>
      <w:numFmt w:val="decimal"/>
      <w:lvlText w:val="%1.%2.%3.%4."/>
      <w:lvlJc w:val="left"/>
      <w:pPr>
        <w:tabs>
          <w:tab w:val="left" w:pos="1800"/>
        </w:tabs>
        <w:ind w:left="1728" w:hanging="648"/>
      </w:pPr>
      <w:rPr>
        <w:rFonts w:hint="default" w:cs="Times New Roman"/>
      </w:rPr>
    </w:lvl>
    <w:lvl w:ilvl="4" w:tentative="0">
      <w:start w:val="1"/>
      <w:numFmt w:val="decimal"/>
      <w:lvlText w:val="%1.%2.%3.%4.%5."/>
      <w:lvlJc w:val="left"/>
      <w:pPr>
        <w:tabs>
          <w:tab w:val="left" w:pos="2520"/>
        </w:tabs>
        <w:ind w:left="2232" w:hanging="792"/>
      </w:pPr>
      <w:rPr>
        <w:rFonts w:hint="default" w:cs="Times New Roman"/>
      </w:rPr>
    </w:lvl>
    <w:lvl w:ilvl="5" w:tentative="0">
      <w:start w:val="1"/>
      <w:numFmt w:val="decimal"/>
      <w:lvlText w:val="%1.%2.%3.%4.%5.%6."/>
      <w:lvlJc w:val="left"/>
      <w:pPr>
        <w:tabs>
          <w:tab w:val="left" w:pos="2880"/>
        </w:tabs>
        <w:ind w:left="2736" w:hanging="936"/>
      </w:pPr>
      <w:rPr>
        <w:rFonts w:hint="default" w:cs="Times New Roman"/>
      </w:rPr>
    </w:lvl>
    <w:lvl w:ilvl="6" w:tentative="0">
      <w:start w:val="1"/>
      <w:numFmt w:val="decimal"/>
      <w:lvlText w:val="%1.%2.%3.%4.%5.%6.%7."/>
      <w:lvlJc w:val="left"/>
      <w:pPr>
        <w:tabs>
          <w:tab w:val="left" w:pos="3600"/>
        </w:tabs>
        <w:ind w:left="3240" w:hanging="1080"/>
      </w:pPr>
      <w:rPr>
        <w:rFonts w:hint="default" w:cs="Times New Roman"/>
      </w:rPr>
    </w:lvl>
    <w:lvl w:ilvl="7" w:tentative="0">
      <w:start w:val="1"/>
      <w:numFmt w:val="decimal"/>
      <w:lvlText w:val="%1.%2.%3.%4.%5.%6.%7.%8."/>
      <w:lvlJc w:val="left"/>
      <w:pPr>
        <w:tabs>
          <w:tab w:val="left" w:pos="3960"/>
        </w:tabs>
        <w:ind w:left="3744" w:hanging="1224"/>
      </w:pPr>
      <w:rPr>
        <w:rFonts w:hint="default" w:cs="Times New Roman"/>
      </w:rPr>
    </w:lvl>
    <w:lvl w:ilvl="8" w:tentative="0">
      <w:start w:val="1"/>
      <w:numFmt w:val="decimal"/>
      <w:lvlText w:val="%1.%2.%3.%4.%5.%6.%7.%8.%9."/>
      <w:lvlJc w:val="left"/>
      <w:pPr>
        <w:tabs>
          <w:tab w:val="left" w:pos="4680"/>
        </w:tabs>
        <w:ind w:left="4320" w:hanging="1440"/>
      </w:pPr>
      <w:rPr>
        <w:rFonts w:hint="default" w:cs="Times New Roman"/>
      </w:rPr>
    </w:lvl>
  </w:abstractNum>
  <w:abstractNum w:abstractNumId="6">
    <w:nsid w:val="41533EC4"/>
    <w:multiLevelType w:val="multilevel"/>
    <w:tmpl w:val="41533EC4"/>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rPr>
    </w:lvl>
    <w:lvl w:ilvl="8" w:tentative="0">
      <w:start w:val="1"/>
      <w:numFmt w:val="bullet"/>
      <w:lvlText w:val=""/>
      <w:lvlJc w:val="left"/>
      <w:pPr>
        <w:ind w:left="7047" w:hanging="360"/>
      </w:pPr>
      <w:rPr>
        <w:rFonts w:hint="default" w:ascii="Wingdings" w:hAnsi="Wingdings"/>
      </w:rPr>
    </w:lvl>
  </w:abstractNum>
  <w:abstractNum w:abstractNumId="7">
    <w:nsid w:val="5FA92135"/>
    <w:multiLevelType w:val="singleLevel"/>
    <w:tmpl w:val="5FA92135"/>
    <w:lvl w:ilvl="0" w:tentative="0">
      <w:start w:val="1"/>
      <w:numFmt w:val="bullet"/>
      <w:pStyle w:val="450"/>
      <w:lvlText w:val=""/>
      <w:lvlJc w:val="left"/>
      <w:pPr>
        <w:tabs>
          <w:tab w:val="left" w:pos="417"/>
        </w:tabs>
        <w:ind w:left="397" w:hanging="340"/>
      </w:pPr>
      <w:rPr>
        <w:rFonts w:hint="default" w:ascii="Symbol" w:hAnsi="Symbol"/>
      </w:rPr>
    </w:lvl>
  </w:abstractNum>
  <w:num w:numId="1">
    <w:abstractNumId w:val="1"/>
  </w:num>
  <w:num w:numId="2">
    <w:abstractNumId w:val="0"/>
  </w:num>
  <w:num w:numId="3">
    <w:abstractNumId w:val="7"/>
  </w:num>
  <w:num w:numId="4">
    <w:abstractNumId w:val="5"/>
  </w:num>
  <w:num w:numId="5">
    <w:abstractNumId w:val="4"/>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documentProtection w:enforcement="0"/>
  <w:defaultTabStop w:val="720"/>
  <w:drawingGridHorizontalSpacing w:val="0"/>
  <w:drawingGridVerticalSpacing w:val="0"/>
  <w:displayHorizontalDrawingGridEvery w:val="0"/>
  <w:displayVerticalDrawingGridEvery w:val="0"/>
  <w:doNotUseMarginsForDrawingGridOrigin w:val="1"/>
  <w:drawingGridHorizontalOrigin w:val="0"/>
  <w:drawingGridVerticalOrigin w:val="0"/>
  <w:noPunctuationKerning w:val="1"/>
  <w:characterSpacingControl w:val="doNotCompress"/>
  <w:footnotePr>
    <w:footnote w:id="2"/>
    <w:footnote w:id="3"/>
  </w:foot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E7E96"/>
    <w:rsid w:val="0000065B"/>
    <w:rsid w:val="00001EFD"/>
    <w:rsid w:val="00003F8B"/>
    <w:rsid w:val="00004D44"/>
    <w:rsid w:val="000151FC"/>
    <w:rsid w:val="00024E86"/>
    <w:rsid w:val="000258DB"/>
    <w:rsid w:val="000304A3"/>
    <w:rsid w:val="00050DAD"/>
    <w:rsid w:val="000549C0"/>
    <w:rsid w:val="00055BAC"/>
    <w:rsid w:val="00056F5B"/>
    <w:rsid w:val="00057B5E"/>
    <w:rsid w:val="000627BA"/>
    <w:rsid w:val="0006560A"/>
    <w:rsid w:val="00070454"/>
    <w:rsid w:val="0008218E"/>
    <w:rsid w:val="000900EA"/>
    <w:rsid w:val="0009025E"/>
    <w:rsid w:val="0009033B"/>
    <w:rsid w:val="00091A7F"/>
    <w:rsid w:val="000947E0"/>
    <w:rsid w:val="00097329"/>
    <w:rsid w:val="00097B2A"/>
    <w:rsid w:val="000A01F1"/>
    <w:rsid w:val="000A4DFC"/>
    <w:rsid w:val="000B1358"/>
    <w:rsid w:val="000B2228"/>
    <w:rsid w:val="000B3F37"/>
    <w:rsid w:val="000B45C6"/>
    <w:rsid w:val="000B6FDA"/>
    <w:rsid w:val="000C7964"/>
    <w:rsid w:val="000D00BC"/>
    <w:rsid w:val="000D3773"/>
    <w:rsid w:val="000D7DC5"/>
    <w:rsid w:val="000E0E5A"/>
    <w:rsid w:val="000E2A00"/>
    <w:rsid w:val="000E7E96"/>
    <w:rsid w:val="000F1D8B"/>
    <w:rsid w:val="000F43C8"/>
    <w:rsid w:val="00104902"/>
    <w:rsid w:val="00105952"/>
    <w:rsid w:val="00110FB8"/>
    <w:rsid w:val="0011114D"/>
    <w:rsid w:val="001237B6"/>
    <w:rsid w:val="001237E4"/>
    <w:rsid w:val="00133334"/>
    <w:rsid w:val="001403DC"/>
    <w:rsid w:val="00141D22"/>
    <w:rsid w:val="00151630"/>
    <w:rsid w:val="00160C50"/>
    <w:rsid w:val="00161370"/>
    <w:rsid w:val="0016652B"/>
    <w:rsid w:val="00167720"/>
    <w:rsid w:val="001723AE"/>
    <w:rsid w:val="00182EE6"/>
    <w:rsid w:val="00186BAA"/>
    <w:rsid w:val="001935E8"/>
    <w:rsid w:val="001964AD"/>
    <w:rsid w:val="001A4A57"/>
    <w:rsid w:val="001A4A60"/>
    <w:rsid w:val="001A7EB2"/>
    <w:rsid w:val="001B218B"/>
    <w:rsid w:val="001B3BBF"/>
    <w:rsid w:val="001B40CF"/>
    <w:rsid w:val="001C0940"/>
    <w:rsid w:val="001C67D0"/>
    <w:rsid w:val="001D330F"/>
    <w:rsid w:val="001F0C92"/>
    <w:rsid w:val="001F308D"/>
    <w:rsid w:val="001F60B4"/>
    <w:rsid w:val="002047A1"/>
    <w:rsid w:val="00204BDA"/>
    <w:rsid w:val="0020572A"/>
    <w:rsid w:val="002248C6"/>
    <w:rsid w:val="00226EC0"/>
    <w:rsid w:val="00240B0D"/>
    <w:rsid w:val="00241016"/>
    <w:rsid w:val="00243DF5"/>
    <w:rsid w:val="00251C4F"/>
    <w:rsid w:val="00261D00"/>
    <w:rsid w:val="00265081"/>
    <w:rsid w:val="0026533B"/>
    <w:rsid w:val="00266869"/>
    <w:rsid w:val="002728D1"/>
    <w:rsid w:val="00273C5B"/>
    <w:rsid w:val="00293547"/>
    <w:rsid w:val="002A2A06"/>
    <w:rsid w:val="002A43FC"/>
    <w:rsid w:val="002A4773"/>
    <w:rsid w:val="002A47EB"/>
    <w:rsid w:val="002A7335"/>
    <w:rsid w:val="002B0492"/>
    <w:rsid w:val="002B261A"/>
    <w:rsid w:val="002B5EEB"/>
    <w:rsid w:val="002C44BD"/>
    <w:rsid w:val="002D2D9A"/>
    <w:rsid w:val="002D7A59"/>
    <w:rsid w:val="002E3DA3"/>
    <w:rsid w:val="002E5B6A"/>
    <w:rsid w:val="002E7D69"/>
    <w:rsid w:val="002E7DAD"/>
    <w:rsid w:val="002F32F7"/>
    <w:rsid w:val="002F561C"/>
    <w:rsid w:val="002F5BCC"/>
    <w:rsid w:val="00323C56"/>
    <w:rsid w:val="003326EC"/>
    <w:rsid w:val="003329F6"/>
    <w:rsid w:val="0033627F"/>
    <w:rsid w:val="0033791A"/>
    <w:rsid w:val="00343C9A"/>
    <w:rsid w:val="003459C9"/>
    <w:rsid w:val="00346B93"/>
    <w:rsid w:val="00350381"/>
    <w:rsid w:val="00354607"/>
    <w:rsid w:val="00356C20"/>
    <w:rsid w:val="00364B3D"/>
    <w:rsid w:val="00366362"/>
    <w:rsid w:val="003833B7"/>
    <w:rsid w:val="00383FA6"/>
    <w:rsid w:val="00383FF4"/>
    <w:rsid w:val="00385066"/>
    <w:rsid w:val="00390CB8"/>
    <w:rsid w:val="003924B7"/>
    <w:rsid w:val="00393ECA"/>
    <w:rsid w:val="00393FF4"/>
    <w:rsid w:val="00396CCF"/>
    <w:rsid w:val="003A3EC1"/>
    <w:rsid w:val="003B04AC"/>
    <w:rsid w:val="003C3D17"/>
    <w:rsid w:val="003C4053"/>
    <w:rsid w:val="003C7B66"/>
    <w:rsid w:val="003D30AE"/>
    <w:rsid w:val="003D5DFB"/>
    <w:rsid w:val="003E0D02"/>
    <w:rsid w:val="003E206A"/>
    <w:rsid w:val="003E52AD"/>
    <w:rsid w:val="003E745C"/>
    <w:rsid w:val="003F1F07"/>
    <w:rsid w:val="003F4B0F"/>
    <w:rsid w:val="0041018F"/>
    <w:rsid w:val="00410691"/>
    <w:rsid w:val="004144F5"/>
    <w:rsid w:val="004222FF"/>
    <w:rsid w:val="00423FA2"/>
    <w:rsid w:val="00425AC7"/>
    <w:rsid w:val="00425D15"/>
    <w:rsid w:val="00431340"/>
    <w:rsid w:val="0043318A"/>
    <w:rsid w:val="00434D49"/>
    <w:rsid w:val="004424D8"/>
    <w:rsid w:val="004424DE"/>
    <w:rsid w:val="00454286"/>
    <w:rsid w:val="00462BE2"/>
    <w:rsid w:val="004645F6"/>
    <w:rsid w:val="004671DE"/>
    <w:rsid w:val="00467702"/>
    <w:rsid w:val="0046778A"/>
    <w:rsid w:val="004678AC"/>
    <w:rsid w:val="00467A6D"/>
    <w:rsid w:val="004777FB"/>
    <w:rsid w:val="00482911"/>
    <w:rsid w:val="004843C1"/>
    <w:rsid w:val="00490058"/>
    <w:rsid w:val="00490F60"/>
    <w:rsid w:val="004947C6"/>
    <w:rsid w:val="004A0B49"/>
    <w:rsid w:val="004A1620"/>
    <w:rsid w:val="004B00BC"/>
    <w:rsid w:val="004B1BAE"/>
    <w:rsid w:val="004B1D37"/>
    <w:rsid w:val="004B65D6"/>
    <w:rsid w:val="004B790F"/>
    <w:rsid w:val="004C3F4E"/>
    <w:rsid w:val="004C6442"/>
    <w:rsid w:val="004C7579"/>
    <w:rsid w:val="004E75C8"/>
    <w:rsid w:val="004E780C"/>
    <w:rsid w:val="004F01A1"/>
    <w:rsid w:val="004F2F1B"/>
    <w:rsid w:val="004F3D54"/>
    <w:rsid w:val="004F40B4"/>
    <w:rsid w:val="004F47AC"/>
    <w:rsid w:val="004F588C"/>
    <w:rsid w:val="005007D7"/>
    <w:rsid w:val="005037DE"/>
    <w:rsid w:val="005045F7"/>
    <w:rsid w:val="00512A84"/>
    <w:rsid w:val="0051627C"/>
    <w:rsid w:val="00516BD2"/>
    <w:rsid w:val="005176B4"/>
    <w:rsid w:val="005252D6"/>
    <w:rsid w:val="0053059A"/>
    <w:rsid w:val="00531EDD"/>
    <w:rsid w:val="00532028"/>
    <w:rsid w:val="00536EB2"/>
    <w:rsid w:val="005412C6"/>
    <w:rsid w:val="00545AD4"/>
    <w:rsid w:val="00545F04"/>
    <w:rsid w:val="005509D1"/>
    <w:rsid w:val="00551988"/>
    <w:rsid w:val="00551C2F"/>
    <w:rsid w:val="00552D5B"/>
    <w:rsid w:val="00560E67"/>
    <w:rsid w:val="005627E7"/>
    <w:rsid w:val="00571D15"/>
    <w:rsid w:val="00594A06"/>
    <w:rsid w:val="005951FC"/>
    <w:rsid w:val="005973EC"/>
    <w:rsid w:val="005A0F61"/>
    <w:rsid w:val="005A2121"/>
    <w:rsid w:val="005A5866"/>
    <w:rsid w:val="005B0029"/>
    <w:rsid w:val="005B43BD"/>
    <w:rsid w:val="005B502B"/>
    <w:rsid w:val="005B6CAC"/>
    <w:rsid w:val="005C53E6"/>
    <w:rsid w:val="005F2F06"/>
    <w:rsid w:val="005F3F85"/>
    <w:rsid w:val="005F61A9"/>
    <w:rsid w:val="0061278E"/>
    <w:rsid w:val="00616DCE"/>
    <w:rsid w:val="0061799F"/>
    <w:rsid w:val="00620097"/>
    <w:rsid w:val="00624555"/>
    <w:rsid w:val="00624572"/>
    <w:rsid w:val="00624654"/>
    <w:rsid w:val="00627488"/>
    <w:rsid w:val="0063072F"/>
    <w:rsid w:val="00630CC3"/>
    <w:rsid w:val="00633362"/>
    <w:rsid w:val="0063540B"/>
    <w:rsid w:val="00637112"/>
    <w:rsid w:val="00637682"/>
    <w:rsid w:val="00637C24"/>
    <w:rsid w:val="006464F8"/>
    <w:rsid w:val="00654D96"/>
    <w:rsid w:val="006653C7"/>
    <w:rsid w:val="00665867"/>
    <w:rsid w:val="0066671F"/>
    <w:rsid w:val="00667868"/>
    <w:rsid w:val="00672A3C"/>
    <w:rsid w:val="00672B62"/>
    <w:rsid w:val="00681ABE"/>
    <w:rsid w:val="00687C7E"/>
    <w:rsid w:val="00690959"/>
    <w:rsid w:val="006921CB"/>
    <w:rsid w:val="006A2358"/>
    <w:rsid w:val="006A50E9"/>
    <w:rsid w:val="006A564B"/>
    <w:rsid w:val="006A5B0D"/>
    <w:rsid w:val="006B50A2"/>
    <w:rsid w:val="006B59B6"/>
    <w:rsid w:val="006C5165"/>
    <w:rsid w:val="006D19DF"/>
    <w:rsid w:val="006E0C22"/>
    <w:rsid w:val="006E524B"/>
    <w:rsid w:val="006F27F6"/>
    <w:rsid w:val="006F3C1E"/>
    <w:rsid w:val="007003DC"/>
    <w:rsid w:val="007016BD"/>
    <w:rsid w:val="0070298D"/>
    <w:rsid w:val="00703B14"/>
    <w:rsid w:val="007052F6"/>
    <w:rsid w:val="007134F1"/>
    <w:rsid w:val="00723A81"/>
    <w:rsid w:val="0072502C"/>
    <w:rsid w:val="0072657C"/>
    <w:rsid w:val="007356D8"/>
    <w:rsid w:val="0074449E"/>
    <w:rsid w:val="007555D4"/>
    <w:rsid w:val="00757B96"/>
    <w:rsid w:val="00765E89"/>
    <w:rsid w:val="00766F8A"/>
    <w:rsid w:val="00773714"/>
    <w:rsid w:val="00775955"/>
    <w:rsid w:val="007802B3"/>
    <w:rsid w:val="00785872"/>
    <w:rsid w:val="00786FBE"/>
    <w:rsid w:val="00792267"/>
    <w:rsid w:val="007A355D"/>
    <w:rsid w:val="007B1304"/>
    <w:rsid w:val="007B6980"/>
    <w:rsid w:val="007B6F80"/>
    <w:rsid w:val="007C00DE"/>
    <w:rsid w:val="007C0CCA"/>
    <w:rsid w:val="007C5C59"/>
    <w:rsid w:val="007D1510"/>
    <w:rsid w:val="007E040D"/>
    <w:rsid w:val="007E0BE6"/>
    <w:rsid w:val="007E6162"/>
    <w:rsid w:val="007F4D56"/>
    <w:rsid w:val="007F6125"/>
    <w:rsid w:val="007F7627"/>
    <w:rsid w:val="00800E9B"/>
    <w:rsid w:val="00803797"/>
    <w:rsid w:val="00803B90"/>
    <w:rsid w:val="00805A59"/>
    <w:rsid w:val="008070D3"/>
    <w:rsid w:val="008201E1"/>
    <w:rsid w:val="008216AB"/>
    <w:rsid w:val="0082559F"/>
    <w:rsid w:val="00833F00"/>
    <w:rsid w:val="008508A1"/>
    <w:rsid w:val="008514EE"/>
    <w:rsid w:val="00852FB4"/>
    <w:rsid w:val="00853164"/>
    <w:rsid w:val="00860B2B"/>
    <w:rsid w:val="008614E3"/>
    <w:rsid w:val="00867CED"/>
    <w:rsid w:val="0087001D"/>
    <w:rsid w:val="00870F74"/>
    <w:rsid w:val="00877A5E"/>
    <w:rsid w:val="008819EC"/>
    <w:rsid w:val="00884173"/>
    <w:rsid w:val="00887666"/>
    <w:rsid w:val="00891581"/>
    <w:rsid w:val="00897BE7"/>
    <w:rsid w:val="008B154E"/>
    <w:rsid w:val="008B26C5"/>
    <w:rsid w:val="008B3512"/>
    <w:rsid w:val="008C4A34"/>
    <w:rsid w:val="008C60DB"/>
    <w:rsid w:val="008D1A10"/>
    <w:rsid w:val="008D2506"/>
    <w:rsid w:val="008D74AF"/>
    <w:rsid w:val="008E44D8"/>
    <w:rsid w:val="008E7AB8"/>
    <w:rsid w:val="008F1339"/>
    <w:rsid w:val="00900B73"/>
    <w:rsid w:val="00906397"/>
    <w:rsid w:val="009103CA"/>
    <w:rsid w:val="00910D64"/>
    <w:rsid w:val="0091100E"/>
    <w:rsid w:val="0091120B"/>
    <w:rsid w:val="00915F3B"/>
    <w:rsid w:val="0091778E"/>
    <w:rsid w:val="00921BA2"/>
    <w:rsid w:val="00942559"/>
    <w:rsid w:val="00943144"/>
    <w:rsid w:val="00956772"/>
    <w:rsid w:val="00960CCA"/>
    <w:rsid w:val="009643D3"/>
    <w:rsid w:val="00966168"/>
    <w:rsid w:val="009661E6"/>
    <w:rsid w:val="00970DC9"/>
    <w:rsid w:val="00973C9B"/>
    <w:rsid w:val="0097660C"/>
    <w:rsid w:val="009817C0"/>
    <w:rsid w:val="0098308D"/>
    <w:rsid w:val="00992686"/>
    <w:rsid w:val="009962A7"/>
    <w:rsid w:val="00996753"/>
    <w:rsid w:val="0099785B"/>
    <w:rsid w:val="009A1D01"/>
    <w:rsid w:val="009A4916"/>
    <w:rsid w:val="009A4CB3"/>
    <w:rsid w:val="009B44B3"/>
    <w:rsid w:val="009B75F3"/>
    <w:rsid w:val="009C1284"/>
    <w:rsid w:val="009C1637"/>
    <w:rsid w:val="009C3918"/>
    <w:rsid w:val="009D1BBB"/>
    <w:rsid w:val="009D6CA5"/>
    <w:rsid w:val="009E43E3"/>
    <w:rsid w:val="009E5F52"/>
    <w:rsid w:val="009F41E5"/>
    <w:rsid w:val="00A05AA0"/>
    <w:rsid w:val="00A16347"/>
    <w:rsid w:val="00A17B88"/>
    <w:rsid w:val="00A239B1"/>
    <w:rsid w:val="00A263B7"/>
    <w:rsid w:val="00A35AD7"/>
    <w:rsid w:val="00A44C0C"/>
    <w:rsid w:val="00A46CC9"/>
    <w:rsid w:val="00A50E02"/>
    <w:rsid w:val="00A543FA"/>
    <w:rsid w:val="00A567EA"/>
    <w:rsid w:val="00A61DA9"/>
    <w:rsid w:val="00A635A4"/>
    <w:rsid w:val="00A66FD8"/>
    <w:rsid w:val="00A67942"/>
    <w:rsid w:val="00A71A5B"/>
    <w:rsid w:val="00A74C58"/>
    <w:rsid w:val="00A7564B"/>
    <w:rsid w:val="00A76035"/>
    <w:rsid w:val="00A8793C"/>
    <w:rsid w:val="00A87A21"/>
    <w:rsid w:val="00A96126"/>
    <w:rsid w:val="00AB138E"/>
    <w:rsid w:val="00AB46F3"/>
    <w:rsid w:val="00AB50B6"/>
    <w:rsid w:val="00AB566B"/>
    <w:rsid w:val="00AC3155"/>
    <w:rsid w:val="00AD1127"/>
    <w:rsid w:val="00AD41FE"/>
    <w:rsid w:val="00AD46AE"/>
    <w:rsid w:val="00AD7D5E"/>
    <w:rsid w:val="00AE643F"/>
    <w:rsid w:val="00AF5355"/>
    <w:rsid w:val="00AF7803"/>
    <w:rsid w:val="00AF7A91"/>
    <w:rsid w:val="00B03C00"/>
    <w:rsid w:val="00B10990"/>
    <w:rsid w:val="00B139B1"/>
    <w:rsid w:val="00B16C90"/>
    <w:rsid w:val="00B218E4"/>
    <w:rsid w:val="00B2209C"/>
    <w:rsid w:val="00B266F5"/>
    <w:rsid w:val="00B274D2"/>
    <w:rsid w:val="00B275CA"/>
    <w:rsid w:val="00B35DE3"/>
    <w:rsid w:val="00B36D94"/>
    <w:rsid w:val="00B43E39"/>
    <w:rsid w:val="00B44158"/>
    <w:rsid w:val="00B50640"/>
    <w:rsid w:val="00B52654"/>
    <w:rsid w:val="00B57A55"/>
    <w:rsid w:val="00B6061B"/>
    <w:rsid w:val="00B6317E"/>
    <w:rsid w:val="00B64E5D"/>
    <w:rsid w:val="00B65AFB"/>
    <w:rsid w:val="00B7085C"/>
    <w:rsid w:val="00B73584"/>
    <w:rsid w:val="00B73FBD"/>
    <w:rsid w:val="00B81952"/>
    <w:rsid w:val="00B82474"/>
    <w:rsid w:val="00B8567C"/>
    <w:rsid w:val="00B87B0A"/>
    <w:rsid w:val="00B923E0"/>
    <w:rsid w:val="00B92AD1"/>
    <w:rsid w:val="00B93324"/>
    <w:rsid w:val="00B9341D"/>
    <w:rsid w:val="00B96510"/>
    <w:rsid w:val="00B97BA2"/>
    <w:rsid w:val="00BA4A4A"/>
    <w:rsid w:val="00BA5802"/>
    <w:rsid w:val="00BA73C8"/>
    <w:rsid w:val="00BB2E6D"/>
    <w:rsid w:val="00BB3D98"/>
    <w:rsid w:val="00BD1361"/>
    <w:rsid w:val="00BD2D63"/>
    <w:rsid w:val="00BD58D9"/>
    <w:rsid w:val="00BE1D46"/>
    <w:rsid w:val="00BE75F7"/>
    <w:rsid w:val="00BF2255"/>
    <w:rsid w:val="00BF457F"/>
    <w:rsid w:val="00C013B7"/>
    <w:rsid w:val="00C026CA"/>
    <w:rsid w:val="00C062EA"/>
    <w:rsid w:val="00C14745"/>
    <w:rsid w:val="00C165C4"/>
    <w:rsid w:val="00C25ED1"/>
    <w:rsid w:val="00C27408"/>
    <w:rsid w:val="00C302FD"/>
    <w:rsid w:val="00C340F0"/>
    <w:rsid w:val="00C34939"/>
    <w:rsid w:val="00C45A64"/>
    <w:rsid w:val="00C52F8C"/>
    <w:rsid w:val="00C53FFE"/>
    <w:rsid w:val="00C557FE"/>
    <w:rsid w:val="00C56032"/>
    <w:rsid w:val="00C63644"/>
    <w:rsid w:val="00C77DC8"/>
    <w:rsid w:val="00C8640D"/>
    <w:rsid w:val="00C87BA8"/>
    <w:rsid w:val="00C914F5"/>
    <w:rsid w:val="00C92469"/>
    <w:rsid w:val="00CA3099"/>
    <w:rsid w:val="00CA6D4E"/>
    <w:rsid w:val="00CA731B"/>
    <w:rsid w:val="00CB1870"/>
    <w:rsid w:val="00CB23AE"/>
    <w:rsid w:val="00CB589F"/>
    <w:rsid w:val="00CB60FB"/>
    <w:rsid w:val="00CB763F"/>
    <w:rsid w:val="00CC1844"/>
    <w:rsid w:val="00CC2589"/>
    <w:rsid w:val="00CC51E3"/>
    <w:rsid w:val="00CD0626"/>
    <w:rsid w:val="00CD584E"/>
    <w:rsid w:val="00CE5609"/>
    <w:rsid w:val="00CE6985"/>
    <w:rsid w:val="00CF37E7"/>
    <w:rsid w:val="00CF649F"/>
    <w:rsid w:val="00D04125"/>
    <w:rsid w:val="00D05295"/>
    <w:rsid w:val="00D0747D"/>
    <w:rsid w:val="00D12280"/>
    <w:rsid w:val="00D23423"/>
    <w:rsid w:val="00D33576"/>
    <w:rsid w:val="00D35962"/>
    <w:rsid w:val="00D46C3D"/>
    <w:rsid w:val="00D50311"/>
    <w:rsid w:val="00D50E2B"/>
    <w:rsid w:val="00D53FD8"/>
    <w:rsid w:val="00D56E85"/>
    <w:rsid w:val="00D609F1"/>
    <w:rsid w:val="00D618BE"/>
    <w:rsid w:val="00D71278"/>
    <w:rsid w:val="00D719F0"/>
    <w:rsid w:val="00D722F1"/>
    <w:rsid w:val="00D80713"/>
    <w:rsid w:val="00D811E8"/>
    <w:rsid w:val="00D82404"/>
    <w:rsid w:val="00D92453"/>
    <w:rsid w:val="00D927A5"/>
    <w:rsid w:val="00D95AFA"/>
    <w:rsid w:val="00D96E92"/>
    <w:rsid w:val="00DA2E3B"/>
    <w:rsid w:val="00DA49D1"/>
    <w:rsid w:val="00DC35BA"/>
    <w:rsid w:val="00DC40A1"/>
    <w:rsid w:val="00DC44F4"/>
    <w:rsid w:val="00DD1843"/>
    <w:rsid w:val="00DD7B0B"/>
    <w:rsid w:val="00DD7D07"/>
    <w:rsid w:val="00DE09AE"/>
    <w:rsid w:val="00DE61B1"/>
    <w:rsid w:val="00DF01CA"/>
    <w:rsid w:val="00DF771D"/>
    <w:rsid w:val="00E01A5D"/>
    <w:rsid w:val="00E02E92"/>
    <w:rsid w:val="00E07BE4"/>
    <w:rsid w:val="00E07E2A"/>
    <w:rsid w:val="00E17F66"/>
    <w:rsid w:val="00E2246D"/>
    <w:rsid w:val="00E2723D"/>
    <w:rsid w:val="00E30F95"/>
    <w:rsid w:val="00E3766A"/>
    <w:rsid w:val="00E51626"/>
    <w:rsid w:val="00E60201"/>
    <w:rsid w:val="00E61345"/>
    <w:rsid w:val="00E66067"/>
    <w:rsid w:val="00E66905"/>
    <w:rsid w:val="00E66F39"/>
    <w:rsid w:val="00E741E8"/>
    <w:rsid w:val="00E92F7D"/>
    <w:rsid w:val="00E93009"/>
    <w:rsid w:val="00E9313E"/>
    <w:rsid w:val="00E94FE9"/>
    <w:rsid w:val="00E9745D"/>
    <w:rsid w:val="00E9760D"/>
    <w:rsid w:val="00EA6699"/>
    <w:rsid w:val="00EB1A1A"/>
    <w:rsid w:val="00EB2884"/>
    <w:rsid w:val="00EB2F69"/>
    <w:rsid w:val="00EB39E9"/>
    <w:rsid w:val="00EB3AF2"/>
    <w:rsid w:val="00EC0FC9"/>
    <w:rsid w:val="00EC3E16"/>
    <w:rsid w:val="00EC4BDC"/>
    <w:rsid w:val="00EC6CE3"/>
    <w:rsid w:val="00ED1076"/>
    <w:rsid w:val="00EE5377"/>
    <w:rsid w:val="00EF3153"/>
    <w:rsid w:val="00F0299F"/>
    <w:rsid w:val="00F03DEF"/>
    <w:rsid w:val="00F04C9D"/>
    <w:rsid w:val="00F07264"/>
    <w:rsid w:val="00F14C93"/>
    <w:rsid w:val="00F221E8"/>
    <w:rsid w:val="00F25D79"/>
    <w:rsid w:val="00F274FE"/>
    <w:rsid w:val="00F27714"/>
    <w:rsid w:val="00F33324"/>
    <w:rsid w:val="00F45B35"/>
    <w:rsid w:val="00F54CAA"/>
    <w:rsid w:val="00F719F7"/>
    <w:rsid w:val="00F71D97"/>
    <w:rsid w:val="00F72522"/>
    <w:rsid w:val="00F736D2"/>
    <w:rsid w:val="00F82553"/>
    <w:rsid w:val="00F85342"/>
    <w:rsid w:val="00F9339E"/>
    <w:rsid w:val="00F955DA"/>
    <w:rsid w:val="00F95EC3"/>
    <w:rsid w:val="00FA389D"/>
    <w:rsid w:val="00FA494C"/>
    <w:rsid w:val="00FA7C20"/>
    <w:rsid w:val="00FB4F40"/>
    <w:rsid w:val="00FB77DB"/>
    <w:rsid w:val="00FC158A"/>
    <w:rsid w:val="00FC3F51"/>
    <w:rsid w:val="00FC6096"/>
    <w:rsid w:val="00FD6F58"/>
    <w:rsid w:val="00FE01EA"/>
    <w:rsid w:val="00FE2671"/>
    <w:rsid w:val="00FE6F4D"/>
    <w:rsid w:val="6DE9064E"/>
    <w:rsid w:val="7DA2462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qFormat="1" w:unhideWhenUsed="0" w:uiPriority="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semiHidden="0" w:name="footnote text"/>
    <w:lsdException w:qFormat="1" w:unhideWhenUsed="0" w:uiPriority="0" w:semiHidden="0" w:name="annotation text"/>
    <w:lsdException w:qFormat="1" w:unhideWhenUsed="0" w:uiPriority="99" w:semiHidden="0" w:name="header"/>
    <w:lsdException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unhideWhenUsed="0" w:uiPriority="0" w:semiHidden="0" w:name="endnote text"/>
    <w:lsdException w:uiPriority="99" w:name="table of authorities"/>
    <w:lsdException w:uiPriority="99" w:name="macro"/>
    <w:lsdException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uiPriority="99" w:name="List 2"/>
    <w:lsdException w:uiPriority="99" w:name="List 3"/>
    <w:lsdException w:uiPriority="99" w:name="List 4"/>
    <w:lsdException w:uiPriority="99" w:name="List 5"/>
    <w:lsdException w:unhideWhenUsed="0" w:uiPriority="0" w:semiHidden="0" w:name="List Bullet 2"/>
    <w:lsdException w:unhideWhenUsed="0" w:uiPriority="0" w:semiHidden="0" w:name="List Bullet 3"/>
    <w:lsdException w:uiPriority="99" w:name="List Bullet 4"/>
    <w:lsdException w:uiPriority="99" w:name="List Bullet 5"/>
    <w:lsdException w:unhideWhenUsed="0" w:uiPriority="99"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qFormat="1" w:unhideWhenUsed="0" w:uiPriority="0" w:semiHidden="0"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qFormat="1" w:unhideWhenUsed="0" w:uiPriority="1" w:semiHidden="0" w:name="No Spacing"/>
    <w:lsdException w:qFormat="1" w:unhideWhenUsed="0" w:uiPriority="0" w:semiHidden="0" w:name="List Paragraph"/>
  </w:latentStyles>
  <w:style w:type="paragraph" w:default="1" w:styleId="1">
    <w:name w:val="Normal"/>
    <w:qFormat/>
    <w:uiPriority w:val="0"/>
    <w:pPr>
      <w:suppressAutoHyphens/>
    </w:pPr>
    <w:rPr>
      <w:rFonts w:ascii="Times New Roman" w:hAnsi="Times New Roman" w:eastAsia="Times New Roman" w:cs="Times New Roman"/>
      <w:lang w:val="ru-RU" w:eastAsia="zh-CN" w:bidi="ar-SA"/>
    </w:rPr>
  </w:style>
  <w:style w:type="paragraph" w:styleId="2">
    <w:name w:val="heading 1"/>
    <w:basedOn w:val="1"/>
    <w:next w:val="1"/>
    <w:qFormat/>
    <w:uiPriority w:val="0"/>
    <w:pPr>
      <w:keepNext/>
      <w:tabs>
        <w:tab w:val="left" w:pos="0"/>
      </w:tabs>
      <w:ind w:left="-1204" w:right="-851" w:firstLine="283"/>
      <w:jc w:val="center"/>
      <w:outlineLvl w:val="0"/>
    </w:pPr>
    <w:rPr>
      <w:sz w:val="26"/>
    </w:rPr>
  </w:style>
  <w:style w:type="paragraph" w:styleId="3">
    <w:name w:val="heading 2"/>
    <w:basedOn w:val="1"/>
    <w:next w:val="1"/>
    <w:link w:val="451"/>
    <w:qFormat/>
    <w:uiPriority w:val="9"/>
    <w:pPr>
      <w:keepNext/>
      <w:tabs>
        <w:tab w:val="left" w:pos="0"/>
      </w:tabs>
      <w:ind w:left="576" w:hanging="576"/>
      <w:jc w:val="center"/>
      <w:outlineLvl w:val="1"/>
    </w:pPr>
    <w:rPr>
      <w:b/>
    </w:rPr>
  </w:style>
  <w:style w:type="paragraph" w:styleId="4">
    <w:name w:val="heading 3"/>
    <w:basedOn w:val="1"/>
    <w:next w:val="1"/>
    <w:qFormat/>
    <w:uiPriority w:val="0"/>
    <w:pPr>
      <w:keepNext/>
      <w:tabs>
        <w:tab w:val="left" w:pos="0"/>
      </w:tabs>
      <w:ind w:left="720" w:hanging="720"/>
      <w:outlineLvl w:val="2"/>
    </w:pPr>
    <w:rPr>
      <w:b/>
    </w:rPr>
  </w:style>
  <w:style w:type="paragraph" w:styleId="5">
    <w:name w:val="heading 4"/>
    <w:basedOn w:val="1"/>
    <w:next w:val="1"/>
    <w:qFormat/>
    <w:uiPriority w:val="0"/>
    <w:pPr>
      <w:keepNext/>
      <w:tabs>
        <w:tab w:val="left" w:pos="0"/>
      </w:tabs>
      <w:spacing w:before="240" w:after="60"/>
      <w:ind w:left="864" w:hanging="864"/>
      <w:outlineLvl w:val="3"/>
    </w:pPr>
    <w:rPr>
      <w:b/>
      <w:bCs/>
      <w:sz w:val="28"/>
      <w:szCs w:val="28"/>
      <w:lang w:val="en-US"/>
    </w:rPr>
  </w:style>
  <w:style w:type="paragraph" w:styleId="6">
    <w:name w:val="heading 5"/>
    <w:basedOn w:val="1"/>
    <w:next w:val="1"/>
    <w:link w:val="396"/>
    <w:qFormat/>
    <w:uiPriority w:val="9"/>
    <w:pPr>
      <w:keepNext/>
      <w:framePr w:hSpace="180" w:wrap="around" w:vAnchor="text" w:hAnchor="margin" w:xAlign="center" w:y="24"/>
      <w:suppressAutoHyphens w:val="0"/>
      <w:outlineLvl w:val="4"/>
    </w:pPr>
    <w:rPr>
      <w:sz w:val="24"/>
    </w:rPr>
  </w:style>
  <w:style w:type="paragraph" w:styleId="7">
    <w:name w:val="heading 6"/>
    <w:basedOn w:val="1"/>
    <w:next w:val="1"/>
    <w:link w:val="397"/>
    <w:qFormat/>
    <w:uiPriority w:val="0"/>
    <w:pPr>
      <w:suppressAutoHyphens w:val="0"/>
      <w:spacing w:before="240" w:after="60"/>
      <w:outlineLvl w:val="5"/>
    </w:pPr>
    <w:rPr>
      <w:b/>
      <w:bCs/>
      <w:sz w:val="22"/>
      <w:szCs w:val="22"/>
    </w:rPr>
  </w:style>
  <w:style w:type="paragraph" w:styleId="8">
    <w:name w:val="heading 7"/>
    <w:basedOn w:val="1"/>
    <w:next w:val="1"/>
    <w:link w:val="398"/>
    <w:qFormat/>
    <w:uiPriority w:val="0"/>
    <w:pPr>
      <w:suppressAutoHyphens w:val="0"/>
      <w:spacing w:before="240" w:after="60"/>
      <w:outlineLvl w:val="6"/>
    </w:pPr>
    <w:rPr>
      <w:sz w:val="24"/>
      <w:szCs w:val="24"/>
    </w:rPr>
  </w:style>
  <w:style w:type="paragraph" w:styleId="9">
    <w:name w:val="heading 8"/>
    <w:basedOn w:val="1"/>
    <w:next w:val="1"/>
    <w:link w:val="399"/>
    <w:qFormat/>
    <w:uiPriority w:val="0"/>
    <w:pPr>
      <w:keepNext/>
      <w:keepLines/>
      <w:suppressLineNumbers/>
      <w:ind w:firstLine="567"/>
      <w:outlineLvl w:val="7"/>
    </w:pPr>
    <w:rPr>
      <w:sz w:val="24"/>
    </w:rPr>
  </w:style>
  <w:style w:type="paragraph" w:styleId="10">
    <w:name w:val="heading 9"/>
    <w:basedOn w:val="1"/>
    <w:next w:val="1"/>
    <w:link w:val="400"/>
    <w:qFormat/>
    <w:uiPriority w:val="0"/>
    <w:pPr>
      <w:keepNext/>
      <w:suppressAutoHyphens w:val="0"/>
      <w:autoSpaceDE w:val="0"/>
      <w:autoSpaceDN w:val="0"/>
      <w:adjustRightInd w:val="0"/>
      <w:jc w:val="center"/>
      <w:outlineLvl w:val="8"/>
    </w:pPr>
    <w:rPr>
      <w:b/>
      <w:bCs/>
      <w:szCs w:val="24"/>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FollowedHyperlink"/>
    <w:uiPriority w:val="0"/>
    <w:rPr>
      <w:color w:val="800080"/>
      <w:u w:val="single"/>
    </w:rPr>
  </w:style>
  <w:style w:type="character" w:styleId="14">
    <w:name w:val="footnote reference"/>
    <w:qFormat/>
    <w:uiPriority w:val="99"/>
    <w:rPr>
      <w:vertAlign w:val="superscript"/>
    </w:rPr>
  </w:style>
  <w:style w:type="character" w:styleId="15">
    <w:name w:val="endnote reference"/>
    <w:qFormat/>
    <w:uiPriority w:val="0"/>
    <w:rPr>
      <w:vertAlign w:val="superscript"/>
    </w:rPr>
  </w:style>
  <w:style w:type="character" w:styleId="16">
    <w:name w:val="Emphasis"/>
    <w:qFormat/>
    <w:uiPriority w:val="20"/>
    <w:rPr>
      <w:i/>
      <w:iCs/>
    </w:rPr>
  </w:style>
  <w:style w:type="character" w:styleId="17">
    <w:name w:val="Hyperlink"/>
    <w:uiPriority w:val="0"/>
    <w:rPr>
      <w:color w:val="0000FF"/>
      <w:u w:val="single"/>
    </w:rPr>
  </w:style>
  <w:style w:type="character" w:styleId="18">
    <w:name w:val="page number"/>
    <w:basedOn w:val="19"/>
    <w:qFormat/>
    <w:uiPriority w:val="0"/>
  </w:style>
  <w:style w:type="character" w:customStyle="1" w:styleId="19">
    <w:name w:val="Основной шрифт абзаца1"/>
    <w:qFormat/>
    <w:uiPriority w:val="0"/>
  </w:style>
  <w:style w:type="character" w:styleId="20">
    <w:name w:val="line number"/>
    <w:basedOn w:val="11"/>
    <w:qFormat/>
    <w:uiPriority w:val="0"/>
  </w:style>
  <w:style w:type="character" w:styleId="21">
    <w:name w:val="Strong"/>
    <w:qFormat/>
    <w:uiPriority w:val="99"/>
    <w:rPr>
      <w:b/>
      <w:bCs/>
    </w:rPr>
  </w:style>
  <w:style w:type="paragraph" w:styleId="22">
    <w:name w:val="Balloon Text"/>
    <w:basedOn w:val="1"/>
    <w:qFormat/>
    <w:uiPriority w:val="0"/>
    <w:rPr>
      <w:rFonts w:ascii="Tahoma" w:hAnsi="Tahoma" w:cs="Tahoma"/>
      <w:sz w:val="16"/>
      <w:szCs w:val="16"/>
    </w:rPr>
  </w:style>
  <w:style w:type="paragraph" w:styleId="23">
    <w:name w:val="Body Text 2"/>
    <w:basedOn w:val="1"/>
    <w:link w:val="406"/>
    <w:qFormat/>
    <w:uiPriority w:val="0"/>
    <w:pPr>
      <w:suppressAutoHyphens w:val="0"/>
      <w:snapToGrid w:val="0"/>
      <w:jc w:val="both"/>
    </w:pPr>
    <w:rPr>
      <w:sz w:val="24"/>
      <w:szCs w:val="24"/>
    </w:rPr>
  </w:style>
  <w:style w:type="paragraph" w:styleId="24">
    <w:name w:val="Plain Text"/>
    <w:basedOn w:val="1"/>
    <w:link w:val="432"/>
    <w:qFormat/>
    <w:uiPriority w:val="0"/>
    <w:pPr>
      <w:suppressAutoHyphens w:val="0"/>
    </w:pPr>
    <w:rPr>
      <w:rFonts w:ascii="Courier New" w:hAnsi="Courier New"/>
    </w:rPr>
  </w:style>
  <w:style w:type="paragraph" w:styleId="25">
    <w:name w:val="Body Text Indent 3"/>
    <w:basedOn w:val="1"/>
    <w:link w:val="322"/>
    <w:qFormat/>
    <w:uiPriority w:val="0"/>
    <w:pPr>
      <w:suppressAutoHyphens w:val="0"/>
      <w:spacing w:after="120"/>
      <w:ind w:left="283"/>
    </w:pPr>
    <w:rPr>
      <w:sz w:val="16"/>
      <w:szCs w:val="16"/>
    </w:rPr>
  </w:style>
  <w:style w:type="paragraph" w:styleId="26">
    <w:name w:val="endnote text"/>
    <w:basedOn w:val="1"/>
    <w:uiPriority w:val="0"/>
  </w:style>
  <w:style w:type="paragraph" w:styleId="27">
    <w:name w:val="caption"/>
    <w:basedOn w:val="1"/>
    <w:next w:val="1"/>
    <w:qFormat/>
    <w:uiPriority w:val="0"/>
    <w:pPr>
      <w:suppressLineNumbers/>
      <w:spacing w:before="120" w:after="120"/>
    </w:pPr>
    <w:rPr>
      <w:rFonts w:cs="Mangal"/>
      <w:i/>
      <w:iCs/>
      <w:sz w:val="24"/>
      <w:szCs w:val="24"/>
    </w:rPr>
  </w:style>
  <w:style w:type="paragraph" w:styleId="28">
    <w:name w:val="annotation text"/>
    <w:basedOn w:val="1"/>
    <w:link w:val="329"/>
    <w:qFormat/>
    <w:uiPriority w:val="0"/>
    <w:rPr>
      <w:lang w:eastAsia="ru-RU"/>
    </w:rPr>
  </w:style>
  <w:style w:type="paragraph" w:styleId="29">
    <w:name w:val="Document Map"/>
    <w:basedOn w:val="1"/>
    <w:link w:val="419"/>
    <w:qFormat/>
    <w:uiPriority w:val="0"/>
    <w:pPr>
      <w:shd w:val="clear" w:color="auto" w:fill="000080"/>
      <w:suppressAutoHyphens w:val="0"/>
    </w:pPr>
    <w:rPr>
      <w:rFonts w:ascii="Tahoma" w:hAnsi="Tahoma"/>
    </w:rPr>
  </w:style>
  <w:style w:type="paragraph" w:styleId="30">
    <w:name w:val="footnote text"/>
    <w:basedOn w:val="1"/>
    <w:uiPriority w:val="0"/>
  </w:style>
  <w:style w:type="paragraph" w:styleId="31">
    <w:name w:val="header"/>
    <w:basedOn w:val="1"/>
    <w:qFormat/>
    <w:uiPriority w:val="99"/>
    <w:pPr>
      <w:tabs>
        <w:tab w:val="center" w:pos="4677"/>
        <w:tab w:val="right" w:pos="9355"/>
      </w:tabs>
    </w:pPr>
    <w:rPr>
      <w:sz w:val="24"/>
      <w:szCs w:val="24"/>
    </w:rPr>
  </w:style>
  <w:style w:type="paragraph" w:styleId="32">
    <w:name w:val="Body Text"/>
    <w:basedOn w:val="1"/>
    <w:qFormat/>
    <w:uiPriority w:val="0"/>
    <w:rPr>
      <w:sz w:val="28"/>
    </w:rPr>
  </w:style>
  <w:style w:type="paragraph" w:styleId="33">
    <w:name w:val="toa heading"/>
    <w:basedOn w:val="2"/>
    <w:next w:val="1"/>
    <w:uiPriority w:val="0"/>
    <w:pPr>
      <w:keepLines/>
      <w:tabs>
        <w:tab w:val="clear" w:pos="0"/>
      </w:tabs>
      <w:spacing w:before="480" w:line="276" w:lineRule="auto"/>
      <w:ind w:left="0" w:right="0" w:firstLine="0"/>
      <w:jc w:val="left"/>
    </w:pPr>
    <w:rPr>
      <w:rFonts w:ascii="Cambria" w:hAnsi="Cambria"/>
      <w:b/>
      <w:bCs/>
      <w:color w:val="365F91"/>
      <w:sz w:val="28"/>
      <w:szCs w:val="28"/>
    </w:rPr>
  </w:style>
  <w:style w:type="paragraph" w:styleId="34">
    <w:name w:val="toc 1"/>
    <w:basedOn w:val="1"/>
    <w:next w:val="1"/>
    <w:uiPriority w:val="0"/>
  </w:style>
  <w:style w:type="paragraph" w:styleId="35">
    <w:name w:val="toc 2"/>
    <w:basedOn w:val="1"/>
    <w:next w:val="1"/>
    <w:semiHidden/>
    <w:qFormat/>
    <w:uiPriority w:val="0"/>
    <w:pPr>
      <w:suppressAutoHyphens w:val="0"/>
      <w:ind w:left="200"/>
    </w:pPr>
    <w:rPr>
      <w:lang w:eastAsia="ru-RU"/>
    </w:rPr>
  </w:style>
  <w:style w:type="paragraph" w:styleId="36">
    <w:name w:val="Note Heading"/>
    <w:basedOn w:val="1"/>
    <w:next w:val="1"/>
    <w:link w:val="437"/>
    <w:uiPriority w:val="0"/>
    <w:pPr>
      <w:suppressAutoHyphens w:val="0"/>
      <w:spacing w:after="60"/>
      <w:jc w:val="both"/>
    </w:pPr>
    <w:rPr>
      <w:sz w:val="24"/>
      <w:szCs w:val="24"/>
    </w:rPr>
  </w:style>
  <w:style w:type="paragraph" w:styleId="37">
    <w:name w:val="Date"/>
    <w:basedOn w:val="1"/>
    <w:next w:val="1"/>
    <w:link w:val="436"/>
    <w:qFormat/>
    <w:uiPriority w:val="0"/>
    <w:pPr>
      <w:suppressAutoHyphens w:val="0"/>
      <w:spacing w:after="60"/>
      <w:jc w:val="both"/>
    </w:pPr>
    <w:rPr>
      <w:sz w:val="24"/>
    </w:rPr>
  </w:style>
  <w:style w:type="paragraph" w:styleId="38">
    <w:name w:val="Body Text Indent"/>
    <w:basedOn w:val="1"/>
    <w:uiPriority w:val="99"/>
    <w:pPr>
      <w:spacing w:after="120"/>
      <w:ind w:left="283"/>
    </w:pPr>
    <w:rPr>
      <w:sz w:val="24"/>
      <w:szCs w:val="24"/>
    </w:rPr>
  </w:style>
  <w:style w:type="paragraph" w:styleId="39">
    <w:name w:val="List Bullet"/>
    <w:basedOn w:val="1"/>
    <w:qFormat/>
    <w:uiPriority w:val="0"/>
    <w:pPr>
      <w:numPr>
        <w:ilvl w:val="0"/>
        <w:numId w:val="1"/>
      </w:numPr>
      <w:suppressAutoHyphens w:val="0"/>
      <w:contextualSpacing/>
    </w:pPr>
    <w:rPr>
      <w:lang w:eastAsia="ru-RU"/>
    </w:rPr>
  </w:style>
  <w:style w:type="paragraph" w:styleId="40">
    <w:name w:val="List Bullet 2"/>
    <w:basedOn w:val="1"/>
    <w:uiPriority w:val="0"/>
    <w:pPr>
      <w:tabs>
        <w:tab w:val="left" w:pos="643"/>
      </w:tabs>
      <w:ind w:left="643" w:hanging="360"/>
      <w:contextualSpacing/>
    </w:pPr>
  </w:style>
  <w:style w:type="paragraph" w:styleId="41">
    <w:name w:val="List Bullet 3"/>
    <w:basedOn w:val="1"/>
    <w:uiPriority w:val="0"/>
    <w:pPr>
      <w:tabs>
        <w:tab w:val="left" w:pos="926"/>
      </w:tabs>
      <w:spacing w:after="60"/>
      <w:ind w:left="926" w:hanging="360"/>
      <w:jc w:val="both"/>
    </w:pPr>
    <w:rPr>
      <w:sz w:val="24"/>
    </w:rPr>
  </w:style>
  <w:style w:type="paragraph" w:styleId="42">
    <w:name w:val="footer"/>
    <w:basedOn w:val="1"/>
    <w:uiPriority w:val="99"/>
    <w:pPr>
      <w:tabs>
        <w:tab w:val="center" w:pos="4677"/>
        <w:tab w:val="right" w:pos="9355"/>
      </w:tabs>
    </w:pPr>
    <w:rPr>
      <w:sz w:val="24"/>
      <w:szCs w:val="24"/>
    </w:rPr>
  </w:style>
  <w:style w:type="paragraph" w:styleId="43">
    <w:name w:val="List Number"/>
    <w:basedOn w:val="1"/>
    <w:qFormat/>
    <w:uiPriority w:val="0"/>
    <w:pPr>
      <w:numPr>
        <w:ilvl w:val="0"/>
        <w:numId w:val="2"/>
      </w:numPr>
      <w:suppressAutoHyphens w:val="0"/>
      <w:spacing w:after="60"/>
      <w:jc w:val="both"/>
    </w:pPr>
    <w:rPr>
      <w:sz w:val="24"/>
      <w:lang w:eastAsia="ru-RU"/>
    </w:rPr>
  </w:style>
  <w:style w:type="paragraph" w:styleId="44">
    <w:name w:val="List Number 2"/>
    <w:basedOn w:val="1"/>
    <w:uiPriority w:val="99"/>
    <w:pPr>
      <w:tabs>
        <w:tab w:val="left" w:pos="4167"/>
      </w:tabs>
      <w:ind w:left="4167" w:hanging="567"/>
    </w:pPr>
  </w:style>
  <w:style w:type="paragraph" w:styleId="45">
    <w:name w:val="List"/>
    <w:basedOn w:val="32"/>
    <w:uiPriority w:val="0"/>
    <w:rPr>
      <w:rFonts w:cs="Mangal"/>
    </w:rPr>
  </w:style>
  <w:style w:type="paragraph" w:styleId="46">
    <w:name w:val="Normal (Web)"/>
    <w:basedOn w:val="1"/>
    <w:link w:val="466"/>
    <w:qFormat/>
    <w:uiPriority w:val="0"/>
    <w:pPr>
      <w:spacing w:before="100" w:after="100"/>
    </w:pPr>
    <w:rPr>
      <w:sz w:val="24"/>
      <w:szCs w:val="24"/>
    </w:rPr>
  </w:style>
  <w:style w:type="paragraph" w:styleId="47">
    <w:name w:val="Body Text 3"/>
    <w:basedOn w:val="1"/>
    <w:link w:val="325"/>
    <w:qFormat/>
    <w:uiPriority w:val="0"/>
    <w:pPr>
      <w:suppressAutoHyphens w:val="0"/>
      <w:jc w:val="both"/>
    </w:pPr>
    <w:rPr>
      <w:sz w:val="16"/>
      <w:szCs w:val="16"/>
    </w:rPr>
  </w:style>
  <w:style w:type="paragraph" w:styleId="48">
    <w:name w:val="Body Text Indent 2"/>
    <w:basedOn w:val="1"/>
    <w:link w:val="318"/>
    <w:qFormat/>
    <w:uiPriority w:val="99"/>
    <w:pPr>
      <w:suppressAutoHyphens w:val="0"/>
      <w:spacing w:after="120" w:line="480" w:lineRule="auto"/>
      <w:ind w:left="283"/>
    </w:pPr>
  </w:style>
  <w:style w:type="paragraph" w:styleId="49">
    <w:name w:val="Subtitle"/>
    <w:basedOn w:val="50"/>
    <w:next w:val="32"/>
    <w:link w:val="449"/>
    <w:qFormat/>
    <w:uiPriority w:val="0"/>
    <w:pPr>
      <w:spacing w:before="60" w:after="120"/>
    </w:pPr>
    <w:rPr>
      <w:sz w:val="36"/>
      <w:szCs w:val="36"/>
    </w:rPr>
  </w:style>
  <w:style w:type="paragraph" w:customStyle="1" w:styleId="50">
    <w:name w:val="Заголовок1"/>
    <w:basedOn w:val="1"/>
    <w:next w:val="32"/>
    <w:qFormat/>
    <w:uiPriority w:val="0"/>
    <w:pPr>
      <w:ind w:right="50"/>
      <w:jc w:val="center"/>
    </w:pPr>
    <w:rPr>
      <w:b/>
      <w:sz w:val="28"/>
    </w:rPr>
  </w:style>
  <w:style w:type="paragraph" w:styleId="51">
    <w:name w:val="HTML Preformatted"/>
    <w:basedOn w:val="1"/>
    <w:link w:val="423"/>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3"/>
      <w:szCs w:val="23"/>
    </w:rPr>
  </w:style>
  <w:style w:type="paragraph" w:styleId="52">
    <w:name w:val="Block Text"/>
    <w:basedOn w:val="1"/>
    <w:qFormat/>
    <w:uiPriority w:val="0"/>
    <w:pPr>
      <w:tabs>
        <w:tab w:val="left" w:pos="5245"/>
      </w:tabs>
      <w:suppressAutoHyphens w:val="0"/>
      <w:ind w:left="1418" w:right="226"/>
    </w:pPr>
    <w:rPr>
      <w:sz w:val="24"/>
      <w:lang w:eastAsia="ru-RU"/>
    </w:rPr>
  </w:style>
  <w:style w:type="table" w:styleId="53">
    <w:name w:val="Table Grid"/>
    <w:basedOn w:val="12"/>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4">
    <w:name w:val="Table List 4"/>
    <w:basedOn w:val="12"/>
    <w:qFormat/>
    <w:uiPriority w:val="0"/>
    <w:pPr>
      <w:spacing w:after="60"/>
      <w:jc w:val="both"/>
    </w:p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character" w:customStyle="1" w:styleId="55">
    <w:name w:val="WW8Num1z0"/>
    <w:uiPriority w:val="0"/>
  </w:style>
  <w:style w:type="character" w:customStyle="1" w:styleId="56">
    <w:name w:val="WW8Num1z1"/>
    <w:uiPriority w:val="0"/>
  </w:style>
  <w:style w:type="character" w:customStyle="1" w:styleId="57">
    <w:name w:val="WW8Num1z2"/>
    <w:uiPriority w:val="0"/>
  </w:style>
  <w:style w:type="character" w:customStyle="1" w:styleId="58">
    <w:name w:val="WW8Num1z3"/>
    <w:uiPriority w:val="0"/>
  </w:style>
  <w:style w:type="character" w:customStyle="1" w:styleId="59">
    <w:name w:val="WW8Num1z4"/>
    <w:uiPriority w:val="0"/>
  </w:style>
  <w:style w:type="character" w:customStyle="1" w:styleId="60">
    <w:name w:val="WW8Num1z5"/>
    <w:uiPriority w:val="0"/>
  </w:style>
  <w:style w:type="character" w:customStyle="1" w:styleId="61">
    <w:name w:val="WW8Num1z6"/>
    <w:uiPriority w:val="0"/>
  </w:style>
  <w:style w:type="character" w:customStyle="1" w:styleId="62">
    <w:name w:val="WW8Num1z7"/>
    <w:uiPriority w:val="0"/>
  </w:style>
  <w:style w:type="character" w:customStyle="1" w:styleId="63">
    <w:name w:val="WW8Num1z8"/>
    <w:uiPriority w:val="0"/>
  </w:style>
  <w:style w:type="character" w:customStyle="1" w:styleId="64">
    <w:name w:val="WW8Num2z0"/>
    <w:uiPriority w:val="0"/>
    <w:rPr>
      <w:rFonts w:hint="default" w:ascii="Symbol" w:hAnsi="Symbol" w:cs="Symbol"/>
    </w:rPr>
  </w:style>
  <w:style w:type="character" w:customStyle="1" w:styleId="65">
    <w:name w:val="WW8Num3z0"/>
    <w:uiPriority w:val="0"/>
  </w:style>
  <w:style w:type="character" w:customStyle="1" w:styleId="66">
    <w:name w:val="WW8Num4z0"/>
    <w:uiPriority w:val="0"/>
    <w:rPr>
      <w:rFonts w:hint="default" w:ascii="Symbol" w:hAnsi="Symbol" w:cs="Symbol"/>
    </w:rPr>
  </w:style>
  <w:style w:type="character" w:customStyle="1" w:styleId="67">
    <w:name w:val="WW8Num5z0"/>
    <w:uiPriority w:val="0"/>
    <w:rPr>
      <w:rFonts w:ascii="Times New Roman" w:hAnsi="Times New Roman" w:cs="Times New Roman"/>
      <w:sz w:val="22"/>
      <w:szCs w:val="22"/>
    </w:rPr>
  </w:style>
  <w:style w:type="character" w:customStyle="1" w:styleId="68">
    <w:name w:val="WW8Num6z0"/>
    <w:uiPriority w:val="0"/>
    <w:rPr>
      <w:sz w:val="22"/>
      <w:szCs w:val="22"/>
    </w:rPr>
  </w:style>
  <w:style w:type="character" w:customStyle="1" w:styleId="69">
    <w:name w:val="WW8Num7z0"/>
    <w:uiPriority w:val="0"/>
    <w:rPr>
      <w:rFonts w:hint="default"/>
      <w:sz w:val="22"/>
      <w:szCs w:val="22"/>
      <w:lang w:eastAsia="ar-SA"/>
    </w:rPr>
  </w:style>
  <w:style w:type="character" w:customStyle="1" w:styleId="70">
    <w:name w:val="WW8Num8z0"/>
    <w:uiPriority w:val="0"/>
  </w:style>
  <w:style w:type="character" w:customStyle="1" w:styleId="71">
    <w:name w:val="WW8Num9z0"/>
    <w:uiPriority w:val="0"/>
    <w:rPr>
      <w:bCs/>
      <w:sz w:val="22"/>
      <w:szCs w:val="22"/>
    </w:rPr>
  </w:style>
  <w:style w:type="character" w:customStyle="1" w:styleId="72">
    <w:name w:val="WW8Num10z0"/>
    <w:uiPriority w:val="0"/>
    <w:rPr>
      <w:b/>
    </w:rPr>
  </w:style>
  <w:style w:type="character" w:customStyle="1" w:styleId="73">
    <w:name w:val="WW8Num11z0"/>
    <w:uiPriority w:val="0"/>
  </w:style>
  <w:style w:type="character" w:customStyle="1" w:styleId="74">
    <w:name w:val="WW8Num11z1"/>
    <w:uiPriority w:val="0"/>
  </w:style>
  <w:style w:type="character" w:customStyle="1" w:styleId="75">
    <w:name w:val="WW8Num11z2"/>
    <w:uiPriority w:val="0"/>
    <w:rPr>
      <w:b/>
      <w:sz w:val="22"/>
      <w:szCs w:val="22"/>
    </w:rPr>
  </w:style>
  <w:style w:type="character" w:customStyle="1" w:styleId="76">
    <w:name w:val="WW8Num11z3"/>
    <w:uiPriority w:val="0"/>
  </w:style>
  <w:style w:type="character" w:customStyle="1" w:styleId="77">
    <w:name w:val="WW8Num11z4"/>
    <w:uiPriority w:val="0"/>
  </w:style>
  <w:style w:type="character" w:customStyle="1" w:styleId="78">
    <w:name w:val="WW8Num11z5"/>
    <w:uiPriority w:val="0"/>
  </w:style>
  <w:style w:type="character" w:customStyle="1" w:styleId="79">
    <w:name w:val="WW8Num11z6"/>
    <w:qFormat/>
    <w:uiPriority w:val="0"/>
  </w:style>
  <w:style w:type="character" w:customStyle="1" w:styleId="80">
    <w:name w:val="WW8Num11z7"/>
    <w:uiPriority w:val="0"/>
  </w:style>
  <w:style w:type="character" w:customStyle="1" w:styleId="81">
    <w:name w:val="WW8Num11z8"/>
    <w:uiPriority w:val="0"/>
  </w:style>
  <w:style w:type="character" w:customStyle="1" w:styleId="82">
    <w:name w:val="WW8Num12z0"/>
    <w:uiPriority w:val="0"/>
    <w:rPr>
      <w:rFonts w:hint="default"/>
      <w:color w:val="auto"/>
      <w:sz w:val="22"/>
      <w:szCs w:val="22"/>
      <w:lang w:eastAsia="ar-SA"/>
    </w:rPr>
  </w:style>
  <w:style w:type="character" w:customStyle="1" w:styleId="83">
    <w:name w:val="WW8Num13z0"/>
    <w:qFormat/>
    <w:uiPriority w:val="0"/>
  </w:style>
  <w:style w:type="character" w:customStyle="1" w:styleId="84">
    <w:name w:val="WW8Num14z0"/>
    <w:qFormat/>
    <w:uiPriority w:val="0"/>
  </w:style>
  <w:style w:type="character" w:customStyle="1" w:styleId="85">
    <w:name w:val="WW8Num14z1"/>
    <w:uiPriority w:val="0"/>
    <w:rPr>
      <w:b/>
      <w:sz w:val="22"/>
      <w:szCs w:val="22"/>
    </w:rPr>
  </w:style>
  <w:style w:type="character" w:customStyle="1" w:styleId="86">
    <w:name w:val="WW8Num14z2"/>
    <w:uiPriority w:val="0"/>
  </w:style>
  <w:style w:type="character" w:customStyle="1" w:styleId="87">
    <w:name w:val="WW8Num14z3"/>
    <w:uiPriority w:val="0"/>
  </w:style>
  <w:style w:type="character" w:customStyle="1" w:styleId="88">
    <w:name w:val="WW8Num14z4"/>
    <w:uiPriority w:val="0"/>
  </w:style>
  <w:style w:type="character" w:customStyle="1" w:styleId="89">
    <w:name w:val="WW8Num14z5"/>
    <w:uiPriority w:val="0"/>
  </w:style>
  <w:style w:type="character" w:customStyle="1" w:styleId="90">
    <w:name w:val="WW8Num14z6"/>
    <w:uiPriority w:val="0"/>
  </w:style>
  <w:style w:type="character" w:customStyle="1" w:styleId="91">
    <w:name w:val="WW8Num14z7"/>
    <w:uiPriority w:val="0"/>
  </w:style>
  <w:style w:type="character" w:customStyle="1" w:styleId="92">
    <w:name w:val="WW8Num14z8"/>
    <w:uiPriority w:val="0"/>
  </w:style>
  <w:style w:type="character" w:customStyle="1" w:styleId="93">
    <w:name w:val="WW8Num15z0"/>
    <w:uiPriority w:val="0"/>
  </w:style>
  <w:style w:type="character" w:customStyle="1" w:styleId="94">
    <w:name w:val="WW8Num15z1"/>
    <w:uiPriority w:val="0"/>
  </w:style>
  <w:style w:type="character" w:customStyle="1" w:styleId="95">
    <w:name w:val="WW8Num15z2"/>
    <w:uiPriority w:val="0"/>
  </w:style>
  <w:style w:type="character" w:customStyle="1" w:styleId="96">
    <w:name w:val="WW8Num15z3"/>
    <w:uiPriority w:val="0"/>
  </w:style>
  <w:style w:type="character" w:customStyle="1" w:styleId="97">
    <w:name w:val="WW8Num15z4"/>
    <w:uiPriority w:val="0"/>
  </w:style>
  <w:style w:type="character" w:customStyle="1" w:styleId="98">
    <w:name w:val="WW8Num15z5"/>
    <w:uiPriority w:val="0"/>
  </w:style>
  <w:style w:type="character" w:customStyle="1" w:styleId="99">
    <w:name w:val="WW8Num15z6"/>
    <w:uiPriority w:val="0"/>
  </w:style>
  <w:style w:type="character" w:customStyle="1" w:styleId="100">
    <w:name w:val="WW8Num15z7"/>
    <w:uiPriority w:val="0"/>
  </w:style>
  <w:style w:type="character" w:customStyle="1" w:styleId="101">
    <w:name w:val="WW8Num15z8"/>
    <w:uiPriority w:val="0"/>
  </w:style>
  <w:style w:type="character" w:customStyle="1" w:styleId="102">
    <w:name w:val="WW8Num16z0"/>
    <w:uiPriority w:val="0"/>
    <w:rPr>
      <w:rFonts w:hint="default" w:ascii="Symbol" w:hAnsi="Symbol" w:cs="Symbol"/>
    </w:rPr>
  </w:style>
  <w:style w:type="character" w:customStyle="1" w:styleId="103">
    <w:name w:val="WW8Num17z0"/>
    <w:uiPriority w:val="0"/>
  </w:style>
  <w:style w:type="character" w:customStyle="1" w:styleId="104">
    <w:name w:val="WW8Num17z1"/>
    <w:uiPriority w:val="0"/>
    <w:rPr>
      <w:rFonts w:eastAsia="Calibri"/>
      <w:b/>
      <w:sz w:val="22"/>
      <w:szCs w:val="22"/>
    </w:rPr>
  </w:style>
  <w:style w:type="character" w:customStyle="1" w:styleId="105">
    <w:name w:val="WW8Num17z2"/>
    <w:uiPriority w:val="0"/>
  </w:style>
  <w:style w:type="character" w:customStyle="1" w:styleId="106">
    <w:name w:val="WW8Num17z3"/>
    <w:uiPriority w:val="0"/>
  </w:style>
  <w:style w:type="character" w:customStyle="1" w:styleId="107">
    <w:name w:val="WW8Num17z4"/>
    <w:uiPriority w:val="0"/>
  </w:style>
  <w:style w:type="character" w:customStyle="1" w:styleId="108">
    <w:name w:val="WW8Num17z5"/>
    <w:uiPriority w:val="0"/>
  </w:style>
  <w:style w:type="character" w:customStyle="1" w:styleId="109">
    <w:name w:val="WW8Num17z6"/>
    <w:uiPriority w:val="0"/>
  </w:style>
  <w:style w:type="character" w:customStyle="1" w:styleId="110">
    <w:name w:val="WW8Num17z7"/>
    <w:uiPriority w:val="0"/>
  </w:style>
  <w:style w:type="character" w:customStyle="1" w:styleId="111">
    <w:name w:val="WW8Num17z8"/>
    <w:uiPriority w:val="0"/>
  </w:style>
  <w:style w:type="character" w:customStyle="1" w:styleId="112">
    <w:name w:val="WW8Num18z0"/>
    <w:uiPriority w:val="0"/>
    <w:rPr>
      <w:rFonts w:hint="default" w:eastAsia="Arial"/>
      <w:b/>
      <w:caps/>
      <w:sz w:val="22"/>
      <w:szCs w:val="22"/>
      <w:lang w:eastAsia="ar-SA"/>
    </w:rPr>
  </w:style>
  <w:style w:type="character" w:customStyle="1" w:styleId="113">
    <w:name w:val="WW8Num18z1"/>
    <w:uiPriority w:val="0"/>
    <w:rPr>
      <w:rFonts w:hint="default"/>
    </w:rPr>
  </w:style>
  <w:style w:type="character" w:customStyle="1" w:styleId="114">
    <w:name w:val="WW8Num19z0"/>
    <w:uiPriority w:val="0"/>
  </w:style>
  <w:style w:type="character" w:customStyle="1" w:styleId="115">
    <w:name w:val="WW8Num19z1"/>
    <w:uiPriority w:val="0"/>
    <w:rPr>
      <w:sz w:val="22"/>
      <w:szCs w:val="22"/>
    </w:rPr>
  </w:style>
  <w:style w:type="character" w:customStyle="1" w:styleId="116">
    <w:name w:val="WW8Num19z2"/>
    <w:uiPriority w:val="0"/>
  </w:style>
  <w:style w:type="character" w:customStyle="1" w:styleId="117">
    <w:name w:val="WW8Num19z3"/>
    <w:uiPriority w:val="0"/>
  </w:style>
  <w:style w:type="character" w:customStyle="1" w:styleId="118">
    <w:name w:val="WW8Num19z4"/>
    <w:uiPriority w:val="0"/>
  </w:style>
  <w:style w:type="character" w:customStyle="1" w:styleId="119">
    <w:name w:val="WW8Num19z5"/>
    <w:uiPriority w:val="0"/>
  </w:style>
  <w:style w:type="character" w:customStyle="1" w:styleId="120">
    <w:name w:val="WW8Num19z6"/>
    <w:uiPriority w:val="0"/>
  </w:style>
  <w:style w:type="character" w:customStyle="1" w:styleId="121">
    <w:name w:val="WW8Num19z7"/>
    <w:uiPriority w:val="0"/>
  </w:style>
  <w:style w:type="character" w:customStyle="1" w:styleId="122">
    <w:name w:val="WW8Num19z8"/>
    <w:uiPriority w:val="0"/>
  </w:style>
  <w:style w:type="character" w:customStyle="1" w:styleId="123">
    <w:name w:val="WW8Num20z0"/>
    <w:uiPriority w:val="0"/>
    <w:rPr>
      <w:sz w:val="22"/>
      <w:szCs w:val="22"/>
    </w:rPr>
  </w:style>
  <w:style w:type="character" w:customStyle="1" w:styleId="124">
    <w:name w:val="WW8Num21z0"/>
    <w:uiPriority w:val="0"/>
  </w:style>
  <w:style w:type="character" w:customStyle="1" w:styleId="125">
    <w:name w:val="WW8Num21z1"/>
    <w:uiPriority w:val="0"/>
  </w:style>
  <w:style w:type="character" w:customStyle="1" w:styleId="126">
    <w:name w:val="WW8Num21z2"/>
    <w:uiPriority w:val="0"/>
  </w:style>
  <w:style w:type="character" w:customStyle="1" w:styleId="127">
    <w:name w:val="WW8Num21z3"/>
    <w:uiPriority w:val="0"/>
  </w:style>
  <w:style w:type="character" w:customStyle="1" w:styleId="128">
    <w:name w:val="WW8Num21z4"/>
    <w:uiPriority w:val="0"/>
  </w:style>
  <w:style w:type="character" w:customStyle="1" w:styleId="129">
    <w:name w:val="WW8Num21z5"/>
    <w:uiPriority w:val="0"/>
  </w:style>
  <w:style w:type="character" w:customStyle="1" w:styleId="130">
    <w:name w:val="WW8Num21z6"/>
    <w:uiPriority w:val="0"/>
  </w:style>
  <w:style w:type="character" w:customStyle="1" w:styleId="131">
    <w:name w:val="WW8Num21z7"/>
    <w:qFormat/>
    <w:uiPriority w:val="0"/>
  </w:style>
  <w:style w:type="character" w:customStyle="1" w:styleId="132">
    <w:name w:val="WW8Num21z8"/>
    <w:uiPriority w:val="0"/>
  </w:style>
  <w:style w:type="character" w:customStyle="1" w:styleId="133">
    <w:name w:val="WW8Num22z0"/>
    <w:uiPriority w:val="0"/>
    <w:rPr>
      <w:b/>
      <w:sz w:val="22"/>
      <w:szCs w:val="22"/>
    </w:rPr>
  </w:style>
  <w:style w:type="character" w:customStyle="1" w:styleId="134">
    <w:name w:val="WW8Num23z0"/>
    <w:uiPriority w:val="0"/>
    <w:rPr>
      <w:sz w:val="22"/>
      <w:szCs w:val="22"/>
    </w:rPr>
  </w:style>
  <w:style w:type="character" w:customStyle="1" w:styleId="135">
    <w:name w:val="WW8Num23z2"/>
    <w:uiPriority w:val="0"/>
  </w:style>
  <w:style w:type="character" w:customStyle="1" w:styleId="136">
    <w:name w:val="WW8Num23z3"/>
    <w:uiPriority w:val="0"/>
  </w:style>
  <w:style w:type="character" w:customStyle="1" w:styleId="137">
    <w:name w:val="WW8Num23z4"/>
    <w:uiPriority w:val="0"/>
  </w:style>
  <w:style w:type="character" w:customStyle="1" w:styleId="138">
    <w:name w:val="WW8Num23z5"/>
    <w:uiPriority w:val="0"/>
  </w:style>
  <w:style w:type="character" w:customStyle="1" w:styleId="139">
    <w:name w:val="WW8Num23z6"/>
    <w:uiPriority w:val="0"/>
  </w:style>
  <w:style w:type="character" w:customStyle="1" w:styleId="140">
    <w:name w:val="WW8Num23z7"/>
    <w:uiPriority w:val="0"/>
  </w:style>
  <w:style w:type="character" w:customStyle="1" w:styleId="141">
    <w:name w:val="WW8Num23z8"/>
    <w:uiPriority w:val="0"/>
  </w:style>
  <w:style w:type="character" w:customStyle="1" w:styleId="142">
    <w:name w:val="WW8Num24z0"/>
    <w:uiPriority w:val="0"/>
    <w:rPr>
      <w:rFonts w:hint="default"/>
      <w:b/>
    </w:rPr>
  </w:style>
  <w:style w:type="character" w:customStyle="1" w:styleId="143">
    <w:name w:val="WW8Num25z0"/>
    <w:uiPriority w:val="0"/>
    <w:rPr>
      <w:kern w:val="1"/>
      <w:sz w:val="22"/>
      <w:szCs w:val="22"/>
    </w:rPr>
  </w:style>
  <w:style w:type="character" w:customStyle="1" w:styleId="144">
    <w:name w:val="WW8Num26z0"/>
    <w:uiPriority w:val="0"/>
    <w:rPr>
      <w:sz w:val="22"/>
      <w:szCs w:val="22"/>
    </w:rPr>
  </w:style>
  <w:style w:type="character" w:customStyle="1" w:styleId="145">
    <w:name w:val="WW8Num27z0"/>
    <w:uiPriority w:val="0"/>
    <w:rPr>
      <w:sz w:val="22"/>
      <w:szCs w:val="22"/>
    </w:rPr>
  </w:style>
  <w:style w:type="character" w:customStyle="1" w:styleId="146">
    <w:name w:val="WW8Num28z0"/>
    <w:uiPriority w:val="0"/>
    <w:rPr>
      <w:rFonts w:hint="default"/>
    </w:rPr>
  </w:style>
  <w:style w:type="character" w:customStyle="1" w:styleId="147">
    <w:name w:val="WW8Num29z0"/>
    <w:uiPriority w:val="0"/>
    <w:rPr>
      <w:b/>
      <w:sz w:val="22"/>
      <w:szCs w:val="22"/>
    </w:rPr>
  </w:style>
  <w:style w:type="character" w:customStyle="1" w:styleId="148">
    <w:name w:val="WW8Num30z0"/>
    <w:uiPriority w:val="0"/>
    <w:rPr>
      <w:rFonts w:hint="default"/>
      <w:b/>
      <w:spacing w:val="-5"/>
      <w:sz w:val="22"/>
      <w:szCs w:val="22"/>
    </w:rPr>
  </w:style>
  <w:style w:type="character" w:customStyle="1" w:styleId="149">
    <w:name w:val="WW8Num31z0"/>
    <w:qFormat/>
    <w:uiPriority w:val="0"/>
  </w:style>
  <w:style w:type="character" w:customStyle="1" w:styleId="150">
    <w:name w:val="WW8Num31z1"/>
    <w:uiPriority w:val="0"/>
  </w:style>
  <w:style w:type="character" w:customStyle="1" w:styleId="151">
    <w:name w:val="WW8Num31z2"/>
    <w:qFormat/>
    <w:uiPriority w:val="0"/>
  </w:style>
  <w:style w:type="character" w:customStyle="1" w:styleId="152">
    <w:name w:val="WW8Num31z3"/>
    <w:qFormat/>
    <w:uiPriority w:val="0"/>
  </w:style>
  <w:style w:type="character" w:customStyle="1" w:styleId="153">
    <w:name w:val="WW8Num31z4"/>
    <w:uiPriority w:val="0"/>
  </w:style>
  <w:style w:type="character" w:customStyle="1" w:styleId="154">
    <w:name w:val="WW8Num31z5"/>
    <w:uiPriority w:val="0"/>
  </w:style>
  <w:style w:type="character" w:customStyle="1" w:styleId="155">
    <w:name w:val="WW8Num31z6"/>
    <w:uiPriority w:val="0"/>
  </w:style>
  <w:style w:type="character" w:customStyle="1" w:styleId="156">
    <w:name w:val="WW8Num31z7"/>
    <w:uiPriority w:val="0"/>
  </w:style>
  <w:style w:type="character" w:customStyle="1" w:styleId="157">
    <w:name w:val="WW8Num31z8"/>
    <w:uiPriority w:val="0"/>
  </w:style>
  <w:style w:type="character" w:customStyle="1" w:styleId="158">
    <w:name w:val="WW8Num24z1"/>
    <w:uiPriority w:val="0"/>
    <w:rPr>
      <w:sz w:val="22"/>
      <w:szCs w:val="22"/>
    </w:rPr>
  </w:style>
  <w:style w:type="character" w:customStyle="1" w:styleId="159">
    <w:name w:val="WW8Num24z2"/>
    <w:uiPriority w:val="0"/>
  </w:style>
  <w:style w:type="character" w:customStyle="1" w:styleId="160">
    <w:name w:val="WW8Num24z3"/>
    <w:uiPriority w:val="0"/>
  </w:style>
  <w:style w:type="character" w:customStyle="1" w:styleId="161">
    <w:name w:val="WW8Num24z4"/>
    <w:uiPriority w:val="0"/>
  </w:style>
  <w:style w:type="character" w:customStyle="1" w:styleId="162">
    <w:name w:val="WW8Num24z5"/>
    <w:uiPriority w:val="0"/>
  </w:style>
  <w:style w:type="character" w:customStyle="1" w:styleId="163">
    <w:name w:val="WW8Num24z6"/>
    <w:uiPriority w:val="0"/>
  </w:style>
  <w:style w:type="character" w:customStyle="1" w:styleId="164">
    <w:name w:val="WW8Num24z7"/>
    <w:uiPriority w:val="0"/>
  </w:style>
  <w:style w:type="character" w:customStyle="1" w:styleId="165">
    <w:name w:val="WW8Num24z8"/>
    <w:uiPriority w:val="0"/>
  </w:style>
  <w:style w:type="character" w:customStyle="1" w:styleId="166">
    <w:name w:val="WW8Num32z0"/>
    <w:uiPriority w:val="0"/>
  </w:style>
  <w:style w:type="character" w:customStyle="1" w:styleId="167">
    <w:name w:val="WW8Num32z1"/>
    <w:uiPriority w:val="0"/>
  </w:style>
  <w:style w:type="character" w:customStyle="1" w:styleId="168">
    <w:name w:val="WW8Num32z2"/>
    <w:uiPriority w:val="0"/>
  </w:style>
  <w:style w:type="character" w:customStyle="1" w:styleId="169">
    <w:name w:val="WW8Num32z3"/>
    <w:uiPriority w:val="0"/>
  </w:style>
  <w:style w:type="character" w:customStyle="1" w:styleId="170">
    <w:name w:val="WW8Num32z4"/>
    <w:uiPriority w:val="0"/>
  </w:style>
  <w:style w:type="character" w:customStyle="1" w:styleId="171">
    <w:name w:val="WW8Num32z5"/>
    <w:uiPriority w:val="0"/>
  </w:style>
  <w:style w:type="character" w:customStyle="1" w:styleId="172">
    <w:name w:val="WW8Num32z6"/>
    <w:uiPriority w:val="0"/>
  </w:style>
  <w:style w:type="character" w:customStyle="1" w:styleId="173">
    <w:name w:val="WW8Num32z7"/>
    <w:uiPriority w:val="0"/>
  </w:style>
  <w:style w:type="character" w:customStyle="1" w:styleId="174">
    <w:name w:val="WW8Num32z8"/>
    <w:uiPriority w:val="0"/>
  </w:style>
  <w:style w:type="character" w:customStyle="1" w:styleId="175">
    <w:name w:val="WW8Num5z1"/>
    <w:uiPriority w:val="0"/>
    <w:rPr>
      <w:rFonts w:ascii="Symbol" w:hAnsi="Symbol" w:cs="Symbol"/>
    </w:rPr>
  </w:style>
  <w:style w:type="character" w:customStyle="1" w:styleId="176">
    <w:name w:val="WW8Num5z2"/>
    <w:uiPriority w:val="0"/>
    <w:rPr>
      <w:rFonts w:ascii="Wingdings" w:hAnsi="Wingdings" w:cs="Wingdings"/>
      <w:lang w:val="ru-RU"/>
    </w:rPr>
  </w:style>
  <w:style w:type="character" w:customStyle="1" w:styleId="177">
    <w:name w:val="WW8Num5z4"/>
    <w:uiPriority w:val="0"/>
    <w:rPr>
      <w:rFonts w:ascii="Courier New" w:hAnsi="Courier New" w:cs="Verdana"/>
    </w:rPr>
  </w:style>
  <w:style w:type="character" w:customStyle="1" w:styleId="178">
    <w:name w:val="WW8Num5z5"/>
    <w:uiPriority w:val="0"/>
    <w:rPr>
      <w:rFonts w:ascii="Wingdings" w:hAnsi="Wingdings" w:cs="Wingdings"/>
    </w:rPr>
  </w:style>
  <w:style w:type="character" w:customStyle="1" w:styleId="179">
    <w:name w:val="WW8Num12z1"/>
    <w:uiPriority w:val="0"/>
  </w:style>
  <w:style w:type="character" w:customStyle="1" w:styleId="180">
    <w:name w:val="WW8Num12z2"/>
    <w:uiPriority w:val="0"/>
  </w:style>
  <w:style w:type="character" w:customStyle="1" w:styleId="181">
    <w:name w:val="WW8Num12z3"/>
    <w:uiPriority w:val="0"/>
  </w:style>
  <w:style w:type="character" w:customStyle="1" w:styleId="182">
    <w:name w:val="WW8Num12z4"/>
    <w:uiPriority w:val="0"/>
  </w:style>
  <w:style w:type="character" w:customStyle="1" w:styleId="183">
    <w:name w:val="WW8Num12z5"/>
    <w:uiPriority w:val="0"/>
  </w:style>
  <w:style w:type="character" w:customStyle="1" w:styleId="184">
    <w:name w:val="WW8Num12z6"/>
    <w:uiPriority w:val="0"/>
  </w:style>
  <w:style w:type="character" w:customStyle="1" w:styleId="185">
    <w:name w:val="WW8Num12z7"/>
    <w:uiPriority w:val="0"/>
  </w:style>
  <w:style w:type="character" w:customStyle="1" w:styleId="186">
    <w:name w:val="WW8Num12z8"/>
    <w:uiPriority w:val="0"/>
  </w:style>
  <w:style w:type="character" w:customStyle="1" w:styleId="187">
    <w:name w:val="WW8Num16z1"/>
    <w:uiPriority w:val="0"/>
  </w:style>
  <w:style w:type="character" w:customStyle="1" w:styleId="188">
    <w:name w:val="WW8Num16z2"/>
    <w:uiPriority w:val="0"/>
  </w:style>
  <w:style w:type="character" w:customStyle="1" w:styleId="189">
    <w:name w:val="WW8Num16z3"/>
    <w:uiPriority w:val="0"/>
  </w:style>
  <w:style w:type="character" w:customStyle="1" w:styleId="190">
    <w:name w:val="WW8Num16z4"/>
    <w:uiPriority w:val="0"/>
  </w:style>
  <w:style w:type="character" w:customStyle="1" w:styleId="191">
    <w:name w:val="WW8Num16z5"/>
    <w:uiPriority w:val="0"/>
  </w:style>
  <w:style w:type="character" w:customStyle="1" w:styleId="192">
    <w:name w:val="WW8Num16z6"/>
    <w:uiPriority w:val="0"/>
  </w:style>
  <w:style w:type="character" w:customStyle="1" w:styleId="193">
    <w:name w:val="WW8Num16z7"/>
    <w:uiPriority w:val="0"/>
  </w:style>
  <w:style w:type="character" w:customStyle="1" w:styleId="194">
    <w:name w:val="WW8Num16z8"/>
    <w:uiPriority w:val="0"/>
  </w:style>
  <w:style w:type="character" w:customStyle="1" w:styleId="195">
    <w:name w:val="WW8Num18z2"/>
    <w:uiPriority w:val="0"/>
  </w:style>
  <w:style w:type="character" w:customStyle="1" w:styleId="196">
    <w:name w:val="WW8Num18z3"/>
    <w:uiPriority w:val="0"/>
  </w:style>
  <w:style w:type="character" w:customStyle="1" w:styleId="197">
    <w:name w:val="WW8Num18z4"/>
    <w:uiPriority w:val="0"/>
  </w:style>
  <w:style w:type="character" w:customStyle="1" w:styleId="198">
    <w:name w:val="WW8Num18z5"/>
    <w:uiPriority w:val="0"/>
  </w:style>
  <w:style w:type="character" w:customStyle="1" w:styleId="199">
    <w:name w:val="WW8Num18z6"/>
    <w:uiPriority w:val="0"/>
  </w:style>
  <w:style w:type="character" w:customStyle="1" w:styleId="200">
    <w:name w:val="WW8Num18z7"/>
    <w:uiPriority w:val="0"/>
  </w:style>
  <w:style w:type="character" w:customStyle="1" w:styleId="201">
    <w:name w:val="WW8Num18z8"/>
    <w:uiPriority w:val="0"/>
  </w:style>
  <w:style w:type="character" w:customStyle="1" w:styleId="202">
    <w:name w:val="WW8Num22z1"/>
    <w:uiPriority w:val="0"/>
  </w:style>
  <w:style w:type="character" w:customStyle="1" w:styleId="203">
    <w:name w:val="WW8Num22z2"/>
    <w:uiPriority w:val="0"/>
  </w:style>
  <w:style w:type="character" w:customStyle="1" w:styleId="204">
    <w:name w:val="WW8Num22z3"/>
    <w:uiPriority w:val="0"/>
  </w:style>
  <w:style w:type="character" w:customStyle="1" w:styleId="205">
    <w:name w:val="WW8Num22z4"/>
    <w:uiPriority w:val="0"/>
  </w:style>
  <w:style w:type="character" w:customStyle="1" w:styleId="206">
    <w:name w:val="WW8Num22z5"/>
    <w:uiPriority w:val="0"/>
  </w:style>
  <w:style w:type="character" w:customStyle="1" w:styleId="207">
    <w:name w:val="WW8Num22z6"/>
    <w:uiPriority w:val="0"/>
  </w:style>
  <w:style w:type="character" w:customStyle="1" w:styleId="208">
    <w:name w:val="WW8Num22z7"/>
    <w:uiPriority w:val="0"/>
  </w:style>
  <w:style w:type="character" w:customStyle="1" w:styleId="209">
    <w:name w:val="WW8Num22z8"/>
    <w:uiPriority w:val="0"/>
  </w:style>
  <w:style w:type="character" w:customStyle="1" w:styleId="210">
    <w:name w:val="WW8Num23z1"/>
    <w:uiPriority w:val="0"/>
  </w:style>
  <w:style w:type="character" w:customStyle="1" w:styleId="211">
    <w:name w:val="WW8Num25z1"/>
    <w:uiPriority w:val="0"/>
    <w:rPr>
      <w:sz w:val="22"/>
      <w:szCs w:val="22"/>
    </w:rPr>
  </w:style>
  <w:style w:type="character" w:customStyle="1" w:styleId="212">
    <w:name w:val="WW8Num25z2"/>
    <w:uiPriority w:val="0"/>
  </w:style>
  <w:style w:type="character" w:customStyle="1" w:styleId="213">
    <w:name w:val="WW8Num25z3"/>
    <w:uiPriority w:val="0"/>
  </w:style>
  <w:style w:type="character" w:customStyle="1" w:styleId="214">
    <w:name w:val="WW8Num25z4"/>
    <w:uiPriority w:val="0"/>
  </w:style>
  <w:style w:type="character" w:customStyle="1" w:styleId="215">
    <w:name w:val="WW8Num25z5"/>
    <w:uiPriority w:val="0"/>
  </w:style>
  <w:style w:type="character" w:customStyle="1" w:styleId="216">
    <w:name w:val="WW8Num25z6"/>
    <w:uiPriority w:val="0"/>
  </w:style>
  <w:style w:type="character" w:customStyle="1" w:styleId="217">
    <w:name w:val="WW8Num25z7"/>
    <w:uiPriority w:val="0"/>
  </w:style>
  <w:style w:type="character" w:customStyle="1" w:styleId="218">
    <w:name w:val="WW8Num25z8"/>
    <w:uiPriority w:val="0"/>
  </w:style>
  <w:style w:type="character" w:customStyle="1" w:styleId="219">
    <w:name w:val="WW8Num26z1"/>
    <w:uiPriority w:val="0"/>
    <w:rPr>
      <w:rFonts w:hint="default"/>
    </w:rPr>
  </w:style>
  <w:style w:type="character" w:customStyle="1" w:styleId="220">
    <w:name w:val="WW8Num27z1"/>
    <w:uiPriority w:val="0"/>
  </w:style>
  <w:style w:type="character" w:customStyle="1" w:styleId="221">
    <w:name w:val="WW8Num27z2"/>
    <w:uiPriority w:val="0"/>
  </w:style>
  <w:style w:type="character" w:customStyle="1" w:styleId="222">
    <w:name w:val="WW8Num27z3"/>
    <w:uiPriority w:val="0"/>
  </w:style>
  <w:style w:type="character" w:customStyle="1" w:styleId="223">
    <w:name w:val="WW8Num27z4"/>
    <w:uiPriority w:val="0"/>
  </w:style>
  <w:style w:type="character" w:customStyle="1" w:styleId="224">
    <w:name w:val="WW8Num27z5"/>
    <w:uiPriority w:val="0"/>
  </w:style>
  <w:style w:type="character" w:customStyle="1" w:styleId="225">
    <w:name w:val="WW8Num27z6"/>
    <w:uiPriority w:val="0"/>
  </w:style>
  <w:style w:type="character" w:customStyle="1" w:styleId="226">
    <w:name w:val="WW8Num27z7"/>
    <w:uiPriority w:val="0"/>
  </w:style>
  <w:style w:type="character" w:customStyle="1" w:styleId="227">
    <w:name w:val="WW8Num27z8"/>
    <w:uiPriority w:val="0"/>
  </w:style>
  <w:style w:type="character" w:customStyle="1" w:styleId="228">
    <w:name w:val="WW8Num28z1"/>
    <w:uiPriority w:val="0"/>
  </w:style>
  <w:style w:type="character" w:customStyle="1" w:styleId="229">
    <w:name w:val="WW8Num28z2"/>
    <w:uiPriority w:val="0"/>
  </w:style>
  <w:style w:type="character" w:customStyle="1" w:styleId="230">
    <w:name w:val="WW8Num28z3"/>
    <w:uiPriority w:val="0"/>
  </w:style>
  <w:style w:type="character" w:customStyle="1" w:styleId="231">
    <w:name w:val="WW8Num28z4"/>
    <w:uiPriority w:val="0"/>
  </w:style>
  <w:style w:type="character" w:customStyle="1" w:styleId="232">
    <w:name w:val="WW8Num28z5"/>
    <w:uiPriority w:val="0"/>
  </w:style>
  <w:style w:type="character" w:customStyle="1" w:styleId="233">
    <w:name w:val="WW8Num28z6"/>
    <w:uiPriority w:val="0"/>
  </w:style>
  <w:style w:type="character" w:customStyle="1" w:styleId="234">
    <w:name w:val="WW8Num28z7"/>
    <w:uiPriority w:val="0"/>
  </w:style>
  <w:style w:type="character" w:customStyle="1" w:styleId="235">
    <w:name w:val="WW8Num28z8"/>
    <w:uiPriority w:val="0"/>
  </w:style>
  <w:style w:type="character" w:customStyle="1" w:styleId="236">
    <w:name w:val="WW8Num29z1"/>
    <w:uiPriority w:val="0"/>
  </w:style>
  <w:style w:type="character" w:customStyle="1" w:styleId="237">
    <w:name w:val="WW8Num29z2"/>
    <w:uiPriority w:val="0"/>
  </w:style>
  <w:style w:type="character" w:customStyle="1" w:styleId="238">
    <w:name w:val="WW8Num29z3"/>
    <w:uiPriority w:val="0"/>
  </w:style>
  <w:style w:type="character" w:customStyle="1" w:styleId="239">
    <w:name w:val="WW8Num29z4"/>
    <w:uiPriority w:val="0"/>
  </w:style>
  <w:style w:type="character" w:customStyle="1" w:styleId="240">
    <w:name w:val="WW8Num29z5"/>
    <w:uiPriority w:val="0"/>
  </w:style>
  <w:style w:type="character" w:customStyle="1" w:styleId="241">
    <w:name w:val="WW8Num29z6"/>
    <w:uiPriority w:val="0"/>
  </w:style>
  <w:style w:type="character" w:customStyle="1" w:styleId="242">
    <w:name w:val="WW8Num29z7"/>
    <w:uiPriority w:val="0"/>
  </w:style>
  <w:style w:type="character" w:customStyle="1" w:styleId="243">
    <w:name w:val="WW8Num29z8"/>
    <w:uiPriority w:val="0"/>
  </w:style>
  <w:style w:type="character" w:customStyle="1" w:styleId="244">
    <w:name w:val="WW8Num30z1"/>
    <w:uiPriority w:val="0"/>
  </w:style>
  <w:style w:type="character" w:customStyle="1" w:styleId="245">
    <w:name w:val="WW8Num30z2"/>
    <w:uiPriority w:val="0"/>
  </w:style>
  <w:style w:type="character" w:customStyle="1" w:styleId="246">
    <w:name w:val="WW8Num30z3"/>
    <w:uiPriority w:val="0"/>
  </w:style>
  <w:style w:type="character" w:customStyle="1" w:styleId="247">
    <w:name w:val="WW8Num30z4"/>
    <w:uiPriority w:val="0"/>
  </w:style>
  <w:style w:type="character" w:customStyle="1" w:styleId="248">
    <w:name w:val="WW8Num30z5"/>
    <w:uiPriority w:val="0"/>
  </w:style>
  <w:style w:type="character" w:customStyle="1" w:styleId="249">
    <w:name w:val="WW8Num30z6"/>
    <w:uiPriority w:val="0"/>
  </w:style>
  <w:style w:type="character" w:customStyle="1" w:styleId="250">
    <w:name w:val="WW8Num30z7"/>
    <w:uiPriority w:val="0"/>
  </w:style>
  <w:style w:type="character" w:customStyle="1" w:styleId="251">
    <w:name w:val="WW8Num30z8"/>
    <w:uiPriority w:val="0"/>
  </w:style>
  <w:style w:type="character" w:customStyle="1" w:styleId="252">
    <w:name w:val="WW8Num33z0"/>
    <w:uiPriority w:val="0"/>
    <w:rPr>
      <w:rFonts w:hint="default"/>
      <w:b/>
    </w:rPr>
  </w:style>
  <w:style w:type="character" w:customStyle="1" w:styleId="253">
    <w:name w:val="WW8Num33z1"/>
    <w:uiPriority w:val="0"/>
  </w:style>
  <w:style w:type="character" w:customStyle="1" w:styleId="254">
    <w:name w:val="WW8Num33z2"/>
    <w:uiPriority w:val="0"/>
  </w:style>
  <w:style w:type="character" w:customStyle="1" w:styleId="255">
    <w:name w:val="WW8Num33z3"/>
    <w:uiPriority w:val="0"/>
  </w:style>
  <w:style w:type="character" w:customStyle="1" w:styleId="256">
    <w:name w:val="WW8Num33z4"/>
    <w:uiPriority w:val="0"/>
  </w:style>
  <w:style w:type="character" w:customStyle="1" w:styleId="257">
    <w:name w:val="WW8Num33z5"/>
    <w:uiPriority w:val="0"/>
  </w:style>
  <w:style w:type="character" w:customStyle="1" w:styleId="258">
    <w:name w:val="WW8Num33z6"/>
    <w:uiPriority w:val="0"/>
  </w:style>
  <w:style w:type="character" w:customStyle="1" w:styleId="259">
    <w:name w:val="WW8Num33z7"/>
    <w:uiPriority w:val="0"/>
  </w:style>
  <w:style w:type="character" w:customStyle="1" w:styleId="260">
    <w:name w:val="WW8Num33z8"/>
    <w:uiPriority w:val="0"/>
  </w:style>
  <w:style w:type="character" w:customStyle="1" w:styleId="261">
    <w:name w:val="WW8Num34z0"/>
    <w:uiPriority w:val="0"/>
    <w:rPr>
      <w:kern w:val="1"/>
      <w:sz w:val="22"/>
      <w:szCs w:val="22"/>
    </w:rPr>
  </w:style>
  <w:style w:type="character" w:customStyle="1" w:styleId="262">
    <w:name w:val="WW8Num34z1"/>
    <w:qFormat/>
    <w:uiPriority w:val="0"/>
  </w:style>
  <w:style w:type="character" w:customStyle="1" w:styleId="263">
    <w:name w:val="WW8Num34z2"/>
    <w:uiPriority w:val="0"/>
  </w:style>
  <w:style w:type="character" w:customStyle="1" w:styleId="264">
    <w:name w:val="WW8Num34z3"/>
    <w:uiPriority w:val="0"/>
  </w:style>
  <w:style w:type="character" w:customStyle="1" w:styleId="265">
    <w:name w:val="WW8Num34z4"/>
    <w:uiPriority w:val="0"/>
  </w:style>
  <w:style w:type="character" w:customStyle="1" w:styleId="266">
    <w:name w:val="WW8Num34z5"/>
    <w:uiPriority w:val="0"/>
  </w:style>
  <w:style w:type="character" w:customStyle="1" w:styleId="267">
    <w:name w:val="WW8Num34z6"/>
    <w:uiPriority w:val="0"/>
  </w:style>
  <w:style w:type="character" w:customStyle="1" w:styleId="268">
    <w:name w:val="WW8Num34z7"/>
    <w:uiPriority w:val="0"/>
  </w:style>
  <w:style w:type="character" w:customStyle="1" w:styleId="269">
    <w:name w:val="WW8Num34z8"/>
    <w:uiPriority w:val="0"/>
  </w:style>
  <w:style w:type="character" w:customStyle="1" w:styleId="270">
    <w:name w:val="WW8Num35z0"/>
    <w:uiPriority w:val="0"/>
  </w:style>
  <w:style w:type="character" w:customStyle="1" w:styleId="271">
    <w:name w:val="WW8Num35z1"/>
    <w:uiPriority w:val="0"/>
  </w:style>
  <w:style w:type="character" w:customStyle="1" w:styleId="272">
    <w:name w:val="WW8Num35z2"/>
    <w:uiPriority w:val="0"/>
  </w:style>
  <w:style w:type="character" w:customStyle="1" w:styleId="273">
    <w:name w:val="WW8Num35z3"/>
    <w:uiPriority w:val="0"/>
  </w:style>
  <w:style w:type="character" w:customStyle="1" w:styleId="274">
    <w:name w:val="WW8Num35z4"/>
    <w:uiPriority w:val="0"/>
  </w:style>
  <w:style w:type="character" w:customStyle="1" w:styleId="275">
    <w:name w:val="WW8Num35z5"/>
    <w:uiPriority w:val="0"/>
  </w:style>
  <w:style w:type="character" w:customStyle="1" w:styleId="276">
    <w:name w:val="WW8Num35z6"/>
    <w:uiPriority w:val="0"/>
  </w:style>
  <w:style w:type="character" w:customStyle="1" w:styleId="277">
    <w:name w:val="WW8Num35z7"/>
    <w:uiPriority w:val="0"/>
  </w:style>
  <w:style w:type="character" w:customStyle="1" w:styleId="278">
    <w:name w:val="WW8Num35z8"/>
    <w:uiPriority w:val="0"/>
  </w:style>
  <w:style w:type="character" w:customStyle="1" w:styleId="279">
    <w:name w:val="WW8Num36z0"/>
    <w:uiPriority w:val="0"/>
  </w:style>
  <w:style w:type="character" w:customStyle="1" w:styleId="280">
    <w:name w:val="WW8Num36z1"/>
    <w:uiPriority w:val="0"/>
  </w:style>
  <w:style w:type="character" w:customStyle="1" w:styleId="281">
    <w:name w:val="WW8Num36z2"/>
    <w:uiPriority w:val="0"/>
  </w:style>
  <w:style w:type="character" w:customStyle="1" w:styleId="282">
    <w:name w:val="WW8Num36z3"/>
    <w:uiPriority w:val="0"/>
  </w:style>
  <w:style w:type="character" w:customStyle="1" w:styleId="283">
    <w:name w:val="WW8Num36z4"/>
    <w:uiPriority w:val="0"/>
  </w:style>
  <w:style w:type="character" w:customStyle="1" w:styleId="284">
    <w:name w:val="WW8Num36z5"/>
    <w:uiPriority w:val="0"/>
  </w:style>
  <w:style w:type="character" w:customStyle="1" w:styleId="285">
    <w:name w:val="WW8Num36z6"/>
    <w:uiPriority w:val="0"/>
  </w:style>
  <w:style w:type="character" w:customStyle="1" w:styleId="286">
    <w:name w:val="WW8Num36z7"/>
    <w:uiPriority w:val="0"/>
  </w:style>
  <w:style w:type="character" w:customStyle="1" w:styleId="287">
    <w:name w:val="WW8Num36z8"/>
    <w:uiPriority w:val="0"/>
  </w:style>
  <w:style w:type="character" w:customStyle="1" w:styleId="288">
    <w:name w:val="WW8Num37z0"/>
    <w:uiPriority w:val="0"/>
    <w:rPr>
      <w:rFonts w:hint="default"/>
    </w:rPr>
  </w:style>
  <w:style w:type="character" w:customStyle="1" w:styleId="289">
    <w:name w:val="WW8Num37z1"/>
    <w:uiPriority w:val="0"/>
  </w:style>
  <w:style w:type="character" w:customStyle="1" w:styleId="290">
    <w:name w:val="WW8Num37z2"/>
    <w:uiPriority w:val="0"/>
  </w:style>
  <w:style w:type="character" w:customStyle="1" w:styleId="291">
    <w:name w:val="WW8Num37z3"/>
    <w:uiPriority w:val="0"/>
  </w:style>
  <w:style w:type="character" w:customStyle="1" w:styleId="292">
    <w:name w:val="WW8Num37z4"/>
    <w:uiPriority w:val="0"/>
  </w:style>
  <w:style w:type="character" w:customStyle="1" w:styleId="293">
    <w:name w:val="WW8Num37z5"/>
    <w:uiPriority w:val="0"/>
  </w:style>
  <w:style w:type="character" w:customStyle="1" w:styleId="294">
    <w:name w:val="WW8Num37z6"/>
    <w:uiPriority w:val="0"/>
  </w:style>
  <w:style w:type="character" w:customStyle="1" w:styleId="295">
    <w:name w:val="WW8Num37z7"/>
    <w:uiPriority w:val="0"/>
  </w:style>
  <w:style w:type="character" w:customStyle="1" w:styleId="296">
    <w:name w:val="WW8Num37z8"/>
    <w:uiPriority w:val="0"/>
  </w:style>
  <w:style w:type="character" w:customStyle="1" w:styleId="297">
    <w:name w:val="WW8Num38z0"/>
    <w:uiPriority w:val="0"/>
    <w:rPr>
      <w:b/>
      <w:sz w:val="22"/>
      <w:szCs w:val="22"/>
    </w:rPr>
  </w:style>
  <w:style w:type="character" w:customStyle="1" w:styleId="298">
    <w:name w:val="WW8Num38z1"/>
    <w:uiPriority w:val="0"/>
  </w:style>
  <w:style w:type="character" w:customStyle="1" w:styleId="299">
    <w:name w:val="WW8Num38z2"/>
    <w:uiPriority w:val="0"/>
  </w:style>
  <w:style w:type="character" w:customStyle="1" w:styleId="300">
    <w:name w:val="WW8Num38z3"/>
    <w:uiPriority w:val="0"/>
  </w:style>
  <w:style w:type="character" w:customStyle="1" w:styleId="301">
    <w:name w:val="WW8Num38z4"/>
    <w:uiPriority w:val="0"/>
  </w:style>
  <w:style w:type="character" w:customStyle="1" w:styleId="302">
    <w:name w:val="WW8Num38z5"/>
    <w:uiPriority w:val="0"/>
  </w:style>
  <w:style w:type="character" w:customStyle="1" w:styleId="303">
    <w:name w:val="WW8Num38z6"/>
    <w:uiPriority w:val="0"/>
  </w:style>
  <w:style w:type="character" w:customStyle="1" w:styleId="304">
    <w:name w:val="WW8Num38z7"/>
    <w:uiPriority w:val="0"/>
  </w:style>
  <w:style w:type="character" w:customStyle="1" w:styleId="305">
    <w:name w:val="WW8Num38z8"/>
    <w:uiPriority w:val="0"/>
  </w:style>
  <w:style w:type="character" w:customStyle="1" w:styleId="306">
    <w:name w:val="WW8Num39z0"/>
    <w:uiPriority w:val="0"/>
    <w:rPr>
      <w:rFonts w:hint="default"/>
      <w:b/>
      <w:spacing w:val="-5"/>
      <w:sz w:val="22"/>
      <w:szCs w:val="22"/>
    </w:rPr>
  </w:style>
  <w:style w:type="character" w:customStyle="1" w:styleId="307">
    <w:name w:val="WW8Num39z1"/>
    <w:uiPriority w:val="0"/>
  </w:style>
  <w:style w:type="character" w:customStyle="1" w:styleId="308">
    <w:name w:val="WW8Num39z2"/>
    <w:uiPriority w:val="0"/>
  </w:style>
  <w:style w:type="character" w:customStyle="1" w:styleId="309">
    <w:name w:val="WW8Num39z3"/>
    <w:uiPriority w:val="0"/>
  </w:style>
  <w:style w:type="character" w:customStyle="1" w:styleId="310">
    <w:name w:val="WW8Num39z4"/>
    <w:uiPriority w:val="0"/>
  </w:style>
  <w:style w:type="character" w:customStyle="1" w:styleId="311">
    <w:name w:val="WW8Num39z5"/>
    <w:uiPriority w:val="0"/>
  </w:style>
  <w:style w:type="character" w:customStyle="1" w:styleId="312">
    <w:name w:val="WW8Num39z6"/>
    <w:uiPriority w:val="0"/>
  </w:style>
  <w:style w:type="character" w:customStyle="1" w:styleId="313">
    <w:name w:val="WW8Num39z7"/>
    <w:uiPriority w:val="0"/>
  </w:style>
  <w:style w:type="character" w:customStyle="1" w:styleId="314">
    <w:name w:val="WW8Num39z8"/>
    <w:uiPriority w:val="0"/>
  </w:style>
  <w:style w:type="character" w:customStyle="1" w:styleId="315">
    <w:name w:val="Заголовок 1 Знак"/>
    <w:uiPriority w:val="0"/>
    <w:rPr>
      <w:sz w:val="26"/>
      <w:lang w:val="ru-RU" w:bidi="ar-SA"/>
    </w:rPr>
  </w:style>
  <w:style w:type="character" w:customStyle="1" w:styleId="316">
    <w:name w:val="Заголовок 2 Знак"/>
    <w:uiPriority w:val="0"/>
    <w:rPr>
      <w:b/>
      <w:lang w:val="ru-RU" w:bidi="ar-SA"/>
    </w:rPr>
  </w:style>
  <w:style w:type="character" w:customStyle="1" w:styleId="317">
    <w:name w:val="Основной текст Знак"/>
    <w:uiPriority w:val="0"/>
    <w:rPr>
      <w:sz w:val="28"/>
      <w:lang w:val="ru-RU" w:bidi="ar-SA"/>
    </w:rPr>
  </w:style>
  <w:style w:type="character" w:customStyle="1" w:styleId="318">
    <w:name w:val="Основной текст с отступом 2 Знак"/>
    <w:link w:val="48"/>
    <w:uiPriority w:val="99"/>
    <w:rPr>
      <w:lang w:val="ru-RU" w:bidi="ar-SA"/>
    </w:rPr>
  </w:style>
  <w:style w:type="character" w:customStyle="1" w:styleId="319">
    <w:name w:val="Верхний колонтитул Знак"/>
    <w:uiPriority w:val="99"/>
    <w:rPr>
      <w:sz w:val="24"/>
      <w:szCs w:val="24"/>
      <w:lang w:val="ru-RU" w:bidi="ar-SA"/>
    </w:rPr>
  </w:style>
  <w:style w:type="character" w:customStyle="1" w:styleId="320">
    <w:name w:val="Нижний колонтитул Знак"/>
    <w:uiPriority w:val="99"/>
    <w:rPr>
      <w:sz w:val="24"/>
      <w:szCs w:val="24"/>
      <w:lang w:val="ru-RU" w:bidi="ar-SA"/>
    </w:rPr>
  </w:style>
  <w:style w:type="character" w:customStyle="1" w:styleId="321">
    <w:name w:val="Основной текст с отступом Знак"/>
    <w:uiPriority w:val="99"/>
    <w:rPr>
      <w:sz w:val="24"/>
      <w:szCs w:val="24"/>
      <w:lang w:val="ru-RU" w:bidi="ar-SA"/>
    </w:rPr>
  </w:style>
  <w:style w:type="character" w:customStyle="1" w:styleId="322">
    <w:name w:val="Основной текст с отступом 3 Знак"/>
    <w:link w:val="25"/>
    <w:uiPriority w:val="0"/>
    <w:rPr>
      <w:sz w:val="16"/>
      <w:szCs w:val="16"/>
      <w:lang w:val="ru-RU" w:bidi="ar-SA"/>
    </w:rPr>
  </w:style>
  <w:style w:type="character" w:customStyle="1" w:styleId="323">
    <w:name w:val="Название Знак"/>
    <w:uiPriority w:val="0"/>
    <w:rPr>
      <w:b/>
      <w:sz w:val="28"/>
      <w:lang w:val="ru-RU" w:bidi="ar-SA"/>
    </w:rPr>
  </w:style>
  <w:style w:type="character" w:customStyle="1" w:styleId="324">
    <w:name w:val="Заголовок 3 Знак"/>
    <w:uiPriority w:val="9"/>
    <w:rPr>
      <w:rFonts w:ascii="Arial" w:hAnsi="Arial" w:cs="Arial"/>
      <w:b/>
      <w:bCs/>
      <w:sz w:val="26"/>
      <w:szCs w:val="26"/>
      <w:lang w:val="ru-RU" w:bidi="ar-SA"/>
    </w:rPr>
  </w:style>
  <w:style w:type="character" w:customStyle="1" w:styleId="325">
    <w:name w:val="Основной текст 3 Знак"/>
    <w:link w:val="47"/>
    <w:uiPriority w:val="0"/>
    <w:rPr>
      <w:sz w:val="16"/>
      <w:szCs w:val="16"/>
      <w:lang w:val="ru-RU" w:bidi="ar-SA"/>
    </w:rPr>
  </w:style>
  <w:style w:type="character" w:customStyle="1" w:styleId="326">
    <w:name w:val="Знак Знак Знак3"/>
    <w:uiPriority w:val="0"/>
    <w:rPr>
      <w:lang w:val="ru-RU" w:bidi="ar-SA"/>
    </w:rPr>
  </w:style>
  <w:style w:type="character" w:customStyle="1" w:styleId="327">
    <w:name w:val="Знак Знак1"/>
    <w:uiPriority w:val="0"/>
    <w:rPr>
      <w:sz w:val="16"/>
      <w:szCs w:val="16"/>
      <w:lang w:val="ru-RU" w:bidi="ar-SA"/>
    </w:rPr>
  </w:style>
  <w:style w:type="character" w:customStyle="1" w:styleId="328">
    <w:name w:val="Заголовок 4 Знак"/>
    <w:uiPriority w:val="0"/>
    <w:rPr>
      <w:b/>
      <w:bCs/>
      <w:sz w:val="28"/>
      <w:szCs w:val="28"/>
      <w:lang w:val="en-US"/>
    </w:rPr>
  </w:style>
  <w:style w:type="character" w:customStyle="1" w:styleId="329">
    <w:name w:val="Текст примечания Знак"/>
    <w:link w:val="28"/>
    <w:uiPriority w:val="0"/>
  </w:style>
  <w:style w:type="character" w:customStyle="1" w:styleId="330">
    <w:name w:val="Стиль3 Знак Знак Знак"/>
    <w:qFormat/>
    <w:uiPriority w:val="0"/>
    <w:rPr>
      <w:sz w:val="24"/>
    </w:rPr>
  </w:style>
  <w:style w:type="character" w:customStyle="1" w:styleId="331">
    <w:name w:val="ff23"/>
    <w:qFormat/>
    <w:uiPriority w:val="0"/>
    <w:rPr>
      <w:rFonts w:hint="default" w:ascii="Tahoma" w:hAnsi="Tahoma" w:cs="Tahoma"/>
    </w:rPr>
  </w:style>
  <w:style w:type="character" w:customStyle="1" w:styleId="332">
    <w:name w:val="Текст сноски Знак"/>
    <w:basedOn w:val="19"/>
    <w:qFormat/>
    <w:uiPriority w:val="0"/>
  </w:style>
  <w:style w:type="character" w:customStyle="1" w:styleId="333">
    <w:name w:val="Символ сноски"/>
    <w:qFormat/>
    <w:uiPriority w:val="0"/>
    <w:rPr>
      <w:vertAlign w:val="superscript"/>
    </w:rPr>
  </w:style>
  <w:style w:type="character" w:customStyle="1" w:styleId="334">
    <w:name w:val="r"/>
    <w:qFormat/>
    <w:uiPriority w:val="0"/>
  </w:style>
  <w:style w:type="character" w:customStyle="1" w:styleId="335">
    <w:name w:val="строчный"/>
    <w:qFormat/>
    <w:uiPriority w:val="0"/>
    <w:rPr>
      <w:rFonts w:ascii="Times New Roman" w:hAnsi="Times New Roman" w:cs="Times New Roman"/>
      <w:sz w:val="28"/>
      <w:szCs w:val="24"/>
      <w:lang w:val="ru-RU"/>
    </w:rPr>
  </w:style>
  <w:style w:type="character" w:customStyle="1" w:styleId="336">
    <w:name w:val="Текст выноски Знак"/>
    <w:qFormat/>
    <w:uiPriority w:val="0"/>
    <w:rPr>
      <w:rFonts w:ascii="Tahoma" w:hAnsi="Tahoma" w:cs="Tahoma"/>
      <w:sz w:val="16"/>
      <w:szCs w:val="16"/>
    </w:rPr>
  </w:style>
  <w:style w:type="character" w:customStyle="1" w:styleId="337">
    <w:name w:val="Текст концевой сноски Знак"/>
    <w:basedOn w:val="19"/>
    <w:qFormat/>
    <w:uiPriority w:val="0"/>
  </w:style>
  <w:style w:type="character" w:customStyle="1" w:styleId="338">
    <w:name w:val="Символы концевой сноски"/>
    <w:qFormat/>
    <w:uiPriority w:val="0"/>
    <w:rPr>
      <w:vertAlign w:val="superscript"/>
    </w:rPr>
  </w:style>
  <w:style w:type="character" w:customStyle="1" w:styleId="339">
    <w:name w:val="a-size-large"/>
    <w:qFormat/>
    <w:uiPriority w:val="0"/>
  </w:style>
  <w:style w:type="character" w:customStyle="1" w:styleId="340">
    <w:name w:val="product-spec-item__value-inner"/>
    <w:qFormat/>
    <w:uiPriority w:val="0"/>
  </w:style>
  <w:style w:type="character" w:customStyle="1" w:styleId="341">
    <w:name w:val="Font Style13"/>
    <w:qFormat/>
    <w:uiPriority w:val="0"/>
    <w:rPr>
      <w:rFonts w:ascii="Times New Roman" w:hAnsi="Times New Roman" w:cs="Times New Roman"/>
      <w:sz w:val="18"/>
      <w:szCs w:val="18"/>
    </w:rPr>
  </w:style>
  <w:style w:type="character" w:customStyle="1" w:styleId="342">
    <w:name w:val="Font Style14"/>
    <w:qFormat/>
    <w:uiPriority w:val="0"/>
    <w:rPr>
      <w:rFonts w:ascii="Times New Roman" w:hAnsi="Times New Roman" w:cs="Times New Roman"/>
      <w:sz w:val="18"/>
      <w:szCs w:val="18"/>
    </w:rPr>
  </w:style>
  <w:style w:type="paragraph" w:customStyle="1" w:styleId="343">
    <w:name w:val="Указатель1"/>
    <w:basedOn w:val="1"/>
    <w:qFormat/>
    <w:uiPriority w:val="0"/>
    <w:pPr>
      <w:suppressLineNumbers/>
    </w:pPr>
    <w:rPr>
      <w:rFonts w:cs="Mangal"/>
    </w:rPr>
  </w:style>
  <w:style w:type="paragraph" w:customStyle="1" w:styleId="344">
    <w:name w:val="Знак"/>
    <w:basedOn w:val="1"/>
    <w:qFormat/>
    <w:uiPriority w:val="0"/>
    <w:pPr>
      <w:spacing w:before="100" w:after="100"/>
      <w:jc w:val="both"/>
    </w:pPr>
    <w:rPr>
      <w:rFonts w:eastAsia="Calibri"/>
    </w:rPr>
  </w:style>
  <w:style w:type="paragraph" w:customStyle="1" w:styleId="345">
    <w:name w:val="Основной текст с отступом 21"/>
    <w:basedOn w:val="1"/>
    <w:qFormat/>
    <w:uiPriority w:val="0"/>
    <w:pPr>
      <w:spacing w:after="120" w:line="480" w:lineRule="auto"/>
      <w:ind w:left="283"/>
    </w:pPr>
  </w:style>
  <w:style w:type="paragraph" w:customStyle="1" w:styleId="346">
    <w:name w:val="ConsPlusTitle"/>
    <w:qFormat/>
    <w:uiPriority w:val="99"/>
    <w:pPr>
      <w:widowControl w:val="0"/>
      <w:suppressAutoHyphens/>
      <w:autoSpaceDE w:val="0"/>
    </w:pPr>
    <w:rPr>
      <w:rFonts w:ascii="Arial" w:hAnsi="Arial" w:eastAsia="Times New Roman" w:cs="Arial"/>
      <w:b/>
      <w:bCs/>
      <w:lang w:val="ru-RU" w:eastAsia="zh-CN" w:bidi="ar-SA"/>
    </w:rPr>
  </w:style>
  <w:style w:type="paragraph" w:customStyle="1" w:styleId="347">
    <w:name w:val="раздел_документа"/>
    <w:basedOn w:val="2"/>
    <w:qFormat/>
    <w:uiPriority w:val="0"/>
    <w:pPr>
      <w:keepNext w:val="0"/>
      <w:pageBreakBefore/>
      <w:widowControl w:val="0"/>
      <w:tabs>
        <w:tab w:val="left" w:pos="900"/>
        <w:tab w:val="clear" w:pos="0"/>
      </w:tabs>
      <w:spacing w:after="120"/>
      <w:ind w:left="0" w:right="0" w:firstLine="0"/>
      <w:jc w:val="left"/>
    </w:pPr>
    <w:rPr>
      <w:b/>
      <w:bCs/>
      <w:caps/>
      <w:kern w:val="1"/>
      <w:sz w:val="22"/>
      <w:szCs w:val="22"/>
    </w:rPr>
  </w:style>
  <w:style w:type="paragraph" w:customStyle="1" w:styleId="348">
    <w:name w:val="А. часть_раздела"/>
    <w:basedOn w:val="3"/>
    <w:uiPriority w:val="0"/>
    <w:pPr>
      <w:tabs>
        <w:tab w:val="left" w:pos="1080"/>
        <w:tab w:val="clear" w:pos="0"/>
      </w:tabs>
      <w:spacing w:before="240" w:after="60"/>
      <w:ind w:left="0" w:firstLine="0"/>
    </w:pPr>
    <w:rPr>
      <w:b w:val="0"/>
      <w:bCs/>
      <w:sz w:val="28"/>
      <w:szCs w:val="28"/>
    </w:rPr>
  </w:style>
  <w:style w:type="paragraph" w:customStyle="1" w:styleId="349">
    <w:name w:val="WW-Основной текст 2"/>
    <w:basedOn w:val="1"/>
    <w:uiPriority w:val="0"/>
    <w:pPr>
      <w:jc w:val="both"/>
    </w:pPr>
    <w:rPr>
      <w:sz w:val="24"/>
      <w:szCs w:val="24"/>
    </w:rPr>
  </w:style>
  <w:style w:type="paragraph" w:customStyle="1" w:styleId="350">
    <w:name w:val="Основной текст с отступом 31"/>
    <w:basedOn w:val="1"/>
    <w:uiPriority w:val="0"/>
    <w:pPr>
      <w:spacing w:after="120"/>
      <w:ind w:left="283"/>
    </w:pPr>
    <w:rPr>
      <w:sz w:val="16"/>
      <w:szCs w:val="16"/>
    </w:rPr>
  </w:style>
  <w:style w:type="paragraph" w:customStyle="1" w:styleId="351">
    <w:name w:val="ConsNormal"/>
    <w:uiPriority w:val="0"/>
    <w:pPr>
      <w:widowControl w:val="0"/>
      <w:suppressAutoHyphens/>
      <w:autoSpaceDE w:val="0"/>
      <w:ind w:right="19772" w:firstLine="720"/>
    </w:pPr>
    <w:rPr>
      <w:rFonts w:ascii="Arial" w:hAnsi="Arial" w:eastAsia="Times New Roman" w:cs="Arial"/>
      <w:lang w:val="ru-RU" w:eastAsia="zh-CN" w:bidi="ar-SA"/>
    </w:rPr>
  </w:style>
  <w:style w:type="paragraph" w:customStyle="1" w:styleId="352">
    <w:name w:val="Стиль1"/>
    <w:basedOn w:val="1"/>
    <w:uiPriority w:val="0"/>
    <w:pPr>
      <w:keepNext/>
      <w:keepLines/>
      <w:widowControl w:val="0"/>
      <w:suppressLineNumbers/>
      <w:tabs>
        <w:tab w:val="left" w:pos="432"/>
      </w:tabs>
      <w:spacing w:after="60"/>
      <w:ind w:left="432" w:hanging="432"/>
      <w:jc w:val="both"/>
    </w:pPr>
    <w:rPr>
      <w:b/>
      <w:sz w:val="28"/>
      <w:szCs w:val="24"/>
    </w:rPr>
  </w:style>
  <w:style w:type="paragraph" w:customStyle="1" w:styleId="353">
    <w:name w:val="Стиль2"/>
    <w:basedOn w:val="44"/>
    <w:uiPriority w:val="0"/>
    <w:pPr>
      <w:keepNext/>
      <w:keepLines/>
      <w:widowControl w:val="0"/>
      <w:suppressLineNumbers/>
      <w:tabs>
        <w:tab w:val="left" w:pos="576"/>
        <w:tab w:val="clear" w:pos="4167"/>
      </w:tabs>
      <w:spacing w:after="60"/>
      <w:ind w:left="576" w:hanging="576"/>
      <w:jc w:val="both"/>
    </w:pPr>
    <w:rPr>
      <w:b/>
      <w:sz w:val="24"/>
    </w:rPr>
  </w:style>
  <w:style w:type="paragraph" w:customStyle="1" w:styleId="354">
    <w:name w:val="Стиль3 Знак"/>
    <w:basedOn w:val="345"/>
    <w:uiPriority w:val="0"/>
    <w:pPr>
      <w:widowControl w:val="0"/>
      <w:tabs>
        <w:tab w:val="left" w:pos="360"/>
      </w:tabs>
      <w:spacing w:after="0" w:line="240" w:lineRule="auto"/>
      <w:jc w:val="both"/>
      <w:textAlignment w:val="baseline"/>
    </w:pPr>
    <w:rPr>
      <w:sz w:val="24"/>
    </w:rPr>
  </w:style>
  <w:style w:type="paragraph" w:customStyle="1" w:styleId="355">
    <w:name w:val="Стиль3"/>
    <w:basedOn w:val="345"/>
    <w:uiPriority w:val="0"/>
    <w:pPr>
      <w:widowControl w:val="0"/>
      <w:tabs>
        <w:tab w:val="left" w:pos="1307"/>
      </w:tabs>
      <w:spacing w:after="0" w:line="240" w:lineRule="auto"/>
      <w:ind w:left="1080"/>
      <w:jc w:val="both"/>
      <w:textAlignment w:val="baseline"/>
    </w:pPr>
    <w:rPr>
      <w:sz w:val="24"/>
    </w:rPr>
  </w:style>
  <w:style w:type="paragraph" w:customStyle="1" w:styleId="356">
    <w:name w:val="Стиль3 Знак Знак"/>
    <w:basedOn w:val="345"/>
    <w:uiPriority w:val="0"/>
    <w:pPr>
      <w:widowControl w:val="0"/>
      <w:tabs>
        <w:tab w:val="left" w:pos="227"/>
      </w:tabs>
      <w:spacing w:after="0" w:line="240" w:lineRule="auto"/>
      <w:ind w:left="0"/>
      <w:jc w:val="both"/>
      <w:textAlignment w:val="baseline"/>
    </w:pPr>
    <w:rPr>
      <w:sz w:val="24"/>
    </w:rPr>
  </w:style>
  <w:style w:type="paragraph" w:customStyle="1" w:styleId="357">
    <w:name w:val="Знак Знак2 Char Char Знак Знак Char Char Знак Знак Char Char Знак Знак Char Char Знак Знак Char Char Знак Знак Char Char Знак Знак Char Char Знак Знак Char Char"/>
    <w:basedOn w:val="1"/>
    <w:uiPriority w:val="0"/>
    <w:pPr>
      <w:spacing w:before="100" w:after="100"/>
    </w:pPr>
    <w:rPr>
      <w:rFonts w:ascii="Tahoma" w:hAnsi="Tahoma" w:cs="Tahoma"/>
      <w:lang w:val="en-US"/>
    </w:rPr>
  </w:style>
  <w:style w:type="paragraph" w:customStyle="1" w:styleId="358">
    <w:name w:val="Основной текст 33"/>
    <w:basedOn w:val="1"/>
    <w:uiPriority w:val="0"/>
    <w:pPr>
      <w:spacing w:after="120"/>
    </w:pPr>
    <w:rPr>
      <w:sz w:val="16"/>
      <w:szCs w:val="16"/>
    </w:rPr>
  </w:style>
  <w:style w:type="paragraph" w:customStyle="1" w:styleId="359">
    <w:name w:val="LO-Normal"/>
    <w:uiPriority w:val="0"/>
    <w:pPr>
      <w:suppressAutoHyphens/>
    </w:pPr>
    <w:rPr>
      <w:rFonts w:ascii="Times New Roman" w:hAnsi="Times New Roman" w:eastAsia="Times New Roman" w:cs="Times New Roman"/>
      <w:lang w:val="ru-RU" w:eastAsia="zh-CN" w:bidi="ar-SA"/>
    </w:rPr>
  </w:style>
  <w:style w:type="paragraph" w:customStyle="1" w:styleId="360">
    <w:name w:val="Дата1"/>
    <w:basedOn w:val="1"/>
    <w:next w:val="1"/>
    <w:uiPriority w:val="0"/>
    <w:pPr>
      <w:spacing w:after="60"/>
      <w:jc w:val="both"/>
    </w:pPr>
    <w:rPr>
      <w:sz w:val="24"/>
    </w:rPr>
  </w:style>
  <w:style w:type="paragraph" w:customStyle="1" w:styleId="361">
    <w:name w:val="ConsTitle"/>
    <w:uiPriority w:val="0"/>
    <w:pPr>
      <w:widowControl w:val="0"/>
      <w:suppressAutoHyphens/>
      <w:autoSpaceDE w:val="0"/>
      <w:ind w:right="19772"/>
    </w:pPr>
    <w:rPr>
      <w:rFonts w:ascii="Arial" w:hAnsi="Arial" w:eastAsia="Times New Roman" w:cs="Arial"/>
      <w:b/>
      <w:bCs/>
      <w:lang w:val="ru-RU" w:eastAsia="zh-CN" w:bidi="ar-SA"/>
    </w:rPr>
  </w:style>
  <w:style w:type="paragraph" w:customStyle="1" w:styleId="362">
    <w:name w:val="ConsNonformat"/>
    <w:uiPriority w:val="0"/>
    <w:pPr>
      <w:widowControl w:val="0"/>
      <w:suppressAutoHyphens/>
      <w:autoSpaceDE w:val="0"/>
      <w:ind w:right="19772"/>
    </w:pPr>
    <w:rPr>
      <w:rFonts w:ascii="Courier New" w:hAnsi="Courier New" w:eastAsia="Times New Roman" w:cs="Courier New"/>
      <w:lang w:val="ru-RU" w:eastAsia="zh-CN" w:bidi="ar-SA"/>
    </w:rPr>
  </w:style>
  <w:style w:type="paragraph" w:customStyle="1" w:styleId="363">
    <w:name w:val="Заголовок записки1"/>
    <w:basedOn w:val="1"/>
    <w:next w:val="1"/>
    <w:uiPriority w:val="0"/>
    <w:pPr>
      <w:spacing w:after="60"/>
      <w:jc w:val="both"/>
    </w:pPr>
    <w:rPr>
      <w:sz w:val="24"/>
      <w:szCs w:val="24"/>
    </w:rPr>
  </w:style>
  <w:style w:type="paragraph" w:customStyle="1" w:styleId="364">
    <w:name w:val="Основной текст 21"/>
    <w:basedOn w:val="1"/>
    <w:uiPriority w:val="0"/>
    <w:pPr>
      <w:autoSpaceDE w:val="0"/>
      <w:spacing w:after="120" w:line="480" w:lineRule="auto"/>
    </w:pPr>
    <w:rPr>
      <w:rFonts w:ascii="Times New Roman CYR" w:hAnsi="Times New Roman CYR" w:cs="Times New Roman CYR"/>
      <w:sz w:val="24"/>
      <w:szCs w:val="24"/>
    </w:rPr>
  </w:style>
  <w:style w:type="paragraph" w:customStyle="1" w:styleId="365">
    <w:name w:val="ConsPlusNormal"/>
    <w:link w:val="459"/>
    <w:uiPriority w:val="99"/>
    <w:pPr>
      <w:widowControl w:val="0"/>
      <w:suppressAutoHyphens/>
      <w:autoSpaceDE w:val="0"/>
      <w:ind w:firstLine="720"/>
    </w:pPr>
    <w:rPr>
      <w:rFonts w:ascii="Arial" w:hAnsi="Arial" w:eastAsia="Times New Roman" w:cs="Arial"/>
      <w:lang w:val="ru-RU" w:eastAsia="zh-CN" w:bidi="ar-SA"/>
    </w:rPr>
  </w:style>
  <w:style w:type="paragraph" w:styleId="366">
    <w:name w:val="List Paragraph"/>
    <w:basedOn w:val="1"/>
    <w:qFormat/>
    <w:uiPriority w:val="0"/>
    <w:pPr>
      <w:spacing w:after="60"/>
      <w:ind w:left="720"/>
      <w:contextualSpacing/>
      <w:jc w:val="both"/>
    </w:pPr>
    <w:rPr>
      <w:sz w:val="24"/>
      <w:szCs w:val="24"/>
    </w:rPr>
  </w:style>
  <w:style w:type="paragraph" w:customStyle="1" w:styleId="367">
    <w:name w:val="Знак Знак Знак1 Знак"/>
    <w:basedOn w:val="1"/>
    <w:uiPriority w:val="0"/>
    <w:pPr>
      <w:spacing w:before="100" w:after="100"/>
      <w:jc w:val="both"/>
    </w:pPr>
    <w:rPr>
      <w:rFonts w:eastAsia="Calibri"/>
    </w:rPr>
  </w:style>
  <w:style w:type="paragraph" w:customStyle="1" w:styleId="368">
    <w:name w:val="ph_Table"/>
    <w:basedOn w:val="1"/>
    <w:next w:val="1"/>
    <w:uiPriority w:val="0"/>
    <w:pPr>
      <w:keepNext/>
      <w:jc w:val="center"/>
    </w:pPr>
    <w:rPr>
      <w:b/>
      <w:sz w:val="24"/>
      <w:szCs w:val="24"/>
    </w:rPr>
  </w:style>
  <w:style w:type="paragraph" w:customStyle="1" w:styleId="369">
    <w:name w:val="ph_TableText"/>
    <w:basedOn w:val="1"/>
    <w:uiPriority w:val="0"/>
    <w:rPr>
      <w:sz w:val="24"/>
      <w:szCs w:val="24"/>
    </w:rPr>
  </w:style>
  <w:style w:type="paragraph" w:customStyle="1" w:styleId="370">
    <w:name w:val="ph_Normal"/>
    <w:basedOn w:val="1"/>
    <w:uiPriority w:val="0"/>
    <w:rPr>
      <w:kern w:val="1"/>
      <w:sz w:val="24"/>
      <w:szCs w:val="24"/>
    </w:rPr>
  </w:style>
  <w:style w:type="paragraph" w:customStyle="1" w:styleId="371">
    <w:name w:val="ph_TableBig"/>
    <w:basedOn w:val="368"/>
    <w:uiPriority w:val="0"/>
    <w:pPr>
      <w:keepNext w:val="0"/>
      <w:jc w:val="left"/>
    </w:pPr>
    <w:rPr>
      <w:b w:val="0"/>
      <w:kern w:val="1"/>
    </w:rPr>
  </w:style>
  <w:style w:type="paragraph" w:customStyle="1" w:styleId="372">
    <w:name w:val="ph_List"/>
    <w:basedOn w:val="370"/>
    <w:uiPriority w:val="0"/>
  </w:style>
  <w:style w:type="paragraph" w:customStyle="1" w:styleId="373">
    <w:name w:val="Список1"/>
    <w:basedOn w:val="1"/>
    <w:uiPriority w:val="0"/>
    <w:pPr>
      <w:tabs>
        <w:tab w:val="left" w:pos="1080"/>
      </w:tabs>
      <w:ind w:firstLine="720"/>
      <w:jc w:val="both"/>
    </w:pPr>
    <w:rPr>
      <w:sz w:val="28"/>
    </w:rPr>
  </w:style>
  <w:style w:type="paragraph" w:customStyle="1" w:styleId="374">
    <w:name w:val="Цитата1"/>
    <w:basedOn w:val="1"/>
    <w:uiPriority w:val="0"/>
    <w:pPr>
      <w:tabs>
        <w:tab w:val="left" w:pos="5245"/>
      </w:tabs>
      <w:ind w:left="1418" w:right="226"/>
    </w:pPr>
    <w:rPr>
      <w:sz w:val="24"/>
    </w:rPr>
  </w:style>
  <w:style w:type="paragraph" w:customStyle="1" w:styleId="375">
    <w:name w:val="Маркированный список1"/>
    <w:basedOn w:val="1"/>
    <w:uiPriority w:val="0"/>
    <w:pPr>
      <w:tabs>
        <w:tab w:val="left" w:pos="360"/>
      </w:tabs>
      <w:ind w:left="360" w:hanging="360"/>
      <w:contextualSpacing/>
    </w:pPr>
  </w:style>
  <w:style w:type="paragraph" w:customStyle="1" w:styleId="376">
    <w:name w:val="Текст примечания1"/>
    <w:basedOn w:val="1"/>
    <w:uiPriority w:val="0"/>
  </w:style>
  <w:style w:type="paragraph" w:customStyle="1" w:styleId="377">
    <w:name w:val="Нумерованный список1"/>
    <w:basedOn w:val="1"/>
    <w:uiPriority w:val="0"/>
    <w:pPr>
      <w:tabs>
        <w:tab w:val="left" w:pos="360"/>
      </w:tabs>
      <w:spacing w:after="60"/>
      <w:ind w:left="360" w:hanging="360"/>
      <w:jc w:val="both"/>
    </w:pPr>
    <w:rPr>
      <w:sz w:val="24"/>
    </w:rPr>
  </w:style>
  <w:style w:type="paragraph" w:customStyle="1" w:styleId="378">
    <w:name w:val="Знак Знак3 Знак Знак Знак Знак Знак Знак Знак Знак Знак Знак Знак Знак Знак Знак Знак1"/>
    <w:basedOn w:val="1"/>
    <w:uiPriority w:val="0"/>
    <w:pPr>
      <w:spacing w:after="160" w:line="240" w:lineRule="exact"/>
    </w:pPr>
    <w:rPr>
      <w:rFonts w:ascii="Verdana" w:hAnsi="Verdana" w:cs="Verdana"/>
      <w:color w:val="000000"/>
      <w:sz w:val="24"/>
      <w:szCs w:val="24"/>
      <w:lang w:val="en-US"/>
    </w:rPr>
  </w:style>
  <w:style w:type="paragraph" w:customStyle="1" w:styleId="379">
    <w:name w:val="Часть"/>
    <w:basedOn w:val="1"/>
    <w:uiPriority w:val="0"/>
    <w:pPr>
      <w:spacing w:after="60"/>
      <w:jc w:val="center"/>
    </w:pPr>
    <w:rPr>
      <w:rFonts w:ascii="Arial" w:hAnsi="Arial" w:cs="Arial"/>
      <w:b/>
      <w:caps/>
      <w:sz w:val="32"/>
    </w:rPr>
  </w:style>
  <w:style w:type="paragraph" w:customStyle="1" w:styleId="380">
    <w:name w:val="Основной текст 31"/>
    <w:basedOn w:val="1"/>
    <w:uiPriority w:val="0"/>
    <w:pPr>
      <w:spacing w:after="120"/>
    </w:pPr>
    <w:rPr>
      <w:sz w:val="16"/>
      <w:szCs w:val="16"/>
    </w:rPr>
  </w:style>
  <w:style w:type="paragraph" w:styleId="381">
    <w:name w:val="No Spacing"/>
    <w:link w:val="496"/>
    <w:qFormat/>
    <w:uiPriority w:val="1"/>
    <w:pPr>
      <w:widowControl w:val="0"/>
      <w:suppressAutoHyphens/>
      <w:autoSpaceDE w:val="0"/>
    </w:pPr>
    <w:rPr>
      <w:rFonts w:ascii="Arial" w:hAnsi="Arial" w:eastAsia="Times New Roman" w:cs="Times New Roman"/>
      <w:sz w:val="18"/>
      <w:szCs w:val="18"/>
      <w:lang w:val="ru-RU" w:eastAsia="zh-CN" w:bidi="ar-SA"/>
    </w:rPr>
  </w:style>
  <w:style w:type="paragraph" w:customStyle="1" w:styleId="382">
    <w:name w:val="Standard"/>
    <w:uiPriority w:val="0"/>
    <w:pPr>
      <w:widowControl w:val="0"/>
      <w:suppressAutoHyphens/>
    </w:pPr>
    <w:rPr>
      <w:rFonts w:ascii="Arial" w:hAnsi="Arial" w:eastAsia="Lucida Sans Unicode" w:cs="Arial"/>
      <w:kern w:val="1"/>
      <w:sz w:val="21"/>
      <w:szCs w:val="24"/>
      <w:lang w:val="ru-RU" w:eastAsia="zh-CN" w:bidi="ar-SA"/>
    </w:rPr>
  </w:style>
  <w:style w:type="paragraph" w:customStyle="1" w:styleId="383">
    <w:name w:val="Основной текст 32"/>
    <w:basedOn w:val="1"/>
    <w:uiPriority w:val="0"/>
    <w:pPr>
      <w:spacing w:after="120"/>
    </w:pPr>
    <w:rPr>
      <w:sz w:val="16"/>
      <w:szCs w:val="16"/>
    </w:rPr>
  </w:style>
  <w:style w:type="paragraph" w:customStyle="1" w:styleId="384">
    <w:name w:val="Таблицы (моноширинный)"/>
    <w:basedOn w:val="1"/>
    <w:next w:val="1"/>
    <w:uiPriority w:val="0"/>
    <w:pPr>
      <w:autoSpaceDE w:val="0"/>
      <w:jc w:val="both"/>
    </w:pPr>
    <w:rPr>
      <w:rFonts w:ascii="Courier New" w:hAnsi="Courier New" w:cs="Courier New"/>
      <w:sz w:val="24"/>
      <w:szCs w:val="24"/>
    </w:rPr>
  </w:style>
  <w:style w:type="paragraph" w:customStyle="1" w:styleId="385">
    <w:name w:val="Текст (лев. подпись)"/>
    <w:basedOn w:val="1"/>
    <w:next w:val="1"/>
    <w:uiPriority w:val="0"/>
    <w:pPr>
      <w:autoSpaceDE w:val="0"/>
    </w:pPr>
    <w:rPr>
      <w:rFonts w:ascii="Arial" w:hAnsi="Arial" w:cs="Arial"/>
      <w:sz w:val="22"/>
      <w:szCs w:val="22"/>
    </w:rPr>
  </w:style>
  <w:style w:type="paragraph" w:customStyle="1" w:styleId="386">
    <w:name w:val="Текст (прав. подпись)"/>
    <w:basedOn w:val="1"/>
    <w:next w:val="1"/>
    <w:uiPriority w:val="0"/>
    <w:pPr>
      <w:autoSpaceDE w:val="0"/>
      <w:jc w:val="right"/>
    </w:pPr>
    <w:rPr>
      <w:rFonts w:ascii="Arial" w:hAnsi="Arial" w:cs="Arial"/>
      <w:sz w:val="22"/>
      <w:szCs w:val="22"/>
    </w:rPr>
  </w:style>
  <w:style w:type="paragraph" w:customStyle="1" w:styleId="387">
    <w:name w:val="Комментарий"/>
    <w:basedOn w:val="1"/>
    <w:next w:val="1"/>
    <w:uiPriority w:val="0"/>
    <w:pPr>
      <w:autoSpaceDE w:val="0"/>
      <w:ind w:left="170"/>
      <w:jc w:val="both"/>
    </w:pPr>
    <w:rPr>
      <w:rFonts w:ascii="Arial" w:hAnsi="Arial" w:cs="Arial"/>
      <w:i/>
      <w:iCs/>
      <w:color w:val="800080"/>
      <w:sz w:val="22"/>
      <w:szCs w:val="22"/>
    </w:rPr>
  </w:style>
  <w:style w:type="paragraph" w:customStyle="1" w:styleId="388">
    <w:name w:val="Прижатый влево"/>
    <w:basedOn w:val="1"/>
    <w:next w:val="1"/>
    <w:uiPriority w:val="0"/>
    <w:pPr>
      <w:widowControl w:val="0"/>
      <w:autoSpaceDE w:val="0"/>
    </w:pPr>
    <w:rPr>
      <w:rFonts w:ascii="Arial" w:hAnsi="Arial" w:cs="Arial"/>
      <w:sz w:val="22"/>
      <w:szCs w:val="22"/>
    </w:rPr>
  </w:style>
  <w:style w:type="paragraph" w:customStyle="1" w:styleId="389">
    <w:name w:val="Словарная статья"/>
    <w:basedOn w:val="1"/>
    <w:next w:val="1"/>
    <w:uiPriority w:val="0"/>
    <w:pPr>
      <w:autoSpaceDE w:val="0"/>
      <w:ind w:right="118"/>
      <w:jc w:val="both"/>
    </w:pPr>
    <w:rPr>
      <w:rFonts w:ascii="Arial" w:hAnsi="Arial" w:cs="Arial"/>
      <w:sz w:val="22"/>
      <w:szCs w:val="22"/>
    </w:rPr>
  </w:style>
  <w:style w:type="paragraph" w:customStyle="1" w:styleId="390">
    <w:name w:val="Пункт"/>
    <w:basedOn w:val="1"/>
    <w:uiPriority w:val="0"/>
    <w:pPr>
      <w:tabs>
        <w:tab w:val="left" w:pos="1980"/>
      </w:tabs>
      <w:ind w:left="1404" w:hanging="504"/>
      <w:jc w:val="both"/>
    </w:pPr>
    <w:rPr>
      <w:sz w:val="24"/>
      <w:szCs w:val="24"/>
    </w:rPr>
  </w:style>
  <w:style w:type="paragraph" w:customStyle="1" w:styleId="391">
    <w:name w:val="Тендерные данные"/>
    <w:basedOn w:val="1"/>
    <w:uiPriority w:val="0"/>
    <w:pPr>
      <w:tabs>
        <w:tab w:val="left" w:pos="1985"/>
      </w:tabs>
      <w:spacing w:before="120"/>
      <w:jc w:val="both"/>
    </w:pPr>
    <w:rPr>
      <w:b/>
      <w:sz w:val="24"/>
    </w:rPr>
  </w:style>
  <w:style w:type="paragraph" w:customStyle="1" w:styleId="392">
    <w:name w:val="Содержимое таблицы"/>
    <w:basedOn w:val="1"/>
    <w:uiPriority w:val="0"/>
    <w:pPr>
      <w:suppressLineNumbers/>
    </w:pPr>
  </w:style>
  <w:style w:type="paragraph" w:customStyle="1" w:styleId="393">
    <w:name w:val="Заголовок таблицы"/>
    <w:basedOn w:val="392"/>
    <w:uiPriority w:val="0"/>
    <w:pPr>
      <w:jc w:val="center"/>
    </w:pPr>
    <w:rPr>
      <w:b/>
      <w:bCs/>
    </w:rPr>
  </w:style>
  <w:style w:type="paragraph" w:customStyle="1" w:styleId="394">
    <w:name w:val="Блочная цитата"/>
    <w:basedOn w:val="1"/>
    <w:uiPriority w:val="0"/>
    <w:pPr>
      <w:spacing w:after="283"/>
      <w:ind w:left="567" w:right="567"/>
    </w:pPr>
  </w:style>
  <w:style w:type="paragraph" w:customStyle="1" w:styleId="395">
    <w:name w:val="Заголовок"/>
    <w:basedOn w:val="50"/>
    <w:next w:val="32"/>
    <w:link w:val="422"/>
    <w:qFormat/>
    <w:uiPriority w:val="0"/>
    <w:rPr>
      <w:bCs/>
      <w:sz w:val="56"/>
      <w:szCs w:val="56"/>
    </w:rPr>
  </w:style>
  <w:style w:type="character" w:customStyle="1" w:styleId="396">
    <w:name w:val="Заголовок 5 Знак"/>
    <w:link w:val="6"/>
    <w:qFormat/>
    <w:uiPriority w:val="9"/>
    <w:rPr>
      <w:sz w:val="24"/>
    </w:rPr>
  </w:style>
  <w:style w:type="character" w:customStyle="1" w:styleId="397">
    <w:name w:val="Заголовок 6 Знак"/>
    <w:link w:val="7"/>
    <w:uiPriority w:val="0"/>
    <w:rPr>
      <w:b/>
      <w:bCs/>
      <w:sz w:val="22"/>
      <w:szCs w:val="22"/>
    </w:rPr>
  </w:style>
  <w:style w:type="character" w:customStyle="1" w:styleId="398">
    <w:name w:val="Заголовок 7 Знак"/>
    <w:link w:val="8"/>
    <w:qFormat/>
    <w:uiPriority w:val="0"/>
    <w:rPr>
      <w:sz w:val="24"/>
      <w:szCs w:val="24"/>
    </w:rPr>
  </w:style>
  <w:style w:type="character" w:customStyle="1" w:styleId="399">
    <w:name w:val="Заголовок 8 Знак"/>
    <w:link w:val="9"/>
    <w:qFormat/>
    <w:uiPriority w:val="0"/>
    <w:rPr>
      <w:sz w:val="24"/>
    </w:rPr>
  </w:style>
  <w:style w:type="character" w:customStyle="1" w:styleId="400">
    <w:name w:val="Заголовок 9 Знак"/>
    <w:link w:val="10"/>
    <w:qFormat/>
    <w:uiPriority w:val="0"/>
    <w:rPr>
      <w:b/>
      <w:bCs/>
      <w:szCs w:val="24"/>
    </w:rPr>
  </w:style>
  <w:style w:type="character" w:customStyle="1" w:styleId="401">
    <w:name w:val="postbody"/>
    <w:basedOn w:val="11"/>
    <w:qFormat/>
    <w:uiPriority w:val="0"/>
  </w:style>
  <w:style w:type="character" w:customStyle="1" w:styleId="402">
    <w:name w:val="Основной текст с отступом 3 Знак1"/>
    <w:semiHidden/>
    <w:qFormat/>
    <w:uiPriority w:val="99"/>
    <w:rPr>
      <w:sz w:val="16"/>
      <w:szCs w:val="16"/>
      <w:lang w:eastAsia="zh-CN"/>
    </w:rPr>
  </w:style>
  <w:style w:type="paragraph" w:customStyle="1" w:styleId="403">
    <w:name w:val="Знак1"/>
    <w:basedOn w:val="1"/>
    <w:qFormat/>
    <w:uiPriority w:val="0"/>
    <w:pPr>
      <w:suppressAutoHyphens w:val="0"/>
      <w:spacing w:after="160" w:line="240" w:lineRule="exact"/>
    </w:pPr>
    <w:rPr>
      <w:rFonts w:ascii="Verdana" w:hAnsi="Verdana"/>
      <w:lang w:val="en-US" w:eastAsia="en-US"/>
    </w:rPr>
  </w:style>
  <w:style w:type="paragraph" w:customStyle="1" w:styleId="404">
    <w:name w:val="Знак Знак Знак Знак"/>
    <w:basedOn w:val="1"/>
    <w:uiPriority w:val="0"/>
    <w:pPr>
      <w:suppressAutoHyphens w:val="0"/>
      <w:spacing w:before="100" w:beforeAutospacing="1" w:after="100" w:afterAutospacing="1"/>
    </w:pPr>
    <w:rPr>
      <w:rFonts w:ascii="Tahoma" w:hAnsi="Tahoma"/>
      <w:lang w:val="en-US" w:eastAsia="en-US"/>
    </w:rPr>
  </w:style>
  <w:style w:type="character" w:customStyle="1" w:styleId="405">
    <w:name w:val="Основной текст с отступом 2 Знак1"/>
    <w:semiHidden/>
    <w:uiPriority w:val="99"/>
    <w:rPr>
      <w:lang w:eastAsia="zh-CN"/>
    </w:rPr>
  </w:style>
  <w:style w:type="character" w:customStyle="1" w:styleId="406">
    <w:name w:val="Основной текст 2 Знак"/>
    <w:link w:val="23"/>
    <w:uiPriority w:val="0"/>
    <w:rPr>
      <w:sz w:val="24"/>
      <w:szCs w:val="24"/>
    </w:rPr>
  </w:style>
  <w:style w:type="character" w:customStyle="1" w:styleId="407">
    <w:name w:val="Основной текст 3 Знак1"/>
    <w:semiHidden/>
    <w:qFormat/>
    <w:uiPriority w:val="99"/>
    <w:rPr>
      <w:sz w:val="16"/>
      <w:szCs w:val="16"/>
      <w:lang w:eastAsia="zh-CN"/>
    </w:rPr>
  </w:style>
  <w:style w:type="paragraph" w:customStyle="1" w:styleId="408">
    <w:name w:val="Обычный1"/>
    <w:uiPriority w:val="0"/>
    <w:rPr>
      <w:rFonts w:ascii="Times New Roman" w:hAnsi="Times New Roman" w:eastAsia="Times New Roman" w:cs="Times New Roman"/>
      <w:lang w:val="ru-RU" w:eastAsia="ru-RU" w:bidi="ar-SA"/>
    </w:rPr>
  </w:style>
  <w:style w:type="paragraph" w:customStyle="1" w:styleId="409">
    <w:name w:val="H4"/>
    <w:basedOn w:val="408"/>
    <w:next w:val="408"/>
    <w:uiPriority w:val="0"/>
    <w:pPr>
      <w:keepNext/>
      <w:widowControl w:val="0"/>
      <w:spacing w:before="100" w:after="100"/>
      <w:outlineLvl w:val="4"/>
    </w:pPr>
    <w:rPr>
      <w:b/>
      <w:snapToGrid w:val="0"/>
      <w:sz w:val="24"/>
    </w:rPr>
  </w:style>
  <w:style w:type="paragraph" w:customStyle="1" w:styleId="410">
    <w:name w:val="Готовый"/>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hAnsi="Courier New"/>
      <w:snapToGrid w:val="0"/>
      <w:lang w:eastAsia="ru-RU"/>
    </w:rPr>
  </w:style>
  <w:style w:type="paragraph" w:customStyle="1" w:styleId="411">
    <w:name w:val="МойЗаголовок1"/>
    <w:basedOn w:val="1"/>
    <w:qFormat/>
    <w:uiPriority w:val="0"/>
    <w:pPr>
      <w:suppressAutoHyphens w:val="0"/>
      <w:spacing w:before="360" w:after="60" w:line="288" w:lineRule="auto"/>
      <w:jc w:val="center"/>
      <w:outlineLvl w:val="0"/>
    </w:pPr>
    <w:rPr>
      <w:b/>
      <w:bCs/>
      <w:kern w:val="32"/>
      <w:sz w:val="24"/>
      <w:szCs w:val="24"/>
      <w:lang w:eastAsia="ru-RU"/>
    </w:rPr>
  </w:style>
  <w:style w:type="paragraph" w:customStyle="1" w:styleId="412">
    <w:name w:val="Основной текст1"/>
    <w:basedOn w:val="1"/>
    <w:link w:val="434"/>
    <w:qFormat/>
    <w:uiPriority w:val="0"/>
    <w:pPr>
      <w:widowControl w:val="0"/>
      <w:suppressAutoHyphens w:val="0"/>
      <w:jc w:val="both"/>
    </w:pPr>
    <w:rPr>
      <w:sz w:val="24"/>
    </w:rPr>
  </w:style>
  <w:style w:type="paragraph" w:customStyle="1" w:styleId="413">
    <w:name w:val="xl24"/>
    <w:basedOn w:val="1"/>
    <w:qFormat/>
    <w:uiPriority w:val="0"/>
    <w:pPr>
      <w:pBdr>
        <w:bottom w:val="single" w:color="auto" w:sz="4" w:space="0"/>
        <w:right w:val="single" w:color="auto" w:sz="4" w:space="0"/>
      </w:pBdr>
      <w:suppressAutoHyphens w:val="0"/>
      <w:spacing w:before="100" w:beforeAutospacing="1" w:after="100" w:afterAutospacing="1"/>
      <w:jc w:val="center"/>
      <w:textAlignment w:val="top"/>
    </w:pPr>
    <w:rPr>
      <w:sz w:val="24"/>
      <w:szCs w:val="24"/>
      <w:lang w:eastAsia="ru-RU"/>
    </w:rPr>
  </w:style>
  <w:style w:type="paragraph" w:customStyle="1" w:styleId="414">
    <w:name w:val="ТестАбзаца"/>
    <w:qFormat/>
    <w:uiPriority w:val="0"/>
    <w:pPr>
      <w:tabs>
        <w:tab w:val="left" w:pos="2280"/>
      </w:tabs>
      <w:spacing w:before="60" w:after="120" w:line="288" w:lineRule="auto"/>
      <w:ind w:firstLine="840"/>
      <w:jc w:val="both"/>
      <w:outlineLvl w:val="0"/>
    </w:pPr>
    <w:rPr>
      <w:rFonts w:ascii="Times New Roman" w:hAnsi="Times New Roman" w:eastAsia="Times New Roman" w:cs="Times New Roman"/>
      <w:bCs/>
      <w:kern w:val="32"/>
      <w:sz w:val="24"/>
      <w:szCs w:val="24"/>
      <w:lang w:val="ru-RU" w:eastAsia="ru-RU" w:bidi="ar-SA"/>
    </w:rPr>
  </w:style>
  <w:style w:type="paragraph" w:customStyle="1" w:styleId="415">
    <w:name w:val="ФормыЗагол"/>
    <w:basedOn w:val="1"/>
    <w:uiPriority w:val="0"/>
    <w:pPr>
      <w:tabs>
        <w:tab w:val="left" w:pos="1680"/>
      </w:tabs>
      <w:suppressAutoHyphens w:val="0"/>
      <w:spacing w:before="120" w:after="120"/>
      <w:ind w:left="1702" w:hanging="851"/>
      <w:jc w:val="center"/>
    </w:pPr>
    <w:rPr>
      <w:b/>
      <w:bCs/>
      <w:sz w:val="28"/>
      <w:szCs w:val="24"/>
      <w:lang w:eastAsia="ru-RU"/>
    </w:rPr>
  </w:style>
  <w:style w:type="paragraph" w:customStyle="1" w:styleId="416">
    <w:name w:val="Приложения"/>
    <w:basedOn w:val="1"/>
    <w:qFormat/>
    <w:uiPriority w:val="0"/>
    <w:pPr>
      <w:suppressAutoHyphens w:val="0"/>
      <w:jc w:val="center"/>
    </w:pPr>
    <w:rPr>
      <w:sz w:val="28"/>
      <w:lang w:eastAsia="ru-RU"/>
    </w:rPr>
  </w:style>
  <w:style w:type="paragraph" w:customStyle="1" w:styleId="417">
    <w:name w:val="заголовок 11"/>
    <w:basedOn w:val="1"/>
    <w:next w:val="1"/>
    <w:qFormat/>
    <w:uiPriority w:val="0"/>
    <w:pPr>
      <w:keepNext/>
      <w:suppressAutoHyphens w:val="0"/>
      <w:jc w:val="center"/>
    </w:pPr>
    <w:rPr>
      <w:sz w:val="24"/>
      <w:szCs w:val="24"/>
      <w:lang w:eastAsia="ru-RU"/>
    </w:rPr>
  </w:style>
  <w:style w:type="paragraph" w:customStyle="1" w:styleId="418">
    <w:name w:val="текст сноски"/>
    <w:basedOn w:val="1"/>
    <w:qFormat/>
    <w:uiPriority w:val="0"/>
    <w:pPr>
      <w:widowControl w:val="0"/>
      <w:suppressAutoHyphens w:val="0"/>
    </w:pPr>
    <w:rPr>
      <w:rFonts w:ascii="Gelvetsky 12pt" w:hAnsi="Gelvetsky 12pt"/>
      <w:sz w:val="24"/>
      <w:szCs w:val="24"/>
      <w:lang w:val="en-US" w:eastAsia="ru-RU"/>
    </w:rPr>
  </w:style>
  <w:style w:type="character" w:customStyle="1" w:styleId="419">
    <w:name w:val="Схема документа Знак"/>
    <w:link w:val="29"/>
    <w:qFormat/>
    <w:uiPriority w:val="0"/>
    <w:rPr>
      <w:rFonts w:ascii="Tahoma" w:hAnsi="Tahoma" w:cs="Tahoma"/>
      <w:shd w:val="clear" w:color="auto" w:fill="000080"/>
    </w:rPr>
  </w:style>
  <w:style w:type="paragraph" w:customStyle="1" w:styleId="420">
    <w:name w:val="Обычный (Web)"/>
    <w:basedOn w:val="1"/>
    <w:qFormat/>
    <w:uiPriority w:val="0"/>
    <w:pPr>
      <w:suppressAutoHyphens w:val="0"/>
      <w:spacing w:before="100" w:after="100"/>
    </w:pPr>
    <w:rPr>
      <w:rFonts w:ascii="Arial Unicode MS" w:hAnsi="Arial Unicode MS"/>
      <w:sz w:val="24"/>
      <w:lang w:eastAsia="ru-RU"/>
    </w:rPr>
  </w:style>
  <w:style w:type="paragraph" w:customStyle="1" w:styleId="421">
    <w:name w:val="ConsPlusNonformat"/>
    <w:uiPriority w:val="0"/>
    <w:pPr>
      <w:widowControl w:val="0"/>
      <w:autoSpaceDE w:val="0"/>
      <w:autoSpaceDN w:val="0"/>
      <w:adjustRightInd w:val="0"/>
    </w:pPr>
    <w:rPr>
      <w:rFonts w:ascii="Courier New" w:hAnsi="Courier New" w:eastAsia="Times New Roman" w:cs="Courier New"/>
      <w:lang w:val="ru-RU" w:eastAsia="ru-RU" w:bidi="ar-SA"/>
    </w:rPr>
  </w:style>
  <w:style w:type="character" w:customStyle="1" w:styleId="422">
    <w:name w:val="Заголовок Знак"/>
    <w:link w:val="395"/>
    <w:qFormat/>
    <w:uiPriority w:val="0"/>
    <w:rPr>
      <w:b/>
      <w:bCs/>
      <w:sz w:val="56"/>
      <w:szCs w:val="56"/>
      <w:lang w:eastAsia="zh-CN"/>
    </w:rPr>
  </w:style>
  <w:style w:type="character" w:customStyle="1" w:styleId="423">
    <w:name w:val="Стандартный HTML Знак"/>
    <w:link w:val="51"/>
    <w:qFormat/>
    <w:uiPriority w:val="0"/>
    <w:rPr>
      <w:rFonts w:ascii="Courier New" w:hAnsi="Courier New"/>
      <w:sz w:val="23"/>
      <w:szCs w:val="23"/>
    </w:rPr>
  </w:style>
  <w:style w:type="paragraph" w:customStyle="1" w:styleId="424">
    <w:name w:val="Знак Знак Знак"/>
    <w:basedOn w:val="1"/>
    <w:qFormat/>
    <w:uiPriority w:val="0"/>
    <w:pPr>
      <w:suppressAutoHyphens w:val="0"/>
      <w:spacing w:before="100" w:beforeAutospacing="1" w:after="100" w:afterAutospacing="1"/>
      <w:jc w:val="both"/>
    </w:pPr>
    <w:rPr>
      <w:rFonts w:ascii="Tahoma" w:hAnsi="Tahoma"/>
      <w:lang w:val="en-US" w:eastAsia="en-US"/>
    </w:rPr>
  </w:style>
  <w:style w:type="character" w:customStyle="1" w:styleId="425">
    <w:name w:val="Название Знак1"/>
    <w:qFormat/>
    <w:uiPriority w:val="0"/>
    <w:rPr>
      <w:rFonts w:ascii="Times New Roman" w:hAnsi="Times New Roman" w:eastAsia="Times New Roman" w:cs="Times New Roman"/>
      <w:b/>
      <w:bCs/>
      <w:sz w:val="28"/>
      <w:szCs w:val="24"/>
      <w:lang w:eastAsia="ru-RU"/>
    </w:rPr>
  </w:style>
  <w:style w:type="character" w:customStyle="1" w:styleId="426">
    <w:name w:val="iceouttxt5"/>
    <w:qFormat/>
    <w:uiPriority w:val="0"/>
    <w:rPr>
      <w:rFonts w:hint="default" w:ascii="Arial" w:hAnsi="Arial" w:cs="Arial"/>
      <w:color w:val="666666"/>
      <w:sz w:val="17"/>
      <w:szCs w:val="17"/>
    </w:rPr>
  </w:style>
  <w:style w:type="paragraph" w:customStyle="1" w:styleId="427">
    <w:name w:val="Подподпункт"/>
    <w:basedOn w:val="1"/>
    <w:qFormat/>
    <w:uiPriority w:val="0"/>
    <w:pPr>
      <w:tabs>
        <w:tab w:val="left" w:pos="851"/>
        <w:tab w:val="left" w:pos="1134"/>
        <w:tab w:val="left" w:pos="1418"/>
        <w:tab w:val="left" w:pos="2978"/>
      </w:tabs>
      <w:suppressAutoHyphens w:val="0"/>
      <w:spacing w:line="360" w:lineRule="auto"/>
      <w:ind w:left="2978" w:hanging="567"/>
      <w:jc w:val="both"/>
    </w:pPr>
    <w:rPr>
      <w:sz w:val="28"/>
      <w:lang w:eastAsia="ru-RU"/>
    </w:rPr>
  </w:style>
  <w:style w:type="paragraph" w:customStyle="1" w:styleId="428">
    <w:name w:val="Пункт-3"/>
    <w:basedOn w:val="1"/>
    <w:uiPriority w:val="0"/>
    <w:pPr>
      <w:tabs>
        <w:tab w:val="left" w:pos="2694"/>
      </w:tabs>
      <w:suppressAutoHyphens w:val="0"/>
      <w:spacing w:line="288" w:lineRule="auto"/>
      <w:ind w:left="993" w:firstLine="567"/>
      <w:jc w:val="both"/>
    </w:pPr>
    <w:rPr>
      <w:sz w:val="28"/>
      <w:szCs w:val="24"/>
      <w:lang w:eastAsia="ru-RU"/>
    </w:rPr>
  </w:style>
  <w:style w:type="paragraph" w:customStyle="1" w:styleId="429">
    <w:name w:val="Пункт-4"/>
    <w:basedOn w:val="1"/>
    <w:qFormat/>
    <w:uiPriority w:val="0"/>
    <w:pPr>
      <w:tabs>
        <w:tab w:val="left" w:pos="1701"/>
      </w:tabs>
      <w:suppressAutoHyphens w:val="0"/>
      <w:spacing w:line="288" w:lineRule="auto"/>
      <w:ind w:firstLine="567"/>
      <w:jc w:val="both"/>
    </w:pPr>
    <w:rPr>
      <w:sz w:val="28"/>
      <w:szCs w:val="24"/>
      <w:lang w:eastAsia="ru-RU"/>
    </w:rPr>
  </w:style>
  <w:style w:type="paragraph" w:customStyle="1" w:styleId="430">
    <w:name w:val="Пункт-6"/>
    <w:basedOn w:val="1"/>
    <w:qFormat/>
    <w:uiPriority w:val="0"/>
    <w:pPr>
      <w:tabs>
        <w:tab w:val="left" w:pos="2574"/>
      </w:tabs>
      <w:suppressAutoHyphens w:val="0"/>
      <w:spacing w:line="288" w:lineRule="auto"/>
      <w:ind w:left="873" w:firstLine="567"/>
      <w:jc w:val="both"/>
    </w:pPr>
    <w:rPr>
      <w:sz w:val="28"/>
      <w:szCs w:val="24"/>
      <w:lang w:eastAsia="ru-RU"/>
    </w:rPr>
  </w:style>
  <w:style w:type="paragraph" w:customStyle="1" w:styleId="431">
    <w:name w:val="Пункт-7"/>
    <w:basedOn w:val="1"/>
    <w:uiPriority w:val="0"/>
    <w:pPr>
      <w:tabs>
        <w:tab w:val="left" w:pos="1701"/>
      </w:tabs>
      <w:suppressAutoHyphens w:val="0"/>
      <w:spacing w:line="288" w:lineRule="auto"/>
      <w:ind w:firstLine="567"/>
      <w:jc w:val="both"/>
    </w:pPr>
    <w:rPr>
      <w:sz w:val="28"/>
      <w:szCs w:val="24"/>
      <w:lang w:eastAsia="ru-RU"/>
    </w:rPr>
  </w:style>
  <w:style w:type="character" w:customStyle="1" w:styleId="432">
    <w:name w:val="Текст Знак"/>
    <w:link w:val="24"/>
    <w:qFormat/>
    <w:uiPriority w:val="0"/>
    <w:rPr>
      <w:rFonts w:ascii="Courier New" w:hAnsi="Courier New"/>
    </w:rPr>
  </w:style>
  <w:style w:type="character" w:customStyle="1" w:styleId="433">
    <w:name w:val="apple-converted-space"/>
    <w:basedOn w:val="11"/>
    <w:qFormat/>
    <w:uiPriority w:val="0"/>
  </w:style>
  <w:style w:type="character" w:customStyle="1" w:styleId="434">
    <w:name w:val="Основной текст_"/>
    <w:link w:val="412"/>
    <w:qFormat/>
    <w:uiPriority w:val="0"/>
    <w:rPr>
      <w:sz w:val="24"/>
    </w:rPr>
  </w:style>
  <w:style w:type="paragraph" w:customStyle="1" w:styleId="435">
    <w:name w:val="Обычный2"/>
    <w:qFormat/>
    <w:uiPriority w:val="0"/>
    <w:rPr>
      <w:rFonts w:ascii="Times New Roman" w:hAnsi="Times New Roman" w:eastAsia="Times New Roman" w:cs="Times New Roman"/>
      <w:lang w:val="ru-RU" w:eastAsia="ru-RU" w:bidi="ar-SA"/>
    </w:rPr>
  </w:style>
  <w:style w:type="character" w:customStyle="1" w:styleId="436">
    <w:name w:val="Дата Знак"/>
    <w:link w:val="37"/>
    <w:uiPriority w:val="0"/>
    <w:rPr>
      <w:sz w:val="24"/>
    </w:rPr>
  </w:style>
  <w:style w:type="character" w:customStyle="1" w:styleId="437">
    <w:name w:val="Заголовок записки Знак"/>
    <w:link w:val="36"/>
    <w:qFormat/>
    <w:uiPriority w:val="0"/>
    <w:rPr>
      <w:sz w:val="24"/>
      <w:szCs w:val="24"/>
    </w:rPr>
  </w:style>
  <w:style w:type="character" w:customStyle="1" w:styleId="438">
    <w:name w:val="Текст примечания Знак1"/>
    <w:semiHidden/>
    <w:qFormat/>
    <w:uiPriority w:val="99"/>
    <w:rPr>
      <w:lang w:eastAsia="zh-CN"/>
    </w:rPr>
  </w:style>
  <w:style w:type="paragraph" w:customStyle="1" w:styleId="439">
    <w:name w:val="TOC Heading"/>
    <w:basedOn w:val="2"/>
    <w:next w:val="1"/>
    <w:qFormat/>
    <w:uiPriority w:val="39"/>
    <w:pPr>
      <w:keepLines/>
      <w:tabs>
        <w:tab w:val="clear" w:pos="0"/>
      </w:tabs>
      <w:suppressAutoHyphens w:val="0"/>
      <w:spacing w:before="480" w:line="276" w:lineRule="auto"/>
      <w:ind w:left="0" w:right="0" w:firstLine="0"/>
      <w:jc w:val="left"/>
      <w:outlineLvl w:val="9"/>
    </w:pPr>
    <w:rPr>
      <w:rFonts w:ascii="Cambria" w:hAnsi="Cambria"/>
      <w:b/>
      <w:bCs/>
      <w:color w:val="365F91"/>
      <w:sz w:val="28"/>
      <w:szCs w:val="28"/>
      <w:lang w:eastAsia="en-US"/>
    </w:rPr>
  </w:style>
  <w:style w:type="character" w:customStyle="1" w:styleId="440">
    <w:name w:val="Основной текст (3)_"/>
    <w:link w:val="441"/>
    <w:qFormat/>
    <w:uiPriority w:val="99"/>
    <w:rPr>
      <w:sz w:val="18"/>
      <w:szCs w:val="18"/>
      <w:shd w:val="clear" w:color="auto" w:fill="FFFFFF"/>
    </w:rPr>
  </w:style>
  <w:style w:type="paragraph" w:customStyle="1" w:styleId="441">
    <w:name w:val="Основной текст (3)1"/>
    <w:basedOn w:val="1"/>
    <w:link w:val="440"/>
    <w:qFormat/>
    <w:uiPriority w:val="99"/>
    <w:pPr>
      <w:shd w:val="clear" w:color="auto" w:fill="FFFFFF"/>
      <w:suppressAutoHyphens w:val="0"/>
      <w:spacing w:line="240" w:lineRule="atLeast"/>
    </w:pPr>
    <w:rPr>
      <w:sz w:val="18"/>
      <w:szCs w:val="18"/>
    </w:rPr>
  </w:style>
  <w:style w:type="character" w:customStyle="1" w:styleId="442">
    <w:name w:val="Основной текст (4)_"/>
    <w:link w:val="443"/>
    <w:qFormat/>
    <w:uiPriority w:val="0"/>
    <w:rPr>
      <w:b/>
      <w:bCs/>
      <w:sz w:val="19"/>
      <w:szCs w:val="19"/>
      <w:shd w:val="clear" w:color="auto" w:fill="FFFFFF"/>
    </w:rPr>
  </w:style>
  <w:style w:type="paragraph" w:customStyle="1" w:styleId="443">
    <w:name w:val="Основной текст (4)"/>
    <w:basedOn w:val="1"/>
    <w:link w:val="442"/>
    <w:uiPriority w:val="0"/>
    <w:pPr>
      <w:shd w:val="clear" w:color="auto" w:fill="FFFFFF"/>
      <w:suppressAutoHyphens w:val="0"/>
      <w:spacing w:line="240" w:lineRule="atLeast"/>
    </w:pPr>
    <w:rPr>
      <w:b/>
      <w:bCs/>
      <w:sz w:val="19"/>
      <w:szCs w:val="19"/>
    </w:rPr>
  </w:style>
  <w:style w:type="character" w:customStyle="1" w:styleId="444">
    <w:name w:val="Основной текст (3) + 9"/>
    <w:qFormat/>
    <w:uiPriority w:val="99"/>
    <w:rPr>
      <w:rFonts w:ascii="Times New Roman" w:hAnsi="Times New Roman"/>
      <w:b/>
      <w:bCs/>
      <w:sz w:val="19"/>
      <w:szCs w:val="19"/>
      <w:shd w:val="clear" w:color="auto" w:fill="FFFFFF"/>
    </w:rPr>
  </w:style>
  <w:style w:type="character" w:customStyle="1" w:styleId="445">
    <w:name w:val="Подпись к таблице (2)_"/>
    <w:link w:val="446"/>
    <w:uiPriority w:val="99"/>
    <w:rPr>
      <w:b/>
      <w:bCs/>
      <w:i/>
      <w:iCs/>
      <w:sz w:val="24"/>
      <w:szCs w:val="24"/>
      <w:shd w:val="clear" w:color="auto" w:fill="FFFFFF"/>
    </w:rPr>
  </w:style>
  <w:style w:type="paragraph" w:customStyle="1" w:styleId="446">
    <w:name w:val="Подпись к таблице (2)"/>
    <w:basedOn w:val="1"/>
    <w:link w:val="445"/>
    <w:qFormat/>
    <w:uiPriority w:val="99"/>
    <w:pPr>
      <w:shd w:val="clear" w:color="auto" w:fill="FFFFFF"/>
      <w:suppressAutoHyphens w:val="0"/>
      <w:spacing w:line="240" w:lineRule="atLeast"/>
    </w:pPr>
    <w:rPr>
      <w:b/>
      <w:bCs/>
      <w:i/>
      <w:iCs/>
      <w:sz w:val="24"/>
      <w:szCs w:val="24"/>
    </w:rPr>
  </w:style>
  <w:style w:type="paragraph" w:customStyle="1" w:styleId="447">
    <w:name w:val="Абзац списка2"/>
    <w:basedOn w:val="1"/>
    <w:uiPriority w:val="0"/>
    <w:pPr>
      <w:widowControl w:val="0"/>
      <w:spacing w:after="200" w:line="276" w:lineRule="auto"/>
      <w:ind w:left="720"/>
    </w:pPr>
    <w:rPr>
      <w:rFonts w:ascii="Calibri" w:hAnsi="Calibri" w:eastAsia="Calibri" w:cs="Calibri"/>
      <w:color w:val="00000A"/>
      <w:sz w:val="22"/>
      <w:szCs w:val="22"/>
      <w:lang w:eastAsia="ar-SA"/>
    </w:rPr>
  </w:style>
  <w:style w:type="paragraph" w:customStyle="1" w:styleId="448">
    <w:name w:val="parametervalue"/>
    <w:basedOn w:val="1"/>
    <w:qFormat/>
    <w:uiPriority w:val="0"/>
    <w:pPr>
      <w:suppressAutoHyphens w:val="0"/>
      <w:spacing w:before="100" w:beforeAutospacing="1" w:after="100" w:afterAutospacing="1"/>
    </w:pPr>
    <w:rPr>
      <w:sz w:val="24"/>
      <w:szCs w:val="24"/>
      <w:lang w:eastAsia="ru-RU"/>
    </w:rPr>
  </w:style>
  <w:style w:type="character" w:customStyle="1" w:styleId="449">
    <w:name w:val="Подзаголовок Знак"/>
    <w:link w:val="49"/>
    <w:uiPriority w:val="0"/>
    <w:rPr>
      <w:b/>
      <w:sz w:val="36"/>
      <w:szCs w:val="36"/>
      <w:lang w:eastAsia="zh-CN"/>
    </w:rPr>
  </w:style>
  <w:style w:type="paragraph" w:customStyle="1" w:styleId="450">
    <w:name w:val="ОсновнойБезКрасной"/>
    <w:basedOn w:val="32"/>
    <w:next w:val="32"/>
    <w:qFormat/>
    <w:uiPriority w:val="0"/>
    <w:pPr>
      <w:numPr>
        <w:ilvl w:val="0"/>
        <w:numId w:val="3"/>
      </w:numPr>
      <w:tabs>
        <w:tab w:val="clear" w:pos="417"/>
      </w:tabs>
      <w:suppressAutoHyphens w:val="0"/>
      <w:spacing w:before="60" w:after="60" w:line="360" w:lineRule="auto"/>
      <w:ind w:left="0" w:firstLine="0"/>
      <w:jc w:val="both"/>
    </w:pPr>
    <w:rPr>
      <w:rFonts w:eastAsia="Symbol"/>
      <w:sz w:val="24"/>
    </w:rPr>
  </w:style>
  <w:style w:type="character" w:customStyle="1" w:styleId="451">
    <w:name w:val="Заголовок 2 Знак1"/>
    <w:link w:val="3"/>
    <w:qFormat/>
    <w:uiPriority w:val="9"/>
    <w:rPr>
      <w:b/>
      <w:lang w:eastAsia="zh-CN"/>
    </w:rPr>
  </w:style>
  <w:style w:type="paragraph" w:customStyle="1" w:styleId="452">
    <w:name w:val="ConsPlusCell"/>
    <w:qFormat/>
    <w:uiPriority w:val="0"/>
    <w:pPr>
      <w:widowControl w:val="0"/>
      <w:autoSpaceDE w:val="0"/>
      <w:autoSpaceDN w:val="0"/>
      <w:adjustRightInd w:val="0"/>
    </w:pPr>
    <w:rPr>
      <w:rFonts w:ascii="Arial" w:hAnsi="Arial" w:eastAsia="Times New Roman" w:cs="Arial"/>
      <w:lang w:val="ru-RU" w:eastAsia="ru-RU" w:bidi="ar-SA"/>
    </w:rPr>
  </w:style>
  <w:style w:type="paragraph" w:customStyle="1" w:styleId="453">
    <w:name w:val="ConsPlusDocList"/>
    <w:qFormat/>
    <w:uiPriority w:val="99"/>
    <w:pPr>
      <w:widowControl w:val="0"/>
      <w:autoSpaceDE w:val="0"/>
      <w:autoSpaceDN w:val="0"/>
      <w:adjustRightInd w:val="0"/>
    </w:pPr>
    <w:rPr>
      <w:rFonts w:ascii="Courier New" w:hAnsi="Courier New" w:eastAsia="Times New Roman" w:cs="Courier New"/>
      <w:lang w:val="ru-RU" w:eastAsia="ru-RU" w:bidi="ar-SA"/>
    </w:rPr>
  </w:style>
  <w:style w:type="paragraph" w:customStyle="1" w:styleId="454">
    <w:name w:val="Стиль 1"/>
    <w:basedOn w:val="1"/>
    <w:link w:val="455"/>
    <w:qFormat/>
    <w:uiPriority w:val="0"/>
    <w:pPr>
      <w:shd w:val="clear" w:color="auto" w:fill="FFFFFF"/>
      <w:suppressAutoHyphens w:val="0"/>
      <w:autoSpaceDE w:val="0"/>
      <w:autoSpaceDN w:val="0"/>
      <w:adjustRightInd w:val="0"/>
    </w:pPr>
    <w:rPr>
      <w:color w:val="000000"/>
      <w:sz w:val="28"/>
      <w:szCs w:val="28"/>
    </w:rPr>
  </w:style>
  <w:style w:type="character" w:customStyle="1" w:styleId="455">
    <w:name w:val="Стиль 1 Знак"/>
    <w:link w:val="454"/>
    <w:qFormat/>
    <w:uiPriority w:val="0"/>
    <w:rPr>
      <w:color w:val="000000"/>
      <w:sz w:val="28"/>
      <w:szCs w:val="28"/>
      <w:shd w:val="clear" w:color="auto" w:fill="FFFFFF"/>
    </w:rPr>
  </w:style>
  <w:style w:type="character" w:customStyle="1" w:styleId="456">
    <w:name w:val="Основной шрифт"/>
    <w:semiHidden/>
    <w:qFormat/>
    <w:uiPriority w:val="0"/>
  </w:style>
  <w:style w:type="paragraph" w:customStyle="1" w:styleId="457">
    <w:name w:val="03osnovnoytexttabl"/>
    <w:basedOn w:val="1"/>
    <w:qFormat/>
    <w:uiPriority w:val="0"/>
    <w:pPr>
      <w:suppressAutoHyphens w:val="0"/>
      <w:spacing w:before="120" w:line="320" w:lineRule="atLeast"/>
    </w:pPr>
    <w:rPr>
      <w:rFonts w:ascii="GaramondC" w:hAnsi="GaramondC"/>
      <w:color w:val="000000"/>
      <w:lang w:eastAsia="ru-RU"/>
    </w:rPr>
  </w:style>
  <w:style w:type="character" w:customStyle="1" w:styleId="458">
    <w:name w:val="Стиль3 Знак Знак Знак1"/>
    <w:qFormat/>
    <w:locked/>
    <w:uiPriority w:val="0"/>
    <w:rPr>
      <w:rFonts w:eastAsia="MS Mincho"/>
      <w:sz w:val="24"/>
    </w:rPr>
  </w:style>
  <w:style w:type="character" w:customStyle="1" w:styleId="459">
    <w:name w:val="ConsPlusNormal Знак"/>
    <w:link w:val="365"/>
    <w:locked/>
    <w:uiPriority w:val="99"/>
    <w:rPr>
      <w:rFonts w:ascii="Arial" w:hAnsi="Arial" w:cs="Arial"/>
      <w:lang w:eastAsia="zh-CN" w:bidi="ar-SA"/>
    </w:rPr>
  </w:style>
  <w:style w:type="character" w:customStyle="1" w:styleId="460">
    <w:name w:val="blk"/>
    <w:qFormat/>
    <w:uiPriority w:val="0"/>
  </w:style>
  <w:style w:type="character" w:customStyle="1" w:styleId="461">
    <w:name w:val="u"/>
    <w:qFormat/>
    <w:uiPriority w:val="0"/>
  </w:style>
  <w:style w:type="character" w:customStyle="1" w:styleId="462">
    <w:name w:val="Заголовок записки Знак1"/>
    <w:qFormat/>
    <w:uiPriority w:val="99"/>
  </w:style>
  <w:style w:type="paragraph" w:customStyle="1" w:styleId="463">
    <w:name w:val="01_zagolovok"/>
    <w:basedOn w:val="1"/>
    <w:uiPriority w:val="0"/>
    <w:pPr>
      <w:keepNext/>
      <w:pageBreakBefore/>
      <w:suppressAutoHyphens w:val="0"/>
      <w:spacing w:before="360" w:after="120"/>
      <w:outlineLvl w:val="0"/>
    </w:pPr>
    <w:rPr>
      <w:rFonts w:ascii="GaramondC" w:hAnsi="GaramondC"/>
      <w:b/>
      <w:color w:val="000000"/>
      <w:sz w:val="40"/>
      <w:szCs w:val="62"/>
      <w:lang w:eastAsia="ru-RU"/>
    </w:rPr>
  </w:style>
  <w:style w:type="paragraph" w:customStyle="1" w:styleId="464">
    <w:name w:val="02statia1"/>
    <w:basedOn w:val="1"/>
    <w:qFormat/>
    <w:uiPriority w:val="0"/>
    <w:pPr>
      <w:keepNext/>
      <w:suppressAutoHyphens w:val="0"/>
      <w:spacing w:before="280" w:line="320" w:lineRule="atLeast"/>
      <w:ind w:left="1134" w:right="851" w:hanging="578"/>
      <w:outlineLvl w:val="2"/>
    </w:pPr>
    <w:rPr>
      <w:rFonts w:ascii="GaramondNarrowC" w:hAnsi="GaramondNarrowC"/>
      <w:b/>
      <w:sz w:val="24"/>
      <w:szCs w:val="24"/>
      <w:lang w:eastAsia="ru-RU"/>
    </w:rPr>
  </w:style>
  <w:style w:type="paragraph" w:customStyle="1" w:styleId="465">
    <w:name w:val="02statia2"/>
    <w:basedOn w:val="1"/>
    <w:qFormat/>
    <w:uiPriority w:val="0"/>
    <w:pPr>
      <w:suppressAutoHyphens w:val="0"/>
      <w:spacing w:before="120" w:line="320" w:lineRule="atLeast"/>
      <w:ind w:left="2020" w:hanging="880"/>
      <w:jc w:val="both"/>
    </w:pPr>
    <w:rPr>
      <w:rFonts w:ascii="GaramondNarrowC" w:hAnsi="GaramondNarrowC"/>
      <w:color w:val="000000"/>
      <w:sz w:val="21"/>
      <w:szCs w:val="21"/>
      <w:lang w:eastAsia="ru-RU"/>
    </w:rPr>
  </w:style>
  <w:style w:type="character" w:customStyle="1" w:styleId="466">
    <w:name w:val="Обычный (веб) Знак"/>
    <w:link w:val="46"/>
    <w:qFormat/>
    <w:locked/>
    <w:uiPriority w:val="0"/>
    <w:rPr>
      <w:sz w:val="24"/>
      <w:szCs w:val="24"/>
      <w:lang w:eastAsia="zh-CN"/>
    </w:rPr>
  </w:style>
  <w:style w:type="character" w:customStyle="1" w:styleId="467">
    <w:name w:val="Заголовок №4_"/>
    <w:link w:val="468"/>
    <w:locked/>
    <w:uiPriority w:val="0"/>
    <w:rPr>
      <w:sz w:val="21"/>
      <w:szCs w:val="21"/>
      <w:shd w:val="clear" w:color="auto" w:fill="FFFFFF"/>
    </w:rPr>
  </w:style>
  <w:style w:type="paragraph" w:customStyle="1" w:styleId="468">
    <w:name w:val="Заголовок №4"/>
    <w:basedOn w:val="1"/>
    <w:link w:val="467"/>
    <w:qFormat/>
    <w:uiPriority w:val="0"/>
    <w:pPr>
      <w:shd w:val="clear" w:color="auto" w:fill="FFFFFF"/>
      <w:suppressAutoHyphens w:val="0"/>
      <w:spacing w:after="420" w:line="240" w:lineRule="atLeast"/>
      <w:outlineLvl w:val="3"/>
    </w:pPr>
    <w:rPr>
      <w:sz w:val="21"/>
      <w:szCs w:val="21"/>
    </w:rPr>
  </w:style>
  <w:style w:type="character" w:customStyle="1" w:styleId="469">
    <w:name w:val="Основной текст (2)_"/>
    <w:link w:val="470"/>
    <w:qFormat/>
    <w:locked/>
    <w:uiPriority w:val="0"/>
    <w:rPr>
      <w:sz w:val="23"/>
      <w:szCs w:val="23"/>
      <w:shd w:val="clear" w:color="auto" w:fill="FFFFFF"/>
    </w:rPr>
  </w:style>
  <w:style w:type="paragraph" w:customStyle="1" w:styleId="470">
    <w:name w:val="Основной текст (2)"/>
    <w:basedOn w:val="1"/>
    <w:link w:val="469"/>
    <w:qFormat/>
    <w:uiPriority w:val="0"/>
    <w:pPr>
      <w:shd w:val="clear" w:color="auto" w:fill="FFFFFF"/>
      <w:suppressAutoHyphens w:val="0"/>
      <w:spacing w:after="300" w:line="240" w:lineRule="atLeast"/>
    </w:pPr>
    <w:rPr>
      <w:sz w:val="23"/>
      <w:szCs w:val="23"/>
    </w:rPr>
  </w:style>
  <w:style w:type="character" w:customStyle="1" w:styleId="471">
    <w:name w:val="Основной текст4"/>
    <w:qFormat/>
    <w:uiPriority w:val="0"/>
    <w:rPr>
      <w:rFonts w:ascii="Times New Roman" w:hAnsi="Times New Roman" w:cs="Times New Roman"/>
      <w:spacing w:val="0"/>
      <w:sz w:val="21"/>
      <w:szCs w:val="21"/>
      <w:u w:val="single"/>
      <w:lang w:val="en-US"/>
    </w:rPr>
  </w:style>
  <w:style w:type="character" w:customStyle="1" w:styleId="472">
    <w:name w:val="Основной текст5"/>
    <w:qFormat/>
    <w:uiPriority w:val="0"/>
  </w:style>
  <w:style w:type="character" w:customStyle="1" w:styleId="473">
    <w:name w:val="Основной текст + Полужирный10"/>
    <w:qFormat/>
    <w:uiPriority w:val="0"/>
    <w:rPr>
      <w:rFonts w:ascii="Times New Roman" w:hAnsi="Times New Roman" w:cs="Times New Roman"/>
      <w:b/>
      <w:bCs/>
      <w:spacing w:val="0"/>
      <w:sz w:val="21"/>
      <w:szCs w:val="21"/>
    </w:rPr>
  </w:style>
  <w:style w:type="character" w:customStyle="1" w:styleId="474">
    <w:name w:val="Основной текст + Полужирный9"/>
    <w:qFormat/>
    <w:uiPriority w:val="0"/>
    <w:rPr>
      <w:rFonts w:ascii="Times New Roman" w:hAnsi="Times New Roman" w:cs="Times New Roman"/>
      <w:b/>
      <w:bCs/>
      <w:spacing w:val="0"/>
      <w:sz w:val="21"/>
      <w:szCs w:val="21"/>
    </w:rPr>
  </w:style>
  <w:style w:type="character" w:customStyle="1" w:styleId="475">
    <w:name w:val="Основной текст (4) + Не полужирный2"/>
    <w:qFormat/>
    <w:uiPriority w:val="0"/>
    <w:rPr>
      <w:rFonts w:ascii="Times New Roman" w:hAnsi="Times New Roman" w:cs="Times New Roman"/>
      <w:b/>
      <w:bCs/>
      <w:spacing w:val="0"/>
      <w:sz w:val="21"/>
      <w:szCs w:val="21"/>
    </w:rPr>
  </w:style>
  <w:style w:type="character" w:customStyle="1" w:styleId="476">
    <w:name w:val="Основной текст + Полужирный8"/>
    <w:qFormat/>
    <w:uiPriority w:val="0"/>
    <w:rPr>
      <w:rFonts w:ascii="Times New Roman" w:hAnsi="Times New Roman" w:cs="Times New Roman"/>
      <w:b/>
      <w:bCs/>
      <w:spacing w:val="0"/>
      <w:sz w:val="21"/>
      <w:szCs w:val="21"/>
    </w:rPr>
  </w:style>
  <w:style w:type="character" w:customStyle="1" w:styleId="477">
    <w:name w:val="Основной текст (4) + Не полужирный1"/>
    <w:qFormat/>
    <w:uiPriority w:val="0"/>
    <w:rPr>
      <w:rFonts w:ascii="Times New Roman" w:hAnsi="Times New Roman" w:cs="Times New Roman"/>
      <w:b/>
      <w:bCs/>
      <w:spacing w:val="0"/>
      <w:sz w:val="21"/>
      <w:szCs w:val="21"/>
    </w:rPr>
  </w:style>
  <w:style w:type="character" w:customStyle="1" w:styleId="478">
    <w:name w:val="Основной текст + Полужирный7"/>
    <w:uiPriority w:val="0"/>
    <w:rPr>
      <w:rFonts w:ascii="Times New Roman" w:hAnsi="Times New Roman" w:cs="Times New Roman"/>
      <w:b/>
      <w:bCs/>
      <w:spacing w:val="0"/>
      <w:sz w:val="21"/>
      <w:szCs w:val="21"/>
    </w:rPr>
  </w:style>
  <w:style w:type="character" w:customStyle="1" w:styleId="479">
    <w:name w:val="Основной текст + Полужирный6"/>
    <w:qFormat/>
    <w:uiPriority w:val="0"/>
    <w:rPr>
      <w:rFonts w:ascii="Times New Roman" w:hAnsi="Times New Roman" w:cs="Times New Roman"/>
      <w:b/>
      <w:bCs/>
      <w:spacing w:val="0"/>
      <w:sz w:val="21"/>
      <w:szCs w:val="21"/>
    </w:rPr>
  </w:style>
  <w:style w:type="character" w:customStyle="1" w:styleId="480">
    <w:name w:val="Основной текст + Полужирный5"/>
    <w:qFormat/>
    <w:uiPriority w:val="0"/>
    <w:rPr>
      <w:rFonts w:ascii="Times New Roman" w:hAnsi="Times New Roman" w:cs="Times New Roman"/>
      <w:b/>
      <w:bCs/>
      <w:spacing w:val="0"/>
      <w:sz w:val="21"/>
      <w:szCs w:val="21"/>
    </w:rPr>
  </w:style>
  <w:style w:type="character" w:customStyle="1" w:styleId="481">
    <w:name w:val="Основной текст + Полужирный4"/>
    <w:qFormat/>
    <w:uiPriority w:val="0"/>
    <w:rPr>
      <w:rFonts w:ascii="Times New Roman" w:hAnsi="Times New Roman" w:cs="Times New Roman"/>
      <w:b/>
      <w:bCs/>
      <w:spacing w:val="0"/>
      <w:sz w:val="21"/>
      <w:szCs w:val="21"/>
    </w:rPr>
  </w:style>
  <w:style w:type="character" w:customStyle="1" w:styleId="482">
    <w:name w:val="Основной текст + Полужирный3"/>
    <w:qFormat/>
    <w:uiPriority w:val="0"/>
    <w:rPr>
      <w:rFonts w:ascii="Times New Roman" w:hAnsi="Times New Roman" w:cs="Times New Roman"/>
      <w:b/>
      <w:bCs/>
      <w:spacing w:val="0"/>
      <w:sz w:val="21"/>
      <w:szCs w:val="21"/>
    </w:rPr>
  </w:style>
  <w:style w:type="character" w:customStyle="1" w:styleId="483">
    <w:name w:val="Основной текст + Полужирный2"/>
    <w:qFormat/>
    <w:uiPriority w:val="0"/>
    <w:rPr>
      <w:rFonts w:ascii="Times New Roman" w:hAnsi="Times New Roman" w:cs="Times New Roman"/>
      <w:b/>
      <w:bCs/>
      <w:spacing w:val="0"/>
      <w:sz w:val="21"/>
      <w:szCs w:val="21"/>
    </w:rPr>
  </w:style>
  <w:style w:type="character" w:customStyle="1" w:styleId="484">
    <w:name w:val="Основной текст6"/>
    <w:qFormat/>
    <w:uiPriority w:val="0"/>
  </w:style>
  <w:style w:type="character" w:customStyle="1" w:styleId="485">
    <w:name w:val="Основной текст + Полужирный1"/>
    <w:qFormat/>
    <w:uiPriority w:val="0"/>
    <w:rPr>
      <w:rFonts w:ascii="Times New Roman" w:hAnsi="Times New Roman" w:cs="Times New Roman"/>
      <w:b/>
      <w:bCs/>
      <w:spacing w:val="0"/>
      <w:sz w:val="21"/>
      <w:szCs w:val="21"/>
    </w:rPr>
  </w:style>
  <w:style w:type="paragraph" w:customStyle="1" w:styleId="486">
    <w:name w:val="Основной текст7"/>
    <w:basedOn w:val="1"/>
    <w:qFormat/>
    <w:uiPriority w:val="0"/>
    <w:pPr>
      <w:shd w:val="clear" w:color="auto" w:fill="FFFFFF"/>
      <w:suppressAutoHyphens w:val="0"/>
      <w:spacing w:before="6660" w:line="254" w:lineRule="exact"/>
      <w:jc w:val="center"/>
    </w:pPr>
    <w:rPr>
      <w:sz w:val="21"/>
      <w:szCs w:val="21"/>
    </w:rPr>
  </w:style>
  <w:style w:type="paragraph" w:customStyle="1" w:styleId="487">
    <w:name w:val="Основной текст (4)1"/>
    <w:basedOn w:val="1"/>
    <w:qFormat/>
    <w:uiPriority w:val="0"/>
    <w:pPr>
      <w:shd w:val="clear" w:color="auto" w:fill="FFFFFF"/>
      <w:suppressAutoHyphens w:val="0"/>
      <w:spacing w:before="60" w:after="60" w:line="240" w:lineRule="atLeast"/>
      <w:jc w:val="both"/>
    </w:pPr>
    <w:rPr>
      <w:sz w:val="21"/>
      <w:szCs w:val="21"/>
    </w:rPr>
  </w:style>
  <w:style w:type="character" w:customStyle="1" w:styleId="488">
    <w:name w:val="st"/>
    <w:qFormat/>
    <w:uiPriority w:val="0"/>
  </w:style>
  <w:style w:type="character" w:customStyle="1" w:styleId="489">
    <w:name w:val="Anrede1IhrZeichen"/>
    <w:qFormat/>
    <w:uiPriority w:val="0"/>
    <w:rPr>
      <w:rFonts w:ascii="Arial" w:hAnsi="Arial"/>
      <w:sz w:val="22"/>
    </w:rPr>
  </w:style>
  <w:style w:type="paragraph" w:customStyle="1" w:styleId="490">
    <w:name w:val="caaieiaie 2"/>
    <w:basedOn w:val="1"/>
    <w:next w:val="1"/>
    <w:qFormat/>
    <w:uiPriority w:val="0"/>
    <w:pPr>
      <w:keepNext/>
      <w:suppressAutoHyphens w:val="0"/>
      <w:spacing w:line="360" w:lineRule="atLeast"/>
      <w:jc w:val="center"/>
    </w:pPr>
    <w:rPr>
      <w:b/>
      <w:lang w:eastAsia="en-US"/>
    </w:rPr>
  </w:style>
  <w:style w:type="character" w:customStyle="1" w:styleId="491">
    <w:name w:val="Body text (2)_"/>
    <w:link w:val="492"/>
    <w:qFormat/>
    <w:uiPriority w:val="0"/>
    <w:rPr>
      <w:sz w:val="21"/>
      <w:szCs w:val="21"/>
      <w:shd w:val="clear" w:color="auto" w:fill="FFFFFF"/>
    </w:rPr>
  </w:style>
  <w:style w:type="paragraph" w:customStyle="1" w:styleId="492">
    <w:name w:val="Body text (2)"/>
    <w:basedOn w:val="1"/>
    <w:link w:val="491"/>
    <w:qFormat/>
    <w:uiPriority w:val="0"/>
    <w:pPr>
      <w:widowControl w:val="0"/>
      <w:shd w:val="clear" w:color="auto" w:fill="FFFFFF"/>
      <w:suppressAutoHyphens w:val="0"/>
      <w:spacing w:before="300" w:after="300" w:line="248" w:lineRule="exact"/>
      <w:jc w:val="both"/>
    </w:pPr>
    <w:rPr>
      <w:sz w:val="21"/>
      <w:szCs w:val="21"/>
    </w:rPr>
  </w:style>
  <w:style w:type="character" w:customStyle="1" w:styleId="493">
    <w:name w:val="Body text (2) Exact"/>
    <w:qFormat/>
    <w:uiPriority w:val="0"/>
    <w:rPr>
      <w:rFonts w:ascii="Times New Roman" w:hAnsi="Times New Roman" w:eastAsia="Times New Roman" w:cs="Times New Roman"/>
      <w:sz w:val="21"/>
      <w:szCs w:val="21"/>
      <w:u w:val="none"/>
    </w:rPr>
  </w:style>
  <w:style w:type="character" w:customStyle="1" w:styleId="494">
    <w:name w:val="Неразрешенное упоминание"/>
    <w:semiHidden/>
    <w:unhideWhenUsed/>
    <w:uiPriority w:val="99"/>
    <w:rPr>
      <w:color w:val="605E5C"/>
      <w:shd w:val="clear" w:color="auto" w:fill="E1DFDD"/>
    </w:rPr>
  </w:style>
  <w:style w:type="paragraph" w:customStyle="1" w:styleId="495">
    <w:name w:val="Îñíîâí"/>
    <w:basedOn w:val="1"/>
    <w:qFormat/>
    <w:uiPriority w:val="99"/>
    <w:pPr>
      <w:widowControl w:val="0"/>
      <w:suppressAutoHyphens w:val="0"/>
      <w:jc w:val="both"/>
    </w:pPr>
    <w:rPr>
      <w:rFonts w:ascii="Arial" w:hAnsi="Arial" w:cs="Arial"/>
      <w:sz w:val="22"/>
      <w:lang w:eastAsia="ru-RU"/>
    </w:rPr>
  </w:style>
  <w:style w:type="character" w:customStyle="1" w:styleId="496">
    <w:name w:val="Без интервала Знак"/>
    <w:link w:val="381"/>
    <w:qFormat/>
    <w:locked/>
    <w:uiPriority w:val="1"/>
    <w:rPr>
      <w:rFonts w:ascii="Arial" w:hAnsi="Arial"/>
      <w:sz w:val="18"/>
      <w:szCs w:val="18"/>
      <w:lang w:eastAsia="zh-CN" w:bidi="ar-SA"/>
    </w:rPr>
  </w:style>
  <w:style w:type="paragraph" w:customStyle="1" w:styleId="497">
    <w:name w:val="договор 223"/>
    <w:basedOn w:val="1"/>
    <w:link w:val="498"/>
    <w:qFormat/>
    <w:uiPriority w:val="0"/>
    <w:pPr>
      <w:numPr>
        <w:ilvl w:val="1"/>
        <w:numId w:val="4"/>
      </w:numPr>
      <w:tabs>
        <w:tab w:val="left" w:pos="709"/>
        <w:tab w:val="left" w:pos="993"/>
      </w:tabs>
      <w:suppressAutoHyphens w:val="0"/>
      <w:overflowPunct w:val="0"/>
      <w:autoSpaceDE w:val="0"/>
      <w:autoSpaceDN w:val="0"/>
      <w:adjustRightInd w:val="0"/>
      <w:ind w:left="0" w:firstLine="567"/>
      <w:jc w:val="both"/>
    </w:pPr>
    <w:rPr>
      <w:bCs/>
      <w:sz w:val="22"/>
      <w:szCs w:val="22"/>
    </w:rPr>
  </w:style>
  <w:style w:type="character" w:customStyle="1" w:styleId="498">
    <w:name w:val="договор 223 Знак"/>
    <w:link w:val="497"/>
    <w:qFormat/>
    <w:uiPriority w:val="0"/>
    <w:rPr>
      <w:bCs/>
      <w:sz w:val="22"/>
      <w:szCs w:val="22"/>
    </w:rPr>
  </w:style>
  <w:style w:type="paragraph" w:customStyle="1" w:styleId="499">
    <w:name w:val="Times 12"/>
    <w:basedOn w:val="1"/>
    <w:qFormat/>
    <w:uiPriority w:val="0"/>
    <w:pPr>
      <w:suppressAutoHyphens w:val="0"/>
      <w:overflowPunct w:val="0"/>
      <w:autoSpaceDE w:val="0"/>
      <w:autoSpaceDN w:val="0"/>
      <w:adjustRightInd w:val="0"/>
      <w:ind w:firstLine="567"/>
      <w:jc w:val="both"/>
    </w:pPr>
    <w:rPr>
      <w:bCs/>
      <w:snapToGrid w:val="0"/>
      <w:szCs w:val="22"/>
      <w:lang w:eastAsia="ru-RU"/>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numbering" Target="numbering.xml"/><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0148C-21EA-4F87-933E-C5E81A91AE9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9183</Words>
  <Characters>52345</Characters>
  <Lines>436</Lines>
  <Paragraphs>122</Paragraphs>
  <TotalTime>2</TotalTime>
  <ScaleCrop>false</ScaleCrop>
  <LinksUpToDate>false</LinksUpToDate>
  <CharactersWithSpaces>61406</CharactersWithSpaces>
  <Application>WPS Office_11.2.0.11156_F1E327BC-269C-435d-A152-05C5408002CA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2021-12-07T11:48:00Z</dcterms:created>
  <dc:creator>odir</dc:creator>
  <cp:lastModifiedBy>KarelAuto</cp:lastModifiedBy>
  <cp:lastPrinted>2021-12-07T11:35:00Z</cp:lastPrinted>
  <dcterms:modified xsi:type="dcterms:W3CDTF">2022-10-03T08:56:40Z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1049-11.2.0.11156</vt:lpwstr>
  </property>
  <property fmtid="{D5CDD505-2E9C-101B-9397-08002B2CF9AE}" pid="3" name="ICV">
    <vt:lpwstr>19AF72B6B6F84D569C6C1767C1078702</vt:lpwstr>
  </property>
</Properties>
</file>