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1940" w14:textId="1A15BAE1" w:rsidR="00BE35E3" w:rsidRDefault="00BE35E3" w:rsidP="00BE35E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№2 </w:t>
      </w:r>
    </w:p>
    <w:p w14:paraId="353B98FB" w14:textId="4EAF16FD" w:rsidR="00A5577B" w:rsidRDefault="00BE35E3" w:rsidP="00BE35E3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123ECE" wp14:editId="4B6DBF18">
            <wp:simplePos x="0" y="0"/>
            <wp:positionH relativeFrom="column">
              <wp:posOffset>224155</wp:posOffset>
            </wp:positionH>
            <wp:positionV relativeFrom="paragraph">
              <wp:posOffset>385445</wp:posOffset>
            </wp:positionV>
            <wp:extent cx="8418195" cy="6068695"/>
            <wp:effectExtent l="0" t="0" r="1905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4" t="7760" r="26946" b="8638"/>
                    <a:stretch/>
                  </pic:blipFill>
                  <pic:spPr bwMode="auto">
                    <a:xfrm>
                      <a:off x="0" y="0"/>
                      <a:ext cx="8418195" cy="6068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95A">
        <w:rPr>
          <w:rFonts w:ascii="Times New Roman" w:hAnsi="Times New Roman" w:cs="Times New Roman"/>
          <w:sz w:val="24"/>
          <w:szCs w:val="24"/>
        </w:rPr>
        <w:t>к Техническому заданию на выполнение работ по модернизации системы освещения Центрального автовокзала г. Волгограда на объекте ГУП «ВОП «Вокзал-Авто» по адресу: Волгоградская обл., г Волгоград, Центральный р-н, ул. им Михаила Балонина, д 11</w:t>
      </w:r>
    </w:p>
    <w:sectPr w:rsidR="00A5577B" w:rsidSect="00BE35E3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C4"/>
    <w:rsid w:val="00682AC4"/>
    <w:rsid w:val="009A7C16"/>
    <w:rsid w:val="00A5577B"/>
    <w:rsid w:val="00BE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E325"/>
  <w15:chartTrackingRefBased/>
  <w15:docId w15:val="{B4CD4432-60D5-4DB5-B199-711C0853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2022-08-17T10:06:00Z</dcterms:created>
  <dcterms:modified xsi:type="dcterms:W3CDTF">2022-09-09T13:09:00Z</dcterms:modified>
</cp:coreProperties>
</file>