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Техническое задание на оказание услуг финансовой аренды (лизинга) </w:t>
      </w:r>
      <w:r>
        <w:rPr>
          <w:rFonts w:ascii="Times New Roman" w:hAnsi="Times New Roman" w:eastAsia="Calibri"/>
          <w:b/>
        </w:rPr>
        <w:t xml:space="preserve">на поставку оборудования и материалов системы отопления здания с последующим монтажом данного оборудования и материалов</w:t>
      </w:r>
      <w:r/>
    </w:p>
    <w:p>
      <w:pPr>
        <w:spacing w:after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1. Общие требования оказания услуг: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1.1. Услуга оказывается в соответствии с настоящим техническим заданием закупки и условиями проекта </w:t>
      </w:r>
      <w:r>
        <w:rPr>
          <w:rFonts w:ascii="Times New Roman" w:hAnsi="Times New Roman" w:eastAsia="Calibri"/>
        </w:rPr>
        <w:t xml:space="preserve">Договора.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1.2. Лизингодатель в соответствии с условиями Договора обязуется приобрести в собственность оборудование и материалы с последующим монтажом, технические характеристики которых приведены в таблице №1, и передать Предмет лизинга за плату во временн</w:t>
      </w:r>
      <w:r>
        <w:rPr>
          <w:rFonts w:ascii="Times New Roman" w:hAnsi="Times New Roman" w:eastAsia="Calibri"/>
        </w:rPr>
        <w:t xml:space="preserve">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1.3. Лизинговые платежи за предоставленный в финансовую</w:t>
      </w:r>
      <w:r>
        <w:rPr>
          <w:rFonts w:ascii="Times New Roman" w:hAnsi="Times New Roman" w:eastAsia="Calibri"/>
        </w:rPr>
        <w:t xml:space="preserve">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1.4. Лизингополучатель обязан производить оплату лизинговых плате</w:t>
      </w:r>
      <w:r>
        <w:rPr>
          <w:rFonts w:ascii="Times New Roman" w:hAnsi="Times New Roman" w:eastAsia="Calibri"/>
        </w:rPr>
        <w:t xml:space="preserve">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1.5. Авансовый платеж составляе</w:t>
      </w:r>
      <w:r>
        <w:rPr>
          <w:rFonts w:ascii="Times New Roman" w:hAnsi="Times New Roman" w:eastAsia="Calibri"/>
        </w:rPr>
        <w:t xml:space="preserve">т </w:t>
      </w:r>
      <w:r>
        <w:rPr>
          <w:rFonts w:ascii="Times New Roman" w:hAnsi="Times New Roman" w:eastAsia="Calibri"/>
        </w:rPr>
        <w:t xml:space="preserve">45</w:t>
      </w:r>
      <w:r>
        <w:rPr>
          <w:rFonts w:ascii="Times New Roman" w:hAnsi="Times New Roman" w:eastAsia="Calibri"/>
        </w:rPr>
        <w:t xml:space="preserve"> % от стоимости предмета лизинга (Имущества) и оплачивается Лизингополучателем </w:t>
      </w:r>
      <w:r>
        <w:rPr>
          <w:rFonts w:ascii="Times New Roman" w:hAnsi="Times New Roman" w:eastAsia="Calibri"/>
          <w:highlight w:val="yellow"/>
        </w:rPr>
        <w:t xml:space="preserve">в течение 5 (пяти) рабочих дней с даты подписания Договора</w:t>
      </w:r>
      <w:r>
        <w:rPr>
          <w:rFonts w:ascii="Times New Roman" w:hAnsi="Times New Roman" w:eastAsia="Calibri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 xml:space="preserve">2. Срок лизинга по Договору:</w:t>
      </w:r>
      <w:r>
        <w:rPr>
          <w:rFonts w:ascii="Times New Roman" w:hAnsi="Times New Roman" w:eastAsia="Calibri"/>
        </w:rPr>
        <w:t xml:space="preserve"> составляет 36 (тридцать шесть) месяцев и начинается с даты подписания Актов приема п</w:t>
      </w:r>
      <w:r>
        <w:rPr>
          <w:rFonts w:ascii="Times New Roman" w:hAnsi="Times New Roman" w:eastAsia="Calibri"/>
        </w:rPr>
        <w:t xml:space="preserve">ередачи предмета лизинга.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2.1. По истечении срока лизинга, Имущество переходит в собственность Лизингополучателя в порядке и сроки, установленные Договором.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2.2. Предмет лизинга передается в лизинг вместе со всеми принадлежностями и со всеми документами (т</w:t>
      </w:r>
      <w:r>
        <w:rPr>
          <w:rFonts w:ascii="Times New Roman" w:hAnsi="Times New Roman" w:eastAsia="Calibri"/>
        </w:rPr>
        <w:t xml:space="preserve">ехническим паспортом, гарантийным талоном и другими документами, необходимыми при пользовании Предметом лизинга) </w:t>
      </w:r>
      <w:r>
        <w:rPr>
          <w:rFonts w:ascii="Times New Roman" w:hAnsi="Times New Roman" w:eastAsia="Calibri"/>
          <w:highlight w:val="yellow"/>
        </w:rPr>
        <w:t xml:space="preserve">в течение 14 календарных дней с даты заключения договора</w:t>
      </w:r>
      <w:r>
        <w:rPr>
          <w:rFonts w:ascii="Times New Roman" w:hAnsi="Times New Roman" w:eastAsia="Calibri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3. Адрес поставки:</w:t>
      </w:r>
      <w:r>
        <w:rPr>
          <w:rFonts w:ascii="Times New Roman" w:hAnsi="Times New Roman" w:eastAsia="Calibri"/>
        </w:rPr>
        <w:t xml:space="preserve"> Поставка, </w:t>
      </w:r>
      <w:r>
        <w:rPr>
          <w:rFonts w:ascii="Times New Roman" w:hAnsi="Times New Roman"/>
          <w:bCs/>
        </w:rPr>
        <w:t xml:space="preserve">Монтаж и ПНР </w:t>
      </w:r>
      <w:r>
        <w:rPr>
          <w:rFonts w:ascii="Times New Roman" w:hAnsi="Times New Roman" w:eastAsia="Calibri"/>
        </w:rPr>
        <w:t xml:space="preserve">предмета лизинга Лизингополучателю осуществ</w:t>
      </w:r>
      <w:r>
        <w:rPr>
          <w:rFonts w:ascii="Times New Roman" w:hAnsi="Times New Roman" w:eastAsia="Calibri"/>
        </w:rPr>
        <w:t xml:space="preserve">ляется Лизингодателем по согласованию с Лизингополучателем, по адресу: 301664, Россия, Тульская область, Новомосковский район, г. Новомосковск, ул. Новая, дом 1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 xml:space="preserve">4. Срок поставки, </w:t>
      </w:r>
      <w:r>
        <w:rPr>
          <w:rFonts w:ascii="Times New Roman" w:hAnsi="Times New Roman"/>
          <w:b/>
          <w:bCs/>
        </w:rPr>
        <w:t xml:space="preserve">монтажа и ПНР </w:t>
      </w:r>
      <w:r>
        <w:rPr>
          <w:rFonts w:ascii="Times New Roman" w:hAnsi="Times New Roman" w:eastAsia="Calibri"/>
          <w:b/>
          <w:bCs/>
        </w:rPr>
        <w:t xml:space="preserve">предмета лизинга:</w:t>
      </w:r>
      <w:r>
        <w:rPr>
          <w:rFonts w:ascii="Times New Roman" w:hAnsi="Times New Roman" w:eastAsia="Calibri"/>
        </w:rPr>
        <w:t xml:space="preserve"> в течение 60-ти (шестидесяти) календарных дне</w:t>
      </w:r>
      <w:r>
        <w:rPr>
          <w:rFonts w:ascii="Times New Roman" w:hAnsi="Times New Roman" w:eastAsia="Calibri"/>
        </w:rPr>
        <w:t xml:space="preserve">й с момента оплаты авансового платежа.</w:t>
      </w:r>
      <w:r/>
    </w:p>
    <w:p>
      <w:pPr>
        <w:ind w:left="-426"/>
        <w:jc w:val="right"/>
        <w:keepNext/>
        <w:spacing w:after="0"/>
        <w:tabs>
          <w:tab w:val="left" w:pos="4185" w:leader="none"/>
        </w:tabs>
        <w:rPr>
          <w:rFonts w:ascii="Times New Roman" w:hAnsi="Times New Roman"/>
          <w:b/>
          <w:bCs/>
          <w:lang w:eastAsia="ru-RU"/>
        </w:rPr>
        <w:outlineLvl w:val="0"/>
      </w:pPr>
      <w:r>
        <w:rPr>
          <w:rFonts w:ascii="Times New Roman" w:hAnsi="Times New Roman"/>
          <w:b/>
          <w:bCs/>
          <w:lang w:eastAsia="ru-RU"/>
        </w:rPr>
        <w:t xml:space="preserve">Таблица №1. Предмет лизинга</w:t>
      </w:r>
      <w:r>
        <w:rPr>
          <w:rFonts w:ascii="Times New Roman" w:hAnsi="Times New Roman" w:eastAsia="NSimSun"/>
          <w:b/>
          <w:bCs/>
          <w:lang w:eastAsia="ru-RU"/>
        </w:rPr>
        <w:t xml:space="preserve">:</w:t>
      </w:r>
      <w:r/>
    </w:p>
    <w:tbl>
      <w:tblPr>
        <w:tblStyle w:val="860"/>
        <w:tblW w:w="9351" w:type="dxa"/>
        <w:tblLook w:val="04A0" w:firstRow="1" w:lastRow="0" w:firstColumn="1" w:lastColumn="0" w:noHBand="0" w:noVBand="1"/>
      </w:tblPr>
      <w:tblGrid>
        <w:gridCol w:w="546"/>
        <w:gridCol w:w="6975"/>
        <w:gridCol w:w="847"/>
        <w:gridCol w:w="983"/>
      </w:tblGrid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№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Наименование товара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Кол-во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Ед. изм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Котел пеллетный Belkomin TIS Pellet-95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стальной неоцинкованный конический Дн 57х3,0-38х2,5 бесшовный ГОСТ 17378- 2001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стальной неоцинкованный Ду32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стальной неоцинкованный конический 32/25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Разъемное соединение прямое ВР-НР никелированное 1 1/4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 Ду32 G1 1/4-B ГОСТ 3262-75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Группа безопасности котла KSG 30, стальная консоль,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Термометр биметаллический, тип F+R801, Watts T 63/50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ВР-НР, ручка-бабочка,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со сгоном НР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Обратный клапан пружинный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Циркуляционный насос Wilo Star-RS 25/6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Ниппель 1" нар.-нар.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переходной ВР никелированный 1х1/2х1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Расширительный мембранный бак Flexcon R 110 Flamco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стальной кран сварка/сварка, с рукояткой Ду 32 LD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Манометр MDR (F+R200), подключение снизу,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ВР-ВР с дренажем и воздухоотводчиком, Ду 15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правая, ГОСТ 3262-75 Ду15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Фильтр сетчатый латунный резьбовой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редукционная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НР со штуцером и пробкой, Ду 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сталь вгп 32х3.2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сталь вгп 25х2,8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Отвод крутоизогнутый стальной 90°, ГОСТ 17375-2001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Отвод крутоизогнутый стальной 90°, ГОСТ 17375-2001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Уголок сталь 50х5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Каучуковая изоляция в трубках (по 2 м) ST, K-Flex 35/9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Каучуковая изоляция в трубках ST K-Flex 28/9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Лента самоклеящаяся ST, K-Flex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Электроды ESAB ОК-46 3мм (пачка 5,3кг)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Грунт ГФ-021 серый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полнопроходной ВР-НР Ду 32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Циркуляционный насос Wilo-TOP-S 30/4 резьбовой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Разъемное соединение для циркуляционных насосов 1 1/4 x 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Ниппель прямой НР никелированный 1 1/4"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Обратный клапан пружинный Europa ду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Гель Сантехмастер Синий 60г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 50 х 1 1/2", с внутренней резьбой, под ключ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 никелированная, RTP 1 1/2 x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адаптер котла d220/300 толщина 0,8мм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дымовой факел d220/300 толщина 0,5мм нерж</w:t>
            </w:r>
            <w:r>
              <w:rPr>
                <w:rFonts w:eastAsia="NSimSun"/>
                <w:sz w:val="22"/>
                <w:szCs w:val="22"/>
              </w:rPr>
              <w:t xml:space="preserve">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труба утепленная d220/300 длина 1м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тройник утепленный d220/300 угол 90"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юбка d300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заглушка с отверстием d220/300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Пластина опорная с патрубком 1,5 мм/0,8мм Ф 220/300, Монт+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заглушка глухая d220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Опорная конструкция для дымохода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Тепловентилятор Volcano VR1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Контроллер HMI VOLCANO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</w:t>
            </w:r>
            <w:r>
              <w:rPr>
                <w:rFonts w:eastAsia="NSimSun"/>
                <w:sz w:val="22"/>
                <w:szCs w:val="22"/>
              </w:rPr>
              <w:t xml:space="preserve">, армированная стекловолокном 50х6.9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40х5.5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32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50 ProAqua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40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50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одинарная, белая,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наружн./внутр., БЕЛЫЙ 50х40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наружн./внутр., БЕЛЫЙ, Pro Aqua 50х32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 40х32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50х32х50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40х32х40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 редукционная НР/ВР латунная 3/4х1/2 General Fittings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наружной резьбой 32х3/4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внутренней резьбой 32*3/4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ВР-НР 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Задвижка клиновидная ВВ латунная PN10, UNI-FITT Ду20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переходной ВР никелированный 3/4х1/2х3/4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Автоматический воздухоотводчик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обжимная латунная разъемная 20х3/4" нр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обжимная латунная разъемная 20х3/4" вр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гофрированная из нержавеющей стали,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Алюминиевый секционный радиатор Ardente C2 500/100 14 секций Fondital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Кронштейн универсальный для радиаторов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Универсальный монтажный комплект без кронштейнов 7 в 1 1/2"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Вентиль радиаторный, угловой, ручной регулировки, MVI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Клапан настроечный, угловой, MVI 1/2''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наружной резьбой 20х1/2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20, белая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20,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20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одинарная, белая,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Кронштейн пластиковый c фиксатором 32 мм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25х20х25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PPR редукционный, внутр./внутр., БЕЛЫЙ, Pro Aqua 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PPR редукционный, внутр./внутр. 32х25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Автоматика и электрика (электрический шкаф, провода для электроподключения приборов отопления)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Стабилизатор напряжения релейный АРС-2000 для котлов Энергия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Монтажные работы.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 w:eastAsia="NSimSun"/>
          <w:b/>
          <w:bCs/>
        </w:rPr>
        <w:t xml:space="preserve">5. Требования к оборудованию и материалам:</w:t>
      </w:r>
      <w:r>
        <w:rPr>
          <w:rFonts w:ascii="Times New Roman" w:hAnsi="Times New Roman" w:eastAsia="Calibri"/>
        </w:rPr>
        <w:t xml:space="preserve"> 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5.1. Пост</w:t>
      </w:r>
      <w:r>
        <w:rPr>
          <w:rFonts w:cs="Times New Roman"/>
          <w:sz w:val="22"/>
          <w:szCs w:val="22"/>
          <w:lang w:val="ru-RU"/>
        </w:rPr>
        <w:t xml:space="preserve">авляемое оборудование и материалы должны быть разрешены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</w:t>
      </w:r>
      <w:r>
        <w:rPr>
          <w:rFonts w:cs="Times New Roman"/>
          <w:sz w:val="22"/>
          <w:szCs w:val="22"/>
          <w:lang w:val="ru-RU"/>
        </w:rPr>
        <w:t xml:space="preserve">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5.2. Поставляемое оборудование и материалы должны являться новым, ранее не исполь</w:t>
      </w:r>
      <w:r>
        <w:rPr>
          <w:rFonts w:cs="Times New Roman"/>
          <w:sz w:val="22"/>
          <w:szCs w:val="22"/>
          <w:lang w:val="ru-RU"/>
        </w:rPr>
        <w:t xml:space="preserve">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5.3</w:t>
      </w:r>
      <w:r>
        <w:rPr>
          <w:rFonts w:cs="Times New Roman"/>
          <w:sz w:val="22"/>
          <w:szCs w:val="22"/>
          <w:lang w:val="ru-RU"/>
        </w:rPr>
        <w:t xml:space="preserve">. Вся сопроводительная информация о поставляемом оборудовании и материалах должна быть на </w:t>
      </w:r>
      <w:hyperlink r:id="rId10" w:tooltip="Русский язык" w:history="1">
        <w:r>
          <w:rPr>
            <w:rStyle w:val="867"/>
            <w:rFonts w:cs="Times New Roman"/>
            <w:color w:val="auto"/>
            <w:sz w:val="22"/>
            <w:szCs w:val="22"/>
            <w:u w:val="none"/>
            <w:lang w:val="ru-RU"/>
          </w:rPr>
          <w:t xml:space="preserve">русском языке</w:t>
        </w:r>
      </w:hyperlink>
      <w:r>
        <w:rPr>
          <w:rFonts w:cs="Times New Roman"/>
          <w:sz w:val="22"/>
          <w:szCs w:val="22"/>
          <w:lang w:val="ru-RU"/>
        </w:rPr>
        <w:t xml:space="preserve"> (перевод на русский язык). Товар должен иметь маркировочные ярлыки (</w:t>
      </w:r>
      <w:r>
        <w:rPr>
          <w:rFonts w:cs="Times New Roman"/>
          <w:sz w:val="22"/>
          <w:szCs w:val="22"/>
          <w:lang w:val="ru-RU"/>
        </w:rPr>
        <w:t xml:space="preserve">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5.4. Поставляемое оборудование и материалы должны </w:t>
      </w:r>
      <w:r>
        <w:rPr>
          <w:rFonts w:cs="Times New Roman"/>
          <w:sz w:val="22"/>
          <w:szCs w:val="22"/>
          <w:lang w:val="ru-RU"/>
        </w:rPr>
        <w:t xml:space="preserve">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5.5. Поставляемое оборудование и материалы должны от</w:t>
      </w:r>
      <w:r>
        <w:rPr>
          <w:rFonts w:cs="Times New Roman"/>
          <w:sz w:val="22"/>
          <w:szCs w:val="22"/>
          <w:lang w:val="ru-RU"/>
        </w:rPr>
        <w:t xml:space="preserve">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/>
    </w:p>
    <w:p>
      <w:pPr>
        <w:spacing w:after="0"/>
        <w:rPr>
          <w:rFonts w:ascii="Times New Roman" w:hAnsi="Times New Roman" w:eastAsia="SimSun"/>
          <w:b/>
          <w:bCs/>
          <w:lang w:bidi="hi-IN" w:eastAsia="hi-IN"/>
        </w:rPr>
      </w:pPr>
      <w:r>
        <w:rPr>
          <w:rFonts w:ascii="Times New Roman" w:hAnsi="Times New Roman" w:eastAsia="SimSun"/>
          <w:b/>
          <w:bCs/>
          <w:lang w:bidi="hi-IN" w:eastAsia="hi-IN"/>
        </w:rPr>
        <w:t xml:space="preserve">6. Требования к монтажным работам.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6.1. Монтажные р</w:t>
      </w:r>
      <w:r>
        <w:rPr>
          <w:rFonts w:ascii="Times New Roman" w:hAnsi="Times New Roman" w:eastAsia="SimSun"/>
          <w:bCs/>
          <w:lang w:bidi="hi-IN" w:eastAsia="hi-IN"/>
        </w:rPr>
        <w:t xml:space="preserve">аботы должны быть выполнены в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/>
    </w:p>
    <w:p>
      <w:pPr>
        <w:pStyle w:val="667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Федеральный закон №52-ФЗ от 30.03.99г. «</w:t>
      </w:r>
      <w:r>
        <w:rPr>
          <w:b w:val="0"/>
          <w:spacing w:val="2"/>
          <w:sz w:val="22"/>
          <w:szCs w:val="22"/>
        </w:rPr>
        <w:t xml:space="preserve">О санитарно-эпидеми</w:t>
      </w:r>
      <w:r>
        <w:rPr>
          <w:b w:val="0"/>
          <w:spacing w:val="2"/>
          <w:sz w:val="22"/>
          <w:szCs w:val="22"/>
        </w:rPr>
        <w:t xml:space="preserve">ологическом благополучии населения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»;</w:t>
      </w:r>
      <w:r/>
    </w:p>
    <w:p>
      <w:pPr>
        <w:pStyle w:val="667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</w:t>
      </w:r>
      <w:r>
        <w:rPr>
          <w:b w:val="0"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Федеральном зако</w:t>
      </w:r>
      <w:r>
        <w:rPr>
          <w:rFonts w:ascii="Times New Roman" w:hAnsi="Times New Roman" w:eastAsia="SimSun"/>
          <w:bCs/>
          <w:lang w:bidi="hi-IN" w:eastAsia="hi-IN"/>
        </w:rPr>
        <w:t xml:space="preserve">не от 22.07.2008 № 123-ФЗ «Технический регламент о требованиях пожарной безопасности (последняя редакция)»;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СНиП 12-03-2001 «Безопасность труда в строительстве Часть 1. Общие требования»;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СНиП 12-04-2002 «Безопасность труда в строительстве Часть 2. Стр</w:t>
      </w:r>
      <w:r>
        <w:rPr>
          <w:rFonts w:ascii="Times New Roman" w:hAnsi="Times New Roman" w:eastAsia="SimSun"/>
          <w:bCs/>
          <w:lang w:bidi="hi-IN" w:eastAsia="hi-IN"/>
        </w:rPr>
        <w:t xml:space="preserve">оительное производство»;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Федеральный закон от 21.12.1994 № 69-ФЗ «О пожарной безопасности» (с Изменениями);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Федеральный закон от 27.12.2002 № 184-ФЗ «О техническом регулировании» (с Изменениями);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</w:rPr>
        <w:t xml:space="preserve">Федеральным законом от 30.12.2009 № 384-ФЗ «</w:t>
      </w:r>
      <w:r>
        <w:rPr>
          <w:rFonts w:ascii="Times New Roman" w:hAnsi="Times New Roman"/>
          <w:bCs/>
          <w:shd w:val="clear" w:color="auto" w:fill="ffffff"/>
        </w:rPr>
        <w:t xml:space="preserve">Технически</w:t>
      </w:r>
      <w:r>
        <w:rPr>
          <w:rFonts w:ascii="Times New Roman" w:hAnsi="Times New Roman"/>
          <w:bCs/>
          <w:shd w:val="clear" w:color="auto" w:fill="ffffff"/>
        </w:rPr>
        <w:t xml:space="preserve">й регламент о безопасности зданий и сооружений </w:t>
      </w:r>
      <w:r>
        <w:rPr>
          <w:rFonts w:ascii="Times New Roman" w:hAnsi="Times New Roman"/>
          <w:shd w:val="clear" w:color="auto" w:fill="ffffff"/>
        </w:rPr>
        <w:t xml:space="preserve">(с изменениями)»;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Рабочая документация «Устройство системы отопления здания, расположенного по адресу: Тульская область, г. Новомосковск. Система отопления. ПР127/22-ОВ»;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118.13330.2022 «Свод правил. Об</w:t>
      </w:r>
      <w:r>
        <w:rPr>
          <w:rFonts w:ascii="Times New Roman" w:hAnsi="Times New Roman"/>
        </w:rPr>
        <w:t xml:space="preserve">щественные здания и сооружения. Актуализированная редакция СНиП 31-06-2009»;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70.13330.2012 «Свод правил. Несущие и ограждающие конструкции. Актуализированная редакция СНиП 3.03.01-87»;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60.13330.2020 «Свод правил. Отопление, вентиляция и кондицион</w:t>
      </w:r>
      <w:r>
        <w:rPr>
          <w:rFonts w:ascii="Times New Roman" w:hAnsi="Times New Roman"/>
        </w:rPr>
        <w:t xml:space="preserve">ирование воздуха»;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7.13130.2013 «Свод правил. Отопления, вентиляция и кондиционирование. Требования пожарной безопасности»;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89.13330.2016 «Свод правил. Котельные установки. Актуализированная редакция СНиП II-35-76»;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73.13330.2016 «Свод прави</w:t>
      </w:r>
      <w:r>
        <w:rPr>
          <w:rFonts w:ascii="Times New Roman" w:hAnsi="Times New Roman"/>
        </w:rPr>
        <w:t xml:space="preserve">л. Внутренние санитарно-технические системы зданий»;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/>
          <w:bCs/>
          <w:shd w:val="clear" w:color="auto" w:fill="ffffff"/>
        </w:rPr>
        <w:t xml:space="preserve">- И иные </w:t>
      </w:r>
      <w:r>
        <w:rPr>
          <w:rFonts w:ascii="Times New Roman" w:hAnsi="Times New Roman" w:eastAsia="SimSun"/>
          <w:bCs/>
          <w:lang w:bidi="hi-IN" w:eastAsia="hi-IN"/>
        </w:rPr>
        <w:t xml:space="preserve">государственные стандарты, действующие строительные нормы и правила, НПБ, </w:t>
      </w:r>
      <w:r>
        <w:rPr>
          <w:rFonts w:ascii="Times New Roman" w:hAnsi="Times New Roman" w:eastAsia="SimSun"/>
          <w:bCs/>
          <w:lang w:bidi="hi-IN" w:eastAsia="hi-IN"/>
        </w:rPr>
        <w:t xml:space="preserve">технические регламенты, санитарные нормы и правила, предназначенные для данных видов работ.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6.2. </w:t>
      </w:r>
      <w:r>
        <w:rPr>
          <w:rFonts w:ascii="Times New Roman" w:hAnsi="Times New Roman" w:eastAsia="SimSun"/>
          <w:lang w:bidi="hi-IN" w:eastAsia="hi-IN"/>
        </w:rPr>
        <w:t xml:space="preserve">В соответствии с условиями Договора гарантийный срок на монтажные работы – не менее 12-ти (двенадцати) месяцев с момента приёмки выполненных работ.</w:t>
      </w:r>
      <w:r/>
    </w:p>
    <w:p>
      <w:pPr>
        <w:pStyle w:val="866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andale sans ui">
    <w:panose1 w:val="020B0604030504040204"/>
  </w:font>
  <w:font w:name="arial mt">
    <w:panose1 w:val="020B0402020200020204"/>
  </w:font>
  <w:font w:name="Tahoma">
    <w:panose1 w:val="020B0604030504040204"/>
  </w:font>
  <w:font w:name="Courier New">
    <w:panose1 w:val="02070309020205020404"/>
  </w:font>
  <w:font w:name="Mangal">
    <w:panose1 w:val="02020603050405020304"/>
  </w:font>
  <w:font w:name="SimSun">
    <w:panose1 w:val="02020603020101020101"/>
  </w:font>
  <w:font w:name="Calibri">
    <w:panose1 w:val="020F0502020204030204"/>
  </w:font>
  <w:font w:name="NSimSun">
    <w:panose1 w:val="02020603020101020101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rFonts w:cs="Times New Roman" w:eastAsia="Times New Roman"/>
    </w:rPr>
  </w:style>
  <w:style w:type="paragraph" w:styleId="667">
    <w:name w:val="Heading 1"/>
    <w:basedOn w:val="666"/>
    <w:link w:val="87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668">
    <w:name w:val="Heading 2"/>
    <w:basedOn w:val="666"/>
    <w:next w:val="666"/>
    <w:link w:val="696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69">
    <w:name w:val="Heading 3"/>
    <w:basedOn w:val="666"/>
    <w:next w:val="666"/>
    <w:link w:val="697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70">
    <w:name w:val="Heading 4"/>
    <w:basedOn w:val="666"/>
    <w:next w:val="666"/>
    <w:link w:val="698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666"/>
    <w:next w:val="666"/>
    <w:link w:val="699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666"/>
    <w:next w:val="666"/>
    <w:link w:val="700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73">
    <w:name w:val="Heading 7"/>
    <w:basedOn w:val="666"/>
    <w:next w:val="666"/>
    <w:link w:val="70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74">
    <w:name w:val="Heading 8"/>
    <w:basedOn w:val="666"/>
    <w:next w:val="666"/>
    <w:link w:val="702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75">
    <w:name w:val="Heading 9"/>
    <w:basedOn w:val="666"/>
    <w:next w:val="666"/>
    <w:link w:val="703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2 Char"/>
    <w:basedOn w:val="676"/>
    <w:uiPriority w:val="9"/>
    <w:rPr>
      <w:rFonts w:ascii="Arial" w:hAnsi="Arial" w:cs="Arial" w:eastAsia="Arial"/>
      <w:sz w:val="34"/>
    </w:rPr>
  </w:style>
  <w:style w:type="character" w:styleId="680" w:customStyle="1">
    <w:name w:val="Heading 3 Char"/>
    <w:basedOn w:val="676"/>
    <w:uiPriority w:val="9"/>
    <w:rPr>
      <w:rFonts w:ascii="Arial" w:hAnsi="Arial" w:cs="Arial" w:eastAsia="Arial"/>
      <w:sz w:val="30"/>
      <w:szCs w:val="30"/>
    </w:rPr>
  </w:style>
  <w:style w:type="character" w:styleId="681" w:customStyle="1">
    <w:name w:val="Heading 4 Char"/>
    <w:basedOn w:val="676"/>
    <w:uiPriority w:val="9"/>
    <w:rPr>
      <w:rFonts w:ascii="Arial" w:hAnsi="Arial" w:cs="Arial" w:eastAsia="Arial"/>
      <w:b/>
      <w:bCs/>
      <w:sz w:val="26"/>
      <w:szCs w:val="26"/>
    </w:rPr>
  </w:style>
  <w:style w:type="character" w:styleId="682" w:customStyle="1">
    <w:name w:val="Heading 5 Char"/>
    <w:basedOn w:val="676"/>
    <w:uiPriority w:val="9"/>
    <w:rPr>
      <w:rFonts w:ascii="Arial" w:hAnsi="Arial" w:cs="Arial" w:eastAsia="Arial"/>
      <w:b/>
      <w:bCs/>
      <w:sz w:val="24"/>
      <w:szCs w:val="24"/>
    </w:rPr>
  </w:style>
  <w:style w:type="character" w:styleId="683" w:customStyle="1">
    <w:name w:val="Heading 6 Char"/>
    <w:basedOn w:val="676"/>
    <w:uiPriority w:val="9"/>
    <w:rPr>
      <w:rFonts w:ascii="Arial" w:hAnsi="Arial" w:cs="Arial" w:eastAsia="Arial"/>
      <w:b/>
      <w:bCs/>
      <w:sz w:val="22"/>
      <w:szCs w:val="22"/>
    </w:rPr>
  </w:style>
  <w:style w:type="character" w:styleId="684" w:customStyle="1">
    <w:name w:val="Heading 7 Char"/>
    <w:basedOn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5" w:customStyle="1">
    <w:name w:val="Heading 8 Char"/>
    <w:basedOn w:val="676"/>
    <w:uiPriority w:val="9"/>
    <w:rPr>
      <w:rFonts w:ascii="Arial" w:hAnsi="Arial" w:cs="Arial" w:eastAsia="Arial"/>
      <w:i/>
      <w:iCs/>
      <w:sz w:val="22"/>
      <w:szCs w:val="22"/>
    </w:rPr>
  </w:style>
  <w:style w:type="character" w:styleId="686" w:customStyle="1">
    <w:name w:val="Heading 9 Char"/>
    <w:basedOn w:val="676"/>
    <w:uiPriority w:val="9"/>
    <w:rPr>
      <w:rFonts w:ascii="Arial" w:hAnsi="Arial" w:cs="Arial" w:eastAsia="Arial"/>
      <w:i/>
      <w:iCs/>
      <w:sz w:val="21"/>
      <w:szCs w:val="21"/>
    </w:rPr>
  </w:style>
  <w:style w:type="character" w:styleId="687" w:customStyle="1">
    <w:name w:val="Title Char"/>
    <w:basedOn w:val="676"/>
    <w:uiPriority w:val="10"/>
    <w:rPr>
      <w:sz w:val="48"/>
      <w:szCs w:val="48"/>
    </w:rPr>
  </w:style>
  <w:style w:type="character" w:styleId="688" w:customStyle="1">
    <w:name w:val="Subtitle Char"/>
    <w:basedOn w:val="676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Header Char"/>
    <w:basedOn w:val="676"/>
    <w:uiPriority w:val="99"/>
  </w:style>
  <w:style w:type="character" w:styleId="692" w:customStyle="1">
    <w:name w:val="Caption Char"/>
    <w:uiPriority w:val="99"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76"/>
    <w:uiPriority w:val="9"/>
    <w:rPr>
      <w:rFonts w:ascii="Arial" w:hAnsi="Arial" w:cs="Arial" w:eastAsia="Arial"/>
      <w:sz w:val="40"/>
      <w:szCs w:val="40"/>
    </w:rPr>
  </w:style>
  <w:style w:type="character" w:styleId="696" w:customStyle="1">
    <w:name w:val="Заголовок 2 Знак"/>
    <w:basedOn w:val="676"/>
    <w:link w:val="668"/>
    <w:uiPriority w:val="9"/>
    <w:rPr>
      <w:rFonts w:ascii="Arial" w:hAnsi="Arial" w:cs="Arial" w:eastAsia="Arial"/>
      <w:sz w:val="34"/>
    </w:rPr>
  </w:style>
  <w:style w:type="character" w:styleId="697" w:customStyle="1">
    <w:name w:val="Заголовок 3 Знак"/>
    <w:basedOn w:val="676"/>
    <w:link w:val="669"/>
    <w:uiPriority w:val="9"/>
    <w:rPr>
      <w:rFonts w:ascii="Arial" w:hAnsi="Arial" w:cs="Arial" w:eastAsia="Arial"/>
      <w:sz w:val="30"/>
      <w:szCs w:val="30"/>
    </w:rPr>
  </w:style>
  <w:style w:type="character" w:styleId="698" w:customStyle="1">
    <w:name w:val="Заголовок 4 Знак"/>
    <w:basedOn w:val="676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699" w:customStyle="1">
    <w:name w:val="Заголовок 5 Знак"/>
    <w:basedOn w:val="676"/>
    <w:link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700" w:customStyle="1">
    <w:name w:val="Заголовок 6 Знак"/>
    <w:basedOn w:val="676"/>
    <w:link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701" w:customStyle="1">
    <w:name w:val="Заголовок 7 Знак"/>
    <w:basedOn w:val="676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76"/>
    <w:link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703" w:customStyle="1">
    <w:name w:val="Заголовок 9 Знак"/>
    <w:basedOn w:val="676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704">
    <w:name w:val="Title"/>
    <w:basedOn w:val="666"/>
    <w:next w:val="666"/>
    <w:link w:val="705"/>
    <w:uiPriority w:val="10"/>
    <w:qFormat/>
    <w:pPr>
      <w:contextualSpacing/>
      <w:spacing w:before="300"/>
    </w:pPr>
    <w:rPr>
      <w:sz w:val="48"/>
      <w:szCs w:val="48"/>
    </w:rPr>
  </w:style>
  <w:style w:type="character" w:styleId="705" w:customStyle="1">
    <w:name w:val="Заголовок Знак"/>
    <w:basedOn w:val="676"/>
    <w:link w:val="704"/>
    <w:uiPriority w:val="10"/>
    <w:rPr>
      <w:sz w:val="48"/>
      <w:szCs w:val="48"/>
    </w:rPr>
  </w:style>
  <w:style w:type="paragraph" w:styleId="706">
    <w:name w:val="Subtitle"/>
    <w:basedOn w:val="666"/>
    <w:next w:val="666"/>
    <w:link w:val="707"/>
    <w:uiPriority w:val="11"/>
    <w:qFormat/>
    <w:pPr>
      <w:spacing w:before="200"/>
    </w:pPr>
    <w:rPr>
      <w:sz w:val="24"/>
      <w:szCs w:val="24"/>
    </w:rPr>
  </w:style>
  <w:style w:type="character" w:styleId="707" w:customStyle="1">
    <w:name w:val="Подзаголовок Знак"/>
    <w:basedOn w:val="676"/>
    <w:link w:val="706"/>
    <w:uiPriority w:val="11"/>
    <w:rPr>
      <w:sz w:val="24"/>
      <w:szCs w:val="24"/>
    </w:rPr>
  </w:style>
  <w:style w:type="paragraph" w:styleId="708">
    <w:name w:val="Quote"/>
    <w:basedOn w:val="666"/>
    <w:next w:val="666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66"/>
    <w:next w:val="666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66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76"/>
    <w:link w:val="712"/>
    <w:uiPriority w:val="99"/>
  </w:style>
  <w:style w:type="paragraph" w:styleId="714">
    <w:name w:val="Footer"/>
    <w:basedOn w:val="6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76"/>
    <w:uiPriority w:val="99"/>
  </w:style>
  <w:style w:type="paragraph" w:styleId="716">
    <w:name w:val="Caption"/>
    <w:basedOn w:val="666"/>
    <w:next w:val="666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7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1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1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5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6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0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4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4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8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1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5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8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2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66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76"/>
    <w:uiPriority w:val="99"/>
    <w:unhideWhenUsed/>
    <w:rPr>
      <w:vertAlign w:val="superscript"/>
    </w:rPr>
  </w:style>
  <w:style w:type="paragraph" w:styleId="846">
    <w:name w:val="endnote text"/>
    <w:basedOn w:val="666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76"/>
    <w:uiPriority w:val="99"/>
    <w:semiHidden/>
    <w:unhideWhenUsed/>
    <w:rPr>
      <w:vertAlign w:val="superscript"/>
    </w:rPr>
  </w:style>
  <w:style w:type="paragraph" w:styleId="849">
    <w:name w:val="toc 1"/>
    <w:basedOn w:val="666"/>
    <w:next w:val="666"/>
    <w:uiPriority w:val="39"/>
    <w:unhideWhenUsed/>
    <w:pPr>
      <w:spacing w:after="57"/>
    </w:pPr>
  </w:style>
  <w:style w:type="paragraph" w:styleId="850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1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2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3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4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5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56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57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6"/>
    <w:next w:val="666"/>
    <w:uiPriority w:val="99"/>
    <w:unhideWhenUsed/>
    <w:pPr>
      <w:spacing w:after="0"/>
    </w:pPr>
  </w:style>
  <w:style w:type="table" w:styleId="860">
    <w:name w:val="Table Grid"/>
    <w:basedOn w:val="677"/>
    <w:uiPriority w:val="39"/>
    <w:qFormat/>
    <w:pPr>
      <w:spacing w:after="0" w:line="240" w:lineRule="auto"/>
    </w:pPr>
    <w:rPr>
      <w:rFonts w:ascii="Times New Roman" w:hAnsi="Times New Roman" w:cs="Calibri" w:eastAsia="SimSu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1">
    <w:name w:val="List Paragraph"/>
    <w:basedOn w:val="666"/>
    <w:link w:val="864"/>
    <w:qFormat/>
    <w:pPr>
      <w:contextualSpacing/>
      <w:ind w:left="720"/>
      <w:spacing w:line="240" w:lineRule="auto"/>
      <w:widowControl w:val="off"/>
    </w:pPr>
    <w:rPr>
      <w:rFonts w:ascii="Times New Roman" w:hAnsi="Times New Roman" w:cs="Mangal"/>
      <w:sz w:val="24"/>
      <w:szCs w:val="24"/>
      <w:lang w:bidi="hi-IN" w:eastAsia="zh-CN"/>
    </w:rPr>
  </w:style>
  <w:style w:type="paragraph" w:styleId="862">
    <w:name w:val="No Spacing"/>
    <w:link w:val="863"/>
    <w:uiPriority w:val="1"/>
    <w:qFormat/>
    <w:pPr>
      <w:spacing w:after="0" w:line="240" w:lineRule="auto"/>
    </w:pPr>
    <w:rPr>
      <w:rFonts w:cs="Times New Roman" w:eastAsia="Times New Roman"/>
    </w:rPr>
  </w:style>
  <w:style w:type="character" w:styleId="863" w:customStyle="1">
    <w:name w:val="Без интервала Знак"/>
    <w:link w:val="862"/>
    <w:uiPriority w:val="1"/>
    <w:qFormat/>
    <w:rPr>
      <w:rFonts w:cs="Times New Roman" w:eastAsia="Times New Roman"/>
    </w:rPr>
  </w:style>
  <w:style w:type="character" w:styleId="864" w:customStyle="1">
    <w:name w:val="Абзац списка Знак"/>
    <w:link w:val="861"/>
    <w:qFormat/>
    <w:rPr>
      <w:rFonts w:ascii="Times New Roman" w:hAnsi="Times New Roman" w:cs="Mangal" w:eastAsia="Times New Roman"/>
      <w:sz w:val="24"/>
      <w:szCs w:val="24"/>
      <w:lang w:bidi="hi-IN" w:eastAsia="zh-CN"/>
    </w:rPr>
  </w:style>
  <w:style w:type="paragraph" w:styleId="865">
    <w:name w:val="Normal (Web)"/>
    <w:basedOn w:val="66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6" w:customStyle="1">
    <w:name w:val="Standard"/>
    <w:pPr>
      <w:spacing w:after="0" w:line="240" w:lineRule="auto"/>
      <w:widowControl w:val="off"/>
    </w:pPr>
    <w:rPr>
      <w:rFonts w:ascii="Times New Roman" w:hAnsi="Times New Roman" w:cs="Tahoma" w:eastAsia="andale sans ui"/>
      <w:sz w:val="24"/>
      <w:szCs w:val="24"/>
      <w:lang w:val="en-US" w:bidi="en-US"/>
    </w:rPr>
  </w:style>
  <w:style w:type="character" w:styleId="867">
    <w:name w:val="Hyperlink"/>
    <w:rPr>
      <w:color w:val="0000FF"/>
      <w:u w:val="single"/>
    </w:rPr>
  </w:style>
  <w:style w:type="table" w:styleId="86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9" w:customStyle="1">
    <w:name w:val="Table Paragraph"/>
    <w:basedOn w:val="666"/>
    <w:uiPriority w:val="1"/>
    <w:qFormat/>
    <w:pPr>
      <w:jc w:val="right"/>
      <w:spacing w:after="0" w:line="240" w:lineRule="auto"/>
      <w:widowControl w:val="off"/>
    </w:pPr>
    <w:rPr>
      <w:rFonts w:ascii="arial mt" w:hAnsi="arial mt" w:cs="arial mt" w:eastAsia="arial mt"/>
    </w:rPr>
  </w:style>
  <w:style w:type="character" w:styleId="870" w:customStyle="1">
    <w:name w:val="Заголовок 1 Знак"/>
    <w:basedOn w:val="676"/>
    <w:link w:val="667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pandia.ru/text/category/russkij_yazi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0F4E414-6EB2-483B-8C91-A25CA331F04B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Айнур Муратович</cp:lastModifiedBy>
  <cp:revision>36</cp:revision>
  <dcterms:created xsi:type="dcterms:W3CDTF">2022-10-14T14:12:00Z</dcterms:created>
  <dcterms:modified xsi:type="dcterms:W3CDTF">2022-10-27T07:24:24Z</dcterms:modified>
</cp:coreProperties>
</file>