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keepNext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right"/>
        <w:rPr>
          <w:b/>
          <w:bCs/>
        </w:rPr>
      </w:pPr>
      <w:r>
        <w:rPr>
          <w:b/>
          <w:bCs/>
        </w:rPr>
        <w:t xml:space="preserve">УТВЕРЖДАЮ</w:t>
      </w:r>
      <w:r/>
    </w:p>
    <w:p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Директор ООО «Электробыт»</w:t>
      </w:r>
      <w:r/>
    </w:p>
    <w:p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________________С.В.</w:t>
      </w:r>
      <w:r>
        <w:t xml:space="preserve"> </w:t>
      </w:r>
      <w:r>
        <w:rPr>
          <w:b/>
          <w:bCs/>
        </w:rPr>
        <w:t xml:space="preserve">Сильворовских</w:t>
      </w:r>
      <w:r/>
    </w:p>
    <w:p>
      <w:pPr>
        <w:ind w:right="34"/>
        <w:jc w:val="right"/>
        <w:keepNext/>
        <w:rPr>
          <w:b/>
          <w:spacing w:val="6"/>
          <w:sz w:val="28"/>
          <w:szCs w:val="28"/>
        </w:rPr>
      </w:pPr>
      <w:r>
        <w:rPr>
          <w:b/>
          <w:bCs/>
          <w:u w:val="single"/>
        </w:rPr>
        <w:t xml:space="preserve">«18» октября 2022</w:t>
      </w:r>
      <w:r>
        <w:rPr>
          <w:b/>
          <w:bCs/>
        </w:rPr>
        <w:t xml:space="preserve"> года.</w:t>
      </w:r>
      <w:r/>
    </w:p>
    <w:p>
      <w:pPr>
        <w:ind w:right="34"/>
        <w:jc w:val="right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ДОКУМЕНТАЦИЯ</w:t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О ЗАПРОСЕ ПРЕДЛОЖЕНИЙ</w:t>
      </w:r>
      <w:r/>
    </w:p>
    <w:p>
      <w:pPr>
        <w:ind w:right="34"/>
        <w:jc w:val="center"/>
        <w:keepNext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В ЭЛЕКТРОННОЙ ФОРМЕ</w:t>
      </w:r>
      <w:r/>
    </w:p>
    <w:p>
      <w:pPr>
        <w:ind w:right="34"/>
        <w:jc w:val="center"/>
        <w:keepNext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122"/>
        <w:ind w:left="709"/>
        <w:jc w:val="center"/>
        <w:rPr>
          <w:b/>
          <w:bCs/>
          <w:color w:val="292929"/>
          <w:lang w:eastAsia="en-US"/>
        </w:rPr>
      </w:pPr>
      <w:r>
        <w:rPr>
          <w:b/>
          <w:bCs/>
        </w:rPr>
        <w:t xml:space="preserve"> </w:t>
      </w:r>
      <w:r>
        <w:rPr>
          <w:b/>
          <w:bCs/>
          <w:color w:val="292929"/>
          <w:lang w:eastAsia="en-US"/>
        </w:rPr>
        <w:t xml:space="preserve">на </w:t>
      </w:r>
      <w:r>
        <w:rPr>
          <w:b/>
          <w:bCs/>
        </w:rPr>
        <w:t xml:space="preserve">право заключения договора</w:t>
      </w:r>
      <w:r>
        <w:rPr>
          <w:b/>
          <w:bCs/>
          <w:color w:val="292929"/>
          <w:lang w:eastAsia="en-US"/>
        </w:rPr>
        <w:t xml:space="preserve"> на </w:t>
      </w:r>
      <w:r>
        <w:rPr>
          <w:b/>
          <w:bCs/>
          <w:color w:val="292929"/>
          <w:lang w:eastAsia="en-US"/>
        </w:rPr>
        <w:t xml:space="preserve">оказание услуг финансовой аренды (лизинга) на поставку оборудования и материалов системы отопления здания с последующим монтажом данного оборудования и материалов</w:t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2022 г.</w:t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keepNext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  <w:r/>
    </w:p>
    <w:p>
      <w:pPr>
        <w:jc w:val="center"/>
        <w:rPr>
          <w:rFonts w:ascii="Arial" w:hAnsi="Arial" w:cs="Arial"/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Содержание документации о запросе предложений</w:t>
      </w:r>
      <w:r/>
    </w:p>
    <w:p>
      <w:pPr>
        <w:jc w:val="center"/>
        <w:keepNext/>
        <w:spacing w:line="300" w:lineRule="exac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spacing w:before="100"/>
        <w:tabs>
          <w:tab w:val="left" w:pos="1440" w:leader="none"/>
          <w:tab w:val="right" w:pos="9923" w:leader="dot"/>
        </w:tabs>
        <w:rPr>
          <w:b/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/>
      </w:r>
      <w:r>
        <w:rPr>
          <w:b/>
          <w:bCs/>
          <w:caps/>
          <w:color w:val="000000" w:themeColor="text1"/>
          <w:sz w:val="22"/>
          <w:szCs w:val="22"/>
        </w:rPr>
        <w:instrText xml:space="preserve">TOC \z \o "1-3" \u \h</w:instrText>
      </w:r>
      <w:r>
        <w:rPr>
          <w:b/>
          <w:bCs/>
          <w:caps/>
          <w:color w:val="000000" w:themeColor="text1"/>
          <w:sz w:val="22"/>
          <w:szCs w:val="22"/>
        </w:rPr>
        <w:fldChar w:fldCharType="separate"/>
      </w:r>
      <w:r>
        <w:rPr>
          <w:b/>
          <w:bCs/>
          <w:caps/>
          <w:color w:val="000000" w:themeColor="text1"/>
          <w:sz w:val="22"/>
          <w:szCs w:val="22"/>
        </w:rPr>
        <w:t xml:space="preserve">РАЗДЕЛ 1. Общие положения</w:t>
      </w:r>
      <w:r/>
    </w:p>
    <w:p>
      <w:pPr>
        <w:spacing w:before="100"/>
        <w:tabs>
          <w:tab w:val="left" w:pos="1440" w:leader="none"/>
          <w:tab w:val="right" w:pos="9923" w:leader="dot"/>
        </w:tabs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 w:themeColor="text1"/>
          <w:sz w:val="22"/>
          <w:szCs w:val="22"/>
        </w:rPr>
        <w:t xml:space="preserve">РАЗДЕЛ 2. Информационная карта </w:t>
      </w:r>
      <w:r/>
    </w:p>
    <w:p>
      <w:pPr>
        <w:spacing w:before="100"/>
        <w:tabs>
          <w:tab w:val="left" w:pos="1440" w:leader="none"/>
          <w:tab w:val="right" w:pos="9923" w:leader="dot"/>
        </w:tabs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РАЗДЕЛ 3. ОПИСАНИЕ ПРЕДМЕТА ЗАКУПКИ </w:t>
      </w:r>
      <w:r/>
    </w:p>
    <w:p>
      <w:pPr>
        <w:spacing w:before="100"/>
        <w:tabs>
          <w:tab w:val="left" w:pos="1440" w:leader="none"/>
          <w:tab w:val="right" w:pos="9923" w:leader="dot"/>
        </w:tabs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РАЗДЕЛ 4. ПРОЕКТ ДОГОВОРА </w:t>
      </w:r>
      <w:r/>
    </w:p>
    <w:p>
      <w:pPr>
        <w:spacing w:before="100"/>
        <w:tabs>
          <w:tab w:val="left" w:pos="1440" w:leader="none"/>
          <w:tab w:val="right" w:pos="9923" w:leader="dot"/>
          <w:tab w:val="right" w:pos="10064" w:leader="dot"/>
        </w:tabs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 w:themeColor="text1"/>
          <w:sz w:val="22"/>
          <w:szCs w:val="22"/>
        </w:rPr>
        <w:t xml:space="preserve">РАЗДЕЛ 5. обоснование начальной (максимальной) цены договора. Сведения о начальной (максимальной) цене договора, о начальной (максимальной) цене единицы каждого товара, работы, услуги, являющихся предметом закупки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/>
    </w:p>
    <w:p>
      <w:pPr>
        <w:jc w:val="both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Приложение № 1 – </w:t>
      </w:r>
      <w:r>
        <w:rPr>
          <w:b/>
          <w:bCs/>
          <w:i/>
          <w:sz w:val="22"/>
          <w:szCs w:val="22"/>
        </w:rPr>
        <w:t xml:space="preserve">Заявка на участие в </w:t>
      </w:r>
      <w:r>
        <w:rPr>
          <w:b/>
          <w:bCs/>
          <w:i/>
          <w:sz w:val="22"/>
          <w:szCs w:val="22"/>
        </w:rPr>
        <w:t xml:space="preserve">запросе предложений в электронной форме (форма)</w:t>
      </w:r>
      <w:r/>
    </w:p>
    <w:p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Приложение № 2 – </w:t>
      </w:r>
      <w:r>
        <w:rPr>
          <w:b/>
          <w:i/>
          <w:sz w:val="22"/>
          <w:szCs w:val="22"/>
        </w:rPr>
        <w:t xml:space="preserve">Анкета участника закупки</w:t>
      </w:r>
      <w:r/>
    </w:p>
    <w:p>
      <w:pPr>
        <w:ind w:left="1985" w:hanging="1985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Приложение № 3 – </w:t>
      </w:r>
      <w:r>
        <w:rPr>
          <w:b/>
          <w:i/>
          <w:sz w:val="22"/>
          <w:szCs w:val="22"/>
        </w:rPr>
        <w:t xml:space="preserve">Формы «Квалификация участника закупки»\</w:t>
      </w:r>
      <w:r/>
    </w:p>
    <w:p>
      <w:pPr>
        <w:ind w:left="1985" w:hanging="1985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Приложение № 4 – </w:t>
      </w:r>
      <w:r>
        <w:rPr>
          <w:b/>
          <w:i/>
          <w:sz w:val="22"/>
          <w:szCs w:val="22"/>
        </w:rPr>
        <w:t xml:space="preserve">Форма доверенности на уполномоченное лицо, имеющее право подписи     документов организации-</w:t>
      </w:r>
      <w:r>
        <w:rPr>
          <w:b/>
          <w:i/>
          <w:sz w:val="22"/>
          <w:szCs w:val="22"/>
        </w:rPr>
        <w:t xml:space="preserve">участника закупки</w:t>
      </w:r>
      <w:r/>
    </w:p>
    <w:p>
      <w:pPr>
        <w:ind w:left="1985" w:hanging="1985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Приложение № 5 - Ф</w:t>
      </w:r>
      <w:r>
        <w:rPr>
          <w:b/>
          <w:i/>
          <w:sz w:val="22"/>
          <w:szCs w:val="22"/>
        </w:rPr>
        <w:t xml:space="preserve">орма согласия участника процедуры закупки – физического лица - на обработку персональных данных</w:t>
      </w:r>
      <w:r/>
    </w:p>
    <w:p>
      <w:pPr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</w:r>
      <w:r/>
    </w:p>
    <w:p>
      <w:pPr>
        <w:rPr>
          <w:b/>
          <w:sz w:val="22"/>
          <w:szCs w:val="22"/>
        </w:rPr>
      </w:pPr>
      <w:r>
        <w:br w:type="page"/>
      </w:r>
      <w:r>
        <w:t xml:space="preserve"> </w:t>
      </w:r>
      <w:r/>
    </w:p>
    <w:p>
      <w:pPr>
        <w:jc w:val="center"/>
        <w:keepNext/>
        <w:spacing w:line="360" w:lineRule="auto"/>
        <w:tabs>
          <w:tab w:val="right" w:pos="9923" w:leader="dot"/>
        </w:tabs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РАЗДЕЛ 1. ОБЩИЕ ПОЛОЖЕНИЯ</w:t>
      </w:r>
      <w:r/>
    </w:p>
    <w:p>
      <w:pPr>
        <w:ind w:firstLine="709"/>
        <w:jc w:val="both"/>
        <w:tabs>
          <w:tab w:val="left" w:pos="960" w:leader="none"/>
          <w:tab w:val="left" w:pos="1004" w:leader="none"/>
        </w:tabs>
        <w:rPr>
          <w:sz w:val="24"/>
          <w:szCs w:val="24"/>
        </w:rPr>
      </w:pPr>
      <w:r/>
      <w:bookmarkStart w:id="0" w:name="_Ref119427085"/>
      <w:r>
        <w:rPr>
          <w:sz w:val="24"/>
          <w:szCs w:val="24"/>
        </w:rPr>
        <w:t xml:space="preserve">Настоящая документация о запросе предложений в электронной форме подготовлена в соответствии с </w:t>
      </w:r>
      <w:bookmarkEnd w:id="0"/>
      <w:r>
        <w:rPr>
          <w:sz w:val="24"/>
          <w:szCs w:val="24"/>
        </w:rPr>
        <w:t xml:space="preserve">Федеральным законом от 18 июля 2011 г. № 223-ФЗ «О закупках товаров, работ, услуг отдельными видами юридических лиц» (далее – Закон № 223-ФЗ), Гражданским кодекс</w:t>
      </w:r>
      <w:r>
        <w:rPr>
          <w:sz w:val="24"/>
          <w:szCs w:val="24"/>
        </w:rPr>
        <w:t xml:space="preserve">ом Российской Федерации, Федеральным законом от 26 июля 2006 г. № 135-ФЗ «О защите конкуренции», Федеральным законом от 25 декабря 2008 г. №273-ФЗ «О противодействии коррупции», положением о закупке товаров, услуг </w:t>
      </w:r>
      <w:bookmarkStart w:id="1" w:name="_Ref193979581"/>
      <w:r/>
      <w:bookmarkStart w:id="2" w:name="_Toc123405453"/>
      <w:r/>
      <w:bookmarkStart w:id="3" w:name="_Ref193979557"/>
      <w:r>
        <w:rPr>
          <w:sz w:val="24"/>
          <w:szCs w:val="24"/>
        </w:rPr>
        <w:t xml:space="preserve">для нужд ООО «Электробыт».</w:t>
      </w:r>
      <w:bookmarkEnd w:id="1"/>
      <w:r/>
      <w:bookmarkEnd w:id="2"/>
      <w:r/>
      <w:bookmarkEnd w:id="3"/>
      <w:r/>
      <w:r/>
    </w:p>
    <w:p>
      <w:pPr>
        <w:ind w:firstLine="567"/>
        <w:jc w:val="both"/>
        <w:tabs>
          <w:tab w:val="left" w:pos="540" w:leader="none"/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Настоящий откры</w:t>
      </w:r>
      <w:r>
        <w:rPr>
          <w:sz w:val="24"/>
          <w:szCs w:val="24"/>
        </w:rPr>
        <w:t xml:space="preserve">тый запрос предложений в электронной форме проводится на сайте </w:t>
      </w:r>
      <w:hyperlink r:id="rId12" w:tooltip="https://etp-region.ru" w:history="1">
        <w:r>
          <w:rPr>
            <w:rStyle w:val="846"/>
            <w:b/>
            <w:sz w:val="24"/>
            <w:szCs w:val="24"/>
          </w:rPr>
          <w:t xml:space="preserve">https://etp-region.ru</w:t>
        </w:r>
      </w:hyperlink>
      <w:r>
        <w:rPr>
          <w:sz w:val="24"/>
          <w:szCs w:val="24"/>
        </w:rPr>
        <w:t xml:space="preserve">, полная информация о котором указана </w:t>
      </w:r>
      <w:r>
        <w:rPr>
          <w:b/>
          <w:i/>
          <w:sz w:val="24"/>
          <w:szCs w:val="24"/>
        </w:rPr>
        <w:t xml:space="preserve">в извещении и документации о закупке. </w:t>
      </w:r>
      <w:r>
        <w:rPr>
          <w:sz w:val="24"/>
          <w:szCs w:val="24"/>
        </w:rPr>
        <w:t xml:space="preserve">Настоящая процедура проводится </w:t>
      </w:r>
      <w:r>
        <w:rPr>
          <w:sz w:val="24"/>
          <w:szCs w:val="24"/>
        </w:rPr>
        <w:t xml:space="preserve">в соответствии с регламентом и с использованием функционала ЭП.  В закупке могут принять участие любые юридические лица или несколько юридических лиц, выступающих на стороне одного участника закупки, независимо от организационно-правовой формы, формы собст</w:t>
      </w:r>
      <w:r>
        <w:rPr>
          <w:sz w:val="24"/>
          <w:szCs w:val="24"/>
        </w:rPr>
        <w:t xml:space="preserve">венности, места нахождения и места происхождения капитала либо любые физические лица или несколько физических лиц, выступающих на стороне одного участника закупки, в том числе индивидуальные предприниматели или несколько индивидуальных предпринимателей, вы</w:t>
      </w:r>
      <w:r>
        <w:rPr>
          <w:sz w:val="24"/>
          <w:szCs w:val="24"/>
        </w:rPr>
        <w:t xml:space="preserve">ступающих на стороне одного участника, которые соответствуют требованиям, установленным Заказчиком в документации о закупке.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hyperlink r:id="rId13" w:tooltip="http://www.zakupki.gov.ru" w:history="1">
        <w:r>
          <w:rPr>
            <w:rStyle w:val="846"/>
            <w:sz w:val="24"/>
            <w:szCs w:val="24"/>
            <w:lang w:val="en-US"/>
          </w:rPr>
          <w:t xml:space="preserve">www</w:t>
        </w:r>
        <w:r>
          <w:rPr>
            <w:rStyle w:val="846"/>
            <w:sz w:val="24"/>
            <w:szCs w:val="24"/>
          </w:rPr>
          <w:t xml:space="preserve">.</w:t>
        </w:r>
        <w:r>
          <w:rPr>
            <w:rStyle w:val="846"/>
            <w:sz w:val="24"/>
            <w:szCs w:val="24"/>
            <w:lang w:val="en-US"/>
          </w:rPr>
          <w:t xml:space="preserve">zakupki</w:t>
        </w:r>
        <w:r>
          <w:rPr>
            <w:rStyle w:val="846"/>
            <w:sz w:val="24"/>
            <w:szCs w:val="24"/>
          </w:rPr>
          <w:t xml:space="preserve">.</w:t>
        </w:r>
        <w:r>
          <w:rPr>
            <w:rStyle w:val="846"/>
            <w:sz w:val="24"/>
            <w:szCs w:val="24"/>
            <w:lang w:val="en-US"/>
          </w:rPr>
          <w:t xml:space="preserve">gov</w:t>
        </w:r>
        <w:r>
          <w:rPr>
            <w:rStyle w:val="846"/>
            <w:sz w:val="24"/>
            <w:szCs w:val="24"/>
          </w:rPr>
          <w:t xml:space="preserve">.</w:t>
        </w:r>
        <w:r>
          <w:rPr>
            <w:rStyle w:val="846"/>
            <w:sz w:val="24"/>
            <w:szCs w:val="24"/>
            <w:lang w:val="en-US"/>
          </w:rPr>
          <w:t xml:space="preserve">ru</w:t>
        </w:r>
      </w:hyperlink>
      <w:r>
        <w:rPr>
          <w:rStyle w:val="846"/>
          <w:sz w:val="24"/>
          <w:szCs w:val="24"/>
        </w:rPr>
        <w:t xml:space="preserve">  и</w:t>
      </w:r>
      <w:r>
        <w:rPr>
          <w:sz w:val="24"/>
          <w:szCs w:val="24"/>
        </w:rPr>
        <w:t xml:space="preserve"> сайте </w:t>
      </w:r>
      <w:hyperlink r:id="rId14" w:tooltip="https://etp-region.ru" w:history="1">
        <w:r>
          <w:rPr>
            <w:rStyle w:val="846"/>
            <w:sz w:val="24"/>
            <w:szCs w:val="24"/>
          </w:rPr>
          <w:t xml:space="preserve">https://etp-region.ru</w:t>
        </w:r>
      </w:hyperlink>
      <w:r>
        <w:rPr>
          <w:sz w:val="24"/>
          <w:szCs w:val="24"/>
        </w:rPr>
        <w:t xml:space="preserve"> будет размещено извещение, документация о проведении открытого запроса предложений в электронной форме и проект договора.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 указанных сайтах будут публиковаться все разъяснения</w:t>
      </w:r>
      <w:r>
        <w:rPr>
          <w:sz w:val="24"/>
          <w:szCs w:val="24"/>
        </w:rPr>
        <w:t xml:space="preserve">, касающиеся настоящей закупочной документации, а также все изменения или дополнения в закупочную документацию по открытому запросу предложений в электронной форме, в случае возникновения таковых. 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должны самостоятельно отслеживать измене</w:t>
      </w:r>
      <w:r>
        <w:rPr>
          <w:sz w:val="24"/>
          <w:szCs w:val="24"/>
        </w:rPr>
        <w:t xml:space="preserve">ния извещения и документации о закупке. Заказчик не несет ответственность за несовременное получение участником закупки информации об изменениях запроса предложений в электронной форме, размещенной в единой информационной системе и на электронной площадке.</w:t>
      </w:r>
      <w:r>
        <w:rPr>
          <w:sz w:val="24"/>
          <w:szCs w:val="24"/>
        </w:rPr>
        <w:t xml:space="preserve"> 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платы.</w:t>
      </w:r>
      <w:r/>
    </w:p>
    <w:p>
      <w:pPr>
        <w:jc w:val="center"/>
        <w:keepNext/>
        <w:spacing w:line="360" w:lineRule="auto"/>
        <w:tabs>
          <w:tab w:val="right" w:pos="9923" w:leader="dot"/>
        </w:tabs>
        <w:rPr>
          <w:b/>
          <w:color w:val="0000FF"/>
          <w:sz w:val="24"/>
          <w:szCs w:val="22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2"/>
        </w:rPr>
        <w:t xml:space="preserve">РАЗДЕЛ 2. ИНФОРМАЦИОННАЯ КАРТА </w:t>
      </w:r>
      <w:r/>
    </w:p>
    <w:tbl>
      <w:tblPr>
        <w:tblStyle w:val="1101"/>
        <w:tblW w:w="10374" w:type="dxa"/>
        <w:tblCellMar>
          <w:left w:w="101" w:type="dxa"/>
        </w:tblCellMar>
        <w:tblLook w:val="04A0" w:firstRow="1" w:lastRow="0" w:firstColumn="1" w:lastColumn="0" w:noHBand="0" w:noVBand="1"/>
      </w:tblPr>
      <w:tblGrid>
        <w:gridCol w:w="493"/>
        <w:gridCol w:w="3733"/>
        <w:gridCol w:w="6148"/>
      </w:tblGrid>
      <w:tr>
        <w:trPr>
          <w:trHeight w:val="1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Описание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ind w:right="152"/>
              <w:jc w:val="center"/>
              <w:widowControl w:val="off"/>
              <w:tabs>
                <w:tab w:val="left" w:pos="127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</w:t>
            </w:r>
            <w:r/>
          </w:p>
        </w:tc>
      </w:tr>
      <w:tr>
        <w:trPr>
          <w:trHeight w:val="1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закупки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ind w:right="70"/>
              <w:jc w:val="both"/>
              <w:widowControl w:val="off"/>
              <w:tabs>
                <w:tab w:val="left" w:pos="127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Запрос предложений в электронной форме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Закупка, участниками которой являются только субъекты малого и среднего предпринимательства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ind w:right="70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Требование о привлечении к исполнению договора  </w:t>
            </w:r>
            <w:r>
              <w:rPr>
                <w:rFonts w:eastAsia="Calibri"/>
                <w:sz w:val="22"/>
                <w:szCs w:val="22"/>
              </w:rPr>
              <w:t xml:space="preserve">соисполнителей</w:t>
            </w:r>
            <w:r>
              <w:rPr>
                <w:sz w:val="22"/>
                <w:szCs w:val="22"/>
              </w:rPr>
              <w:t xml:space="preserve"> (субподрядчиков</w:t>
            </w:r>
            <w:r>
              <w:rPr>
                <w:rFonts w:eastAsia="Calibri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  <w:t xml:space="preserve"> из числа субъектов малого и среднего предпринимательства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ind w:right="152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Наименование, место нахождения, почтовый адрес Заказчика, адрес электронной почты, номер контактного телефона заказчика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pStyle w:val="1184"/>
              <w:keepLines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«Электробыт» (ООО «Электробыт»)</w:t>
            </w:r>
            <w:r/>
          </w:p>
          <w:p>
            <w:pPr>
              <w:pStyle w:val="1184"/>
              <w:keepLines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Место нахождения: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301664, Тульская обл, Новомосковский р-н, Нов</w:t>
            </w:r>
            <w:r>
              <w:rPr>
                <w:rFonts w:eastAsia="Times New Roman"/>
                <w:sz w:val="22"/>
                <w:szCs w:val="22"/>
              </w:rPr>
              <w:t xml:space="preserve">омосковск г, Новая ул, дом 1, корпус ГЛАВНЫЙ, офис 2 </w:t>
            </w:r>
            <w:r/>
          </w:p>
          <w:p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301664, Тульская обл, Новомосковский р-н, Новомосковск г, Новая ул, дом 1, корпус ГЛАВНЫЙ, офис 2</w:t>
            </w:r>
            <w:r/>
          </w:p>
          <w:p>
            <w:pPr>
              <w:keepLines/>
              <w:spacing w:before="40" w:after="40"/>
              <w:tabs>
                <w:tab w:val="left" w:pos="7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Контактные лица: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Сильворовских Светлана Владимировна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+79101530401</w:t>
            </w:r>
            <w:r/>
          </w:p>
          <w:p>
            <w:pPr>
              <w:ind w:right="152"/>
              <w:jc w:val="both"/>
              <w:widowControl w:val="off"/>
              <w:tabs>
                <w:tab w:val="left" w:pos="1276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hyperlink r:id="rId15" w:tooltip="mailto:ooo.elektrobyt@mail.ru" w:history="1">
              <w:r>
                <w:rPr>
                  <w:rStyle w:val="846"/>
                  <w:sz w:val="22"/>
                  <w:szCs w:val="22"/>
                </w:rPr>
                <w:t xml:space="preserve">ooo.elektrobyt@mail.ru</w:t>
              </w:r>
            </w:hyperlink>
            <w:r>
              <w:rPr>
                <w:sz w:val="22"/>
                <w:szCs w:val="22"/>
              </w:rPr>
              <w:t xml:space="preserve"> </w:t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договора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услуг финансовой аренды (лизинга) на поставку оборудования и материалов системы отопления здания с</w:t>
            </w:r>
            <w:r>
              <w:rPr>
                <w:b/>
                <w:sz w:val="22"/>
                <w:szCs w:val="22"/>
              </w:rPr>
              <w:t xml:space="preserve"> последующим монтажом данного оборудования и материалов</w:t>
            </w:r>
            <w:r/>
          </w:p>
        </w:tc>
      </w:tr>
      <w:tr>
        <w:trPr>
          <w:trHeight w:val="338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сайт, на котором размещена документация о запросе предложений</w:t>
            </w:r>
            <w:r/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Срок, место и порядок</w:t>
            </w:r>
            <w:r>
              <w:rPr>
                <w:sz w:val="22"/>
                <w:szCs w:val="22"/>
              </w:rPr>
              <w:t xml:space="preserve">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Настоящая документация доступна для ознакомления со дня размещения извещения о закупке на официальном сайте    единой информационной системы </w:t>
            </w:r>
            <w:hyperlink r:id="rId16" w:tooltip="http://zakupki.gov.ru" w:history="1">
              <w:r>
                <w:rPr>
                  <w:rStyle w:val="846"/>
                  <w:bCs/>
                  <w:sz w:val="22"/>
                  <w:szCs w:val="22"/>
                </w:rPr>
                <w:t xml:space="preserve">http://zakupki.gov.ru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 на электронной площадке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ООО «РЕГИОН», адрес электронно-торговой площадки:  </w:t>
            </w:r>
            <w:hyperlink r:id="rId17" w:tooltip="https://etp-region.ru" w:history="1">
              <w:r>
                <w:rPr>
                  <w:rStyle w:val="846"/>
                  <w:rFonts w:eastAsia="Calibri"/>
                  <w:sz w:val="22"/>
                  <w:szCs w:val="22"/>
                </w:rPr>
                <w:t xml:space="preserve">https://etp-region.ru</w:t>
              </w:r>
            </w:hyperlink>
            <w:r/>
            <w:r/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 xml:space="preserve">с «18» октября 2022 г. по «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03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»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ноября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2022 г. до 11 час. 00 мин. (местное время заказчика).</w:t>
            </w:r>
            <w:r/>
          </w:p>
          <w:p>
            <w:pPr>
              <w:ind w:right="152"/>
              <w:jc w:val="both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Плата за предоставление д</w:t>
            </w:r>
            <w:r>
              <w:rPr>
                <w:bCs/>
                <w:sz w:val="22"/>
                <w:szCs w:val="22"/>
              </w:rPr>
              <w:t xml:space="preserve">окументации не взимается.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оператора электронной площадки.</w:t>
            </w:r>
            <w:r/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Адрес электронной площадки в сети Интернет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ind w:right="152"/>
              <w:jc w:val="both"/>
              <w:widowControl w:val="off"/>
              <w:tabs>
                <w:tab w:val="left" w:pos="127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ООО «РЕГИОН», адрес электронно-торговой площадки:  </w:t>
            </w:r>
            <w:hyperlink r:id="rId18" w:tooltip="https://etp-region.ru" w:history="1">
              <w:r>
                <w:rPr>
                  <w:rStyle w:val="846"/>
                  <w:rFonts w:eastAsia="Calibri"/>
                  <w:sz w:val="22"/>
                </w:rPr>
                <w:t xml:space="preserve">https://etp-region.ru</w:t>
              </w:r>
            </w:hyperlink>
            <w:r/>
            <w:r/>
          </w:p>
        </w:tc>
      </w:tr>
      <w:tr>
        <w:trPr>
          <w:trHeight w:val="452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</w:t>
            </w:r>
            <w:r>
              <w:rPr>
                <w:sz w:val="22"/>
                <w:szCs w:val="22"/>
              </w:rPr>
              <w:t xml:space="preserve">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</w:t>
            </w:r>
            <w:r>
              <w:rPr>
                <w:sz w:val="22"/>
                <w:szCs w:val="22"/>
              </w:rPr>
              <w:t xml:space="preserve">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Установлены в техническом задании, являющимся неотъемлемой частью настоящей документации о закуп</w:t>
            </w:r>
            <w:r>
              <w:rPr>
                <w:bCs/>
                <w:sz w:val="22"/>
                <w:szCs w:val="22"/>
              </w:rPr>
              <w:t xml:space="preserve">ке.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Место, условия и сроки поставки товаров, оказания услуг (выполнения работ) и (или) последовательность их оказания (выполнения).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приемки оказанных услуг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лизинга передается в лизинг вместе со всеми принадлежностями и со всеми документами (тех</w:t>
            </w:r>
            <w:r>
              <w:rPr>
                <w:sz w:val="22"/>
                <w:szCs w:val="22"/>
              </w:rPr>
              <w:t xml:space="preserve">ническим паспортом, гарантийным талоном и другими документами, необходимыми при пользовании Предметом лизинга) в течение 14 календарных дней с даты заключения договора.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поставки: Поставка, Монтаж и ПНР предмета лизинга Лизингополучателю осуществляет</w:t>
            </w:r>
            <w:r>
              <w:rPr>
                <w:sz w:val="22"/>
                <w:szCs w:val="22"/>
              </w:rPr>
              <w:t xml:space="preserve">ся Лизингодателем по согласованию с Лизингополучателем, по адресу: 301664, Россия, Тульская область, Новомосковский район, г. Новомосковск, ул. Новая, дом 1</w:t>
            </w:r>
            <w:r/>
          </w:p>
          <w:p>
            <w:pPr>
              <w:contextualSpacing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ind w:firstLine="22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поставки, монтажа и ПНР предмета лизинга: в течение 60-ти (шестидесяти) календарных дней с мо</w:t>
            </w:r>
            <w:r>
              <w:rPr>
                <w:sz w:val="22"/>
                <w:szCs w:val="22"/>
              </w:rPr>
              <w:t xml:space="preserve">мента оплаты авансового платежа.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Сведения о начальной (максимальной) цене договора (цене лота), либо максимальное значение цены договора и формула цены, устанавливающая правила расчета сумм, подлежащих уплате Заказчиком поставщику в ходе исполнения догов</w:t>
            </w:r>
            <w:r>
              <w:rPr>
                <w:sz w:val="22"/>
                <w:szCs w:val="22"/>
              </w:rPr>
              <w:t xml:space="preserve">ора, либо максимальное значение цены договора и цена единицы товара, работы, услуги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2 360 257,75 (два миллиона триста шестьдесят тысяч двести пятьдесят семь) рублей 75 копеек.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Сведения о валюте, используемой для формирования цены договора и расчетов с исполнителями (подрядчиками, поставщиками)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ind w:right="152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Валютой, используемой для формирования цены договора и расчетов с поставщиками (исполнителями, подрядчиками) является рубль Российской Фе</w:t>
            </w:r>
            <w:r>
              <w:rPr>
                <w:sz w:val="22"/>
                <w:szCs w:val="22"/>
              </w:rPr>
              <w:t xml:space="preserve">дерации. При оплате заключенного договора иностранная валюта не используется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формирования цены договора с учетом или без учета расходов на перевозку, страхование, уплату таможенных пошлин, налогов и других обязательных платежей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цену договора вк</w:t>
            </w:r>
            <w:r>
              <w:rPr>
                <w:sz w:val="22"/>
                <w:szCs w:val="22"/>
              </w:rPr>
              <w:t xml:space="preserve">лючены все расходы поставщика, связанные с выполнением обязательств по договору, в том числе перевозка, погрузо-разгрузочные работы материалов, используемых при исполнении обязательств по договору, монтажные работы и ПНР, страхование, уплата таможенных пош</w:t>
            </w:r>
            <w:r>
              <w:rPr>
                <w:sz w:val="22"/>
                <w:szCs w:val="22"/>
              </w:rPr>
              <w:t xml:space="preserve">лин, налогов, сборов и других обязательных платежей, а также иные виды затрат, возникающих при исполнении договора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Форма, сроки и порядок оплаты товара, услуги, работы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соответствие с Проектом договора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Форма, порядок, дата начала и дата окончания срока предоставления участникам закупки разъяснений положений документации о закупке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Любой участник закупки вправе направить на адрес электронной площадки, на которой планируется проведение запроса предложений в</w:t>
            </w:r>
            <w:r>
              <w:rPr>
                <w:sz w:val="22"/>
                <w:szCs w:val="22"/>
              </w:rPr>
              <w:t xml:space="preserve"> электронной форме, запрос о даче разъяснений положений извещения о проведении запроса предложений в электронной форме и (или) документации о закупке. В течение одного часа с момента поступления указанного запроса он направляется оператором электронной пло</w:t>
            </w:r>
            <w:r>
              <w:rPr>
                <w:sz w:val="22"/>
                <w:szCs w:val="22"/>
              </w:rPr>
              <w:t xml:space="preserve">щадки Заказчику.</w:t>
            </w:r>
            <w:r/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 xml:space="preserve">Форма:</w:t>
            </w:r>
            <w:r>
              <w:rPr>
                <w:rFonts w:eastAsia="Calibri"/>
                <w:sz w:val="22"/>
                <w:szCs w:val="22"/>
              </w:rPr>
              <w:t xml:space="preserve"> произвольная, в виде электронного документа.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трех рабочих дней с даты поступления запроса о даче разъяснений положений извещения о проведении запроса предложений в электронной форме и (или) документации о закупке Заказчик осуществляет разъяснение положений извещения о проведении запроса пре</w:t>
            </w:r>
            <w:r>
              <w:rPr>
                <w:sz w:val="22"/>
                <w:szCs w:val="22"/>
              </w:rPr>
              <w:t xml:space="preserve">дложений в электронной форме и (или) документации о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</w:t>
            </w:r>
            <w:r>
              <w:rPr>
                <w:sz w:val="22"/>
                <w:szCs w:val="22"/>
              </w:rPr>
              <w:t xml:space="preserve">ь такое разъяснение в случае,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и окончания срока предоставления участникам запроса предложе</w:t>
            </w:r>
            <w:r>
              <w:rPr>
                <w:sz w:val="22"/>
                <w:szCs w:val="22"/>
              </w:rPr>
              <w:t xml:space="preserve">ний разъяснений положений извещения о проведении запроса предложений в электронной форме и (или) документации о закупке: </w:t>
            </w:r>
            <w:r/>
          </w:p>
          <w:p>
            <w:pPr>
              <w:jc w:val="both"/>
              <w:widowControl w:val="off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дата начала - «18» октября 2022 года</w:t>
            </w:r>
            <w:r/>
          </w:p>
          <w:p>
            <w:pPr>
              <w:jc w:val="both"/>
              <w:widowControl w:val="off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дата окончания - «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03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» 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ноября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 2022 года.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Разъяснения положений извещения о проведении запроса пре</w:t>
            </w:r>
            <w:r>
              <w:rPr>
                <w:sz w:val="22"/>
                <w:szCs w:val="22"/>
              </w:rPr>
              <w:t xml:space="preserve">дложений в электронной форме и (или)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форме. В течение трех дней со дня подписания</w:t>
            </w:r>
            <w:r>
              <w:rPr>
                <w:sz w:val="22"/>
                <w:szCs w:val="22"/>
              </w:rPr>
              <w:t xml:space="preserve"> указанных разъяснений уполномоченным лицом Заказчика, но не позднее даты окончания срока подачи заявок на участие в запросе предложений в электронной форме, такие разъяснения размещаются в единой информационной системе.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участникам закупки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</w:t>
            </w:r>
            <w:r>
              <w:rPr>
                <w:sz w:val="22"/>
                <w:szCs w:val="22"/>
              </w:rPr>
              <w:t xml:space="preserve">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  <w:r/>
          </w:p>
          <w:p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процедуры з</w:t>
            </w:r>
            <w:r>
              <w:rPr>
                <w:sz w:val="22"/>
                <w:szCs w:val="22"/>
              </w:rPr>
              <w:t xml:space="preserve">акупки должен соответствовать требованиям, установленным законодательством Российской Федерации для лиц, осуществляющих поставки товаров, работ, услуг, являющихся предметом закупки, в том числе: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непроведение ликвидации участника закупки – юриди</w:t>
            </w:r>
            <w:r>
              <w:rPr>
                <w:sz w:val="22"/>
                <w:szCs w:val="22"/>
              </w:rPr>
              <w:t xml:space="preserve">ческого лица и отсутствие решения арбитражного суда о </w:t>
            </w:r>
            <w:r>
              <w:rPr>
                <w:sz w:val="22"/>
                <w:szCs w:val="22"/>
              </w:rPr>
              <w:t xml:space="preserve">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неприостановление деятельности участника закуп</w:t>
            </w:r>
            <w:r>
              <w:rPr>
                <w:sz w:val="22"/>
                <w:szCs w:val="22"/>
              </w:rPr>
              <w:t xml:space="preserve">ки в порядке, установленном Кодексом Российской Федерации об административных правонарушениях, на день подачи заявки на участие в процедурах закупок;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отсутствие у участника закупки недоимки по налогам, сборам, задолженности по иным обязательным платежа</w:t>
            </w:r>
            <w:r>
              <w:rPr>
                <w:sz w:val="22"/>
                <w:szCs w:val="22"/>
              </w:rPr>
              <w:t xml:space="preserve">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соответствиис законодательством Российской Федерации о налогах и сборах, которые реструктурированы в со</w:t>
            </w:r>
            <w:r>
              <w:rPr>
                <w:sz w:val="22"/>
                <w:szCs w:val="22"/>
              </w:rPr>
              <w:t xml:space="preserve">ответствии с законодательством Российской Федерации,по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</w:t>
            </w:r>
            <w:r>
              <w:rPr>
                <w:sz w:val="22"/>
                <w:szCs w:val="22"/>
              </w:rPr>
              <w:t xml:space="preserve">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</w:t>
            </w:r>
            <w:r>
              <w:rPr>
                <w:sz w:val="22"/>
                <w:szCs w:val="22"/>
              </w:rPr>
              <w:t xml:space="preserve">ается соответствующим установленному требованиюв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</w:t>
            </w:r>
            <w:r>
              <w:rPr>
                <w:sz w:val="22"/>
                <w:szCs w:val="22"/>
              </w:rPr>
              <w:t xml:space="preserve">чика, исполнителя) не принято;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</w:t>
            </w:r>
            <w:r>
              <w:rPr>
                <w:sz w:val="22"/>
                <w:szCs w:val="22"/>
              </w:rPr>
      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</w:t>
            </w:r>
            <w:r>
              <w:rPr>
                <w:sz w:val="22"/>
                <w:szCs w:val="22"/>
              </w:rPr>
              <w:t xml:space="preserve">вкой товара, выполнением работы, оказанием услуги, являющихся объектом осуществляемой закупки, и административного наказания в виде дисквалификации; 5.1) участник закупки - юридическое лицо, которое в течение 2 лет до момента подачи заявки на участие в зак</w:t>
            </w:r>
            <w:r>
              <w:rPr>
                <w:sz w:val="22"/>
                <w:szCs w:val="22"/>
              </w:rPr>
              <w:t xml:space="preserve">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обладание участником закупки исключительными пра</w:t>
            </w:r>
            <w:r>
              <w:rPr>
                <w:sz w:val="22"/>
                <w:szCs w:val="22"/>
              </w:rPr>
              <w:t xml:space="preserve">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отсутствие между участн</w:t>
            </w:r>
            <w:r>
              <w:rPr>
                <w:sz w:val="22"/>
                <w:szCs w:val="22"/>
              </w:rPr>
              <w:t xml:space="preserve">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</w:t>
            </w:r>
            <w:r>
              <w:rPr>
                <w:sz w:val="22"/>
                <w:szCs w:val="22"/>
              </w:rPr>
              <w:t xml:space="preserve">тва (директором, генеральным директором, управляющим, президентом и другими), членами коллегиального исполнительного органа хозяйственного </w:t>
            </w:r>
            <w:r>
              <w:rPr>
                <w:sz w:val="22"/>
                <w:szCs w:val="22"/>
              </w:rPr>
              <w:t xml:space="preserve">общества, руководителем (директором, генеральным директором) учреждения или унитарного предприятия либо иными органам</w:t>
            </w:r>
            <w:r>
              <w:rPr>
                <w:sz w:val="22"/>
                <w:szCs w:val="22"/>
              </w:rPr>
              <w:t xml:space="preserve">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</w:t>
            </w:r>
            <w:r>
              <w:rPr>
                <w:sz w:val="22"/>
                <w:szCs w:val="22"/>
              </w:rPr>
              <w:t xml:space="preserve">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отсутствие сведений об участнике процедуры закупк</w:t>
            </w:r>
            <w:r>
              <w:rPr>
                <w:sz w:val="22"/>
                <w:szCs w:val="22"/>
              </w:rPr>
              <w:t xml:space="preserve">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</w:t>
            </w:r>
            <w:r>
              <w:rPr>
                <w:sz w:val="22"/>
                <w:szCs w:val="22"/>
              </w:rPr>
              <w:t xml:space="preserve">и муниципальных нужд»; </w:t>
            </w:r>
            <w:r/>
          </w:p>
          <w:p>
            <w:pPr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участник закупки не является офшорной компанией.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участникам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соответствия указанным требо</w:t>
            </w:r>
            <w:r>
              <w:rPr>
                <w:sz w:val="22"/>
                <w:szCs w:val="22"/>
              </w:rPr>
              <w:t xml:space="preserve">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содержанию, форме, оформлению и составу заявок на участие в запросе предложений в электронной форме, перечень документов, которые должны быть представлены в составе заявки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Заявки на участие в запросе предложений в электронной форме представляю</w:t>
            </w:r>
            <w:r>
              <w:rPr>
                <w:bCs/>
                <w:sz w:val="22"/>
                <w:szCs w:val="22"/>
              </w:rPr>
              <w:t xml:space="preserve">тся согласно требованиям к содержанию, оформлению и составу заявки, указанным в документации о закупке и должны содержать информацию и документы, предусмотренные документацией о закупке и подтверждающие соответствие участников запроса предложений в электро</w:t>
            </w:r>
            <w:r>
              <w:rPr>
                <w:bCs/>
                <w:sz w:val="22"/>
                <w:szCs w:val="22"/>
              </w:rPr>
              <w:t xml:space="preserve">нной форме квалификационным требованиям, установленным документацией о закупке.</w:t>
            </w:r>
            <w:r/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Заявка и документы, входящие в состав заявки, должны быть составлены на русском языке.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 файлы документов заявки должны иметь распространенные и открытые форматы и не должны </w:t>
            </w:r>
            <w:r>
              <w:rPr>
                <w:bCs/>
                <w:sz w:val="22"/>
                <w:szCs w:val="22"/>
              </w:rPr>
              <w:t xml:space="preserve">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 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Документы, подготовленные участником размещаются в виде файлов в формате с расширением «d</w:t>
            </w:r>
            <w:r>
              <w:rPr>
                <w:bCs/>
                <w:sz w:val="22"/>
                <w:szCs w:val="22"/>
              </w:rPr>
              <w:t xml:space="preserve">oc», «docх», «rtf» (или аналогичных отрытых форматов) и позволяющих открыть их с помощью текстовых редакторов пакета приложений MicrosoftOffice и допускающих после сохранения возможность поиска, копирования и редактирования произвольного фрагмента текста д</w:t>
            </w:r>
            <w:r>
              <w:rPr>
                <w:bCs/>
                <w:sz w:val="22"/>
                <w:szCs w:val="22"/>
              </w:rPr>
              <w:t xml:space="preserve">окумента. 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может дополнительно (информационно) приложить документы заявки, в других форматах (pdf, jpeg и т.д.). Данные документы могут использоваться Заказчиком для уточнения информации представленной участником закупки. 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Документы, представленные в графических образах оригиналов документов, должны быть представлены в формате обеспечивающих сохранение всех аутентичных признаков подлинности (графической подписи лица, печати (при наличии)). 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запроса предложений подае</w:t>
            </w:r>
            <w:r>
              <w:rPr>
                <w:bCs/>
                <w:sz w:val="22"/>
                <w:szCs w:val="22"/>
              </w:rPr>
              <w:t xml:space="preserve">т в электронной форме заявку на участие в запросе предложений оператору электронной торговой площадки. Форма заявки на участие в запросе предложений указывается в документации о проведении запроса предложений. 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Заявка на участие в запросе предложений должн</w:t>
            </w:r>
            <w:r>
              <w:rPr>
                <w:bCs/>
                <w:sz w:val="22"/>
                <w:szCs w:val="22"/>
              </w:rPr>
              <w:t xml:space="preserve">а содержать следующую информацию, а именно: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Участник закупки должен подготовить предложение, включающее: 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1) документ, содержащий сведения об участнике закупок, подавшем заявку: фирменное наименование (полное наименование), организационно-правовую форму, </w:t>
            </w:r>
            <w:r>
              <w:rPr>
                <w:bCs/>
                <w:sz w:val="22"/>
                <w:szCs w:val="22"/>
              </w:rPr>
              <w:t xml:space="preserve">место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2) копии учредительных документов (для юридических лиц);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3) копии документо</w:t>
            </w:r>
            <w:r>
              <w:rPr>
                <w:bCs/>
                <w:sz w:val="22"/>
                <w:szCs w:val="22"/>
              </w:rPr>
              <w:t xml:space="preserve">в, удостоверяющих личность (для физических лиц);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4) выписку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предпринимателей), полученную не </w:t>
            </w:r>
            <w:r>
              <w:rPr>
                <w:bCs/>
                <w:sz w:val="22"/>
                <w:szCs w:val="22"/>
              </w:rPr>
              <w:t xml:space="preserve">ранее чем за шесть месяцев до дня размещения в ЕИС извещения о проведении запроса предложений, или нотариально заверенную копию такой выписки;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5) надлежащим образом заверенный перевод на русский язык документов о государственной регистрации юридического ли</w:t>
            </w:r>
            <w:r>
              <w:rPr>
                <w:bCs/>
                <w:sz w:val="22"/>
                <w:szCs w:val="22"/>
              </w:rPr>
              <w:t xml:space="preserve">ца или индивидуального предпринимателя согласно законодательству соответствующего государства (для иностранных лиц). Документы должны быть получены не ранее чем за шесть месяцев до дня размещения в ЕИС извещения о проведении запроса предложений;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6) докумен</w:t>
            </w:r>
            <w:r>
              <w:rPr>
                <w:bCs/>
                <w:sz w:val="22"/>
                <w:szCs w:val="22"/>
              </w:rPr>
              <w:t xml:space="preserve">т, подтверждающий полномочия лица осуществлять действия от имени участника закупок -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</w:t>
            </w:r>
            <w:r>
              <w:rPr>
                <w:bCs/>
                <w:sz w:val="22"/>
                <w:szCs w:val="22"/>
              </w:rPr>
              <w:t xml:space="preserve">ени участника без доверенности).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наличии) участника закупок и подписанную от его имени лицом (л</w:t>
            </w:r>
            <w:r>
              <w:rPr>
                <w:bCs/>
                <w:sz w:val="22"/>
                <w:szCs w:val="22"/>
              </w:rPr>
              <w:t xml:space="preserve">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7) решение об одобрении или о совершении крупной сделк</w:t>
            </w:r>
            <w:r>
              <w:rPr>
                <w:bCs/>
                <w:sz w:val="22"/>
                <w:szCs w:val="22"/>
              </w:rPr>
              <w:t xml:space="preserve">и (его копию),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товаров, выполнение работ, оказание услуг, выст</w:t>
            </w:r>
            <w:r>
              <w:rPr>
                <w:bCs/>
                <w:sz w:val="22"/>
                <w:szCs w:val="22"/>
              </w:rPr>
              <w:t xml:space="preserve">упающих предметом договора, предоставление обеспечения исполнения договора являются крупной сделкой. Если указанные действия не считаются для участника закупки крупной сделкой, представляется соответствующее письмо;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8) документ, декларирующий соответствие </w:t>
            </w:r>
            <w:r>
              <w:rPr>
                <w:bCs/>
                <w:sz w:val="22"/>
                <w:szCs w:val="22"/>
              </w:rPr>
              <w:t xml:space="preserve">участника закупки требованиям, установленным в документации о закупке (извещении о закупке) на основании подпунктов 2 – 9 пункта 15 настоящей документации;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9) предложение участника запроса предложений о качественных и функциональных характеристиках (потреб</w:t>
            </w:r>
            <w:r>
              <w:rPr>
                <w:bCs/>
                <w:sz w:val="22"/>
                <w:szCs w:val="22"/>
              </w:rPr>
              <w:t xml:space="preserve">ительских свойствах), безопасности, сроках поставки товаров, выполнения работ, оказания услуг, предложение о цене договора, цене единицы товара, работы, услуги и иные предложения по условиям исполнения Договора: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1-1) при размещении закупки на поставку това</w:t>
            </w:r>
            <w:r>
              <w:rPr>
                <w:bCs/>
                <w:sz w:val="22"/>
                <w:szCs w:val="22"/>
              </w:rPr>
              <w:t xml:space="preserve">ра: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согласие участника процедуры закупки на поставку товара в случае: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если участник процедуры закупки предлагает для поставки товар, указание на товарный знак которого содержится в документации о закупке или указание на товарный знак предлагаемого для</w:t>
            </w:r>
            <w:r>
              <w:rPr>
                <w:bCs/>
                <w:sz w:val="22"/>
                <w:szCs w:val="22"/>
              </w:rPr>
              <w:t xml:space="preserve"> поставки товара и конкретные показатели этого товара, соответствующие значениям эквивалентности, установленным документацией о закупке;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если участник процедуры закупки предлагает для поставки товар, который является эквивалентным товару, указанному в до</w:t>
            </w:r>
            <w:r>
              <w:rPr>
                <w:bCs/>
                <w:sz w:val="22"/>
                <w:szCs w:val="22"/>
              </w:rPr>
              <w:t xml:space="preserve">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закупке на товарный знак;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конкретные показатели, соответствующие значениям, установленным </w:t>
            </w:r>
            <w:r>
              <w:rPr>
                <w:bCs/>
                <w:sz w:val="22"/>
                <w:szCs w:val="22"/>
              </w:rPr>
              <w:t xml:space="preserve">документацией о закупке, и товарный знак (при его наличии) предлагаемого для поставки товара при условии отсутствия в документации о закупке указания на товарный знак;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2-1) согласие участника процедуры закупки на выполнение работ, оказание услуг на условия</w:t>
            </w:r>
            <w:r>
              <w:rPr>
                <w:bCs/>
                <w:sz w:val="22"/>
                <w:szCs w:val="22"/>
              </w:rPr>
              <w:t xml:space="preserve">х, предусмотренных документацией о закупке, при условии размещения закупки на выполнение работ, оказание услуг;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3-1) при размещении закупки на выполнение работ, оказание услуг для выполнения, оказания которых используется товар: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согласие, предусмотренное</w:t>
            </w:r>
            <w:r>
              <w:rPr>
                <w:bCs/>
                <w:sz w:val="22"/>
                <w:szCs w:val="22"/>
              </w:rPr>
              <w:t xml:space="preserve"> пунктом 2-1 настоящей части, в том числе, означающее согласие на использование товара, указание на товарный знак которого, содержится в документации о закупке, или согласие, предусмотренное пунктом 2-1 настоящей части, указание на товарный знак предлагаем</w:t>
            </w:r>
            <w:r>
              <w:rPr>
                <w:bCs/>
                <w:sz w:val="22"/>
                <w:szCs w:val="22"/>
              </w:rPr>
              <w:t xml:space="preserve">ого для использования товара и конкретные показатели этого товара, соответствующие значениям эквивалентности, установленным документацией о закупке, если участник процедуры закупки предлагает для использования товар, который является эквивалентным товару, </w:t>
            </w:r>
            <w:r>
              <w:rPr>
                <w:bCs/>
                <w:sz w:val="22"/>
                <w:szCs w:val="22"/>
              </w:rPr>
              <w:t xml:space="preserve">указанному в документации о закупке, при условии содержания в документации о закупке указания на товарный знак используемого товара, а также требования о необходимости указания в заявке на участие в закупке на товарный знак (при его наличии);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согласие, п</w:t>
            </w:r>
            <w:r>
              <w:rPr>
                <w:bCs/>
                <w:sz w:val="22"/>
                <w:szCs w:val="22"/>
              </w:rPr>
              <w:t xml:space="preserve">редусмотренное пунктом 2-1 настоящей части, а также конкретные показатели, соответствующие значениям, установленным документацией о закупке, и товарный знак (при его наличии) предлагаемого для использования товара при условии отсутствия в документации о за</w:t>
            </w:r>
            <w:r>
              <w:rPr>
                <w:bCs/>
                <w:sz w:val="22"/>
                <w:szCs w:val="22"/>
              </w:rPr>
              <w:t xml:space="preserve">купке указания на товарный знак используемого товара;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10) документы (их копии), подтверждающие соответствие участника запроса предложений требованиям законодательства РФ и документации о проведении запроса предложений к лицам, которые осуществляют поставки</w:t>
            </w:r>
            <w:r>
              <w:rPr>
                <w:bCs/>
                <w:sz w:val="22"/>
                <w:szCs w:val="22"/>
              </w:rPr>
              <w:t xml:space="preserve"> товаров, выполнение </w:t>
            </w:r>
            <w:r>
              <w:rPr>
                <w:bCs/>
                <w:sz w:val="22"/>
                <w:szCs w:val="22"/>
              </w:rPr>
              <w:t xml:space="preserve">работ, оказание услуг;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и, если предст</w:t>
            </w:r>
            <w:r>
              <w:rPr>
                <w:bCs/>
                <w:sz w:val="22"/>
                <w:szCs w:val="22"/>
              </w:rPr>
              <w:t xml:space="preserve">авление указанных документов предусмотрено документацией о проведении запроса предложений. Исключение составляют документы, которые согласно гражданскому законодательству, могут быть представлены только вместе с товаром;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12) документы (их копии) и сведения</w:t>
            </w:r>
            <w:r>
              <w:rPr>
                <w:bCs/>
                <w:sz w:val="22"/>
                <w:szCs w:val="22"/>
              </w:rPr>
              <w:t xml:space="preserve">, необходимые для оценки заявки по критериям, которые установлены в документации о запросе предложений;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13) обязательство участника запроса предложений представить до момен</w:t>
            </w:r>
            <w:r>
              <w:rPr>
                <w:bCs/>
                <w:sz w:val="22"/>
                <w:szCs w:val="22"/>
              </w:rPr>
              <w:t xml:space="preserve">та заключения договора сведения о цепочке собственников, включая бенефициаров (в том числе конечных), и документы, подтверждающие эти сведения, если требование о представлении таких сведений было установлено в документации о проведении запроса предложений.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Заявка на участие в запросе предложений может содержать: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1)дополнительные документы и сведения, необходимые для оценки заявки по критериям, которые установлены в документации о проведении запроса предложений;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2)эскиз, рисунок, чертеж, фотографию, иное изо</w:t>
            </w:r>
            <w:r>
              <w:rPr>
                <w:bCs/>
                <w:sz w:val="22"/>
                <w:szCs w:val="22"/>
              </w:rPr>
              <w:t xml:space="preserve">бражение товара, образец (пробу) товара, на поставку которого осуществляется закупка;</w:t>
            </w:r>
            <w:r/>
          </w:p>
          <w:p>
            <w:pPr>
              <w:jc w:val="both"/>
              <w:widowControl w:val="off"/>
              <w:tabs>
                <w:tab w:val="left" w:pos="548" w:leader="none"/>
                <w:tab w:val="left" w:pos="143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3) иные документы, подтверждающие соответствие участника закупки и (или) товара, работы, услуги требован.</w:t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обеспечения заявок на участие в запросе предложений в э</w:t>
            </w:r>
            <w:r>
              <w:rPr>
                <w:sz w:val="22"/>
                <w:szCs w:val="22"/>
              </w:rPr>
              <w:t xml:space="preserve">лектронной форме, срок и порядок его предоставления участником закупки и возврата Заказчиком, в случае, если Заказчиком установлено требование обеспечения заявок на участие в запросе предложений в электронной форме, а также условия банковской гарантии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заявки не установлено </w:t>
            </w:r>
            <w:r/>
          </w:p>
        </w:tc>
      </w:tr>
      <w:tr>
        <w:trPr>
          <w:trHeight w:val="11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обеспечени</w:t>
            </w:r>
            <w:r>
              <w:rPr>
                <w:sz w:val="22"/>
                <w:szCs w:val="22"/>
              </w:rPr>
              <w:t xml:space="preserve">я исполнения договора, срок и порядок его предоставления его лицом, с которым заключается договор, срок и порядок его возврата Заказчиком, в случае, если Заказчиком установлено требование обеспечения исполнения договора, а также условия банковской гарантии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описанию участниками закупки выполняемой работы (оказываемой услуги) которые являются предметом закупки, их количественных и качественных характеристик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73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Заявка участника должна содержать предложение участника запроса предложений в электронной ф</w:t>
            </w:r>
            <w:r>
              <w:rPr>
                <w:bCs/>
                <w:sz w:val="22"/>
                <w:szCs w:val="22"/>
              </w:rPr>
              <w:t xml:space="preserve">орме на поставку товара, которые являются предметом закупки. Участник закупки обязан указать конкретные показатели используемых при оказании услуг, выполнении работ товаров, соответствующие всем значениям параметров, значения и показатели которых установле</w:t>
            </w:r>
            <w:r>
              <w:rPr>
                <w:bCs/>
                <w:sz w:val="22"/>
                <w:szCs w:val="22"/>
              </w:rPr>
              <w:t xml:space="preserve">ны в техническом задании, являющимся неотъемлемой частью настоящей документации о закупке.</w:t>
            </w:r>
            <w:r/>
          </w:p>
          <w:p>
            <w:pPr>
              <w:jc w:val="both"/>
              <w:widowControl w:val="off"/>
              <w:tabs>
                <w:tab w:val="left" w:pos="573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Описание оказываемых услуг, которые являются предметом запроса предложений, указывается в форме заявки на участие в запросе предложений в соответствии с требованиями</w:t>
            </w:r>
            <w:r>
              <w:rPr>
                <w:bCs/>
                <w:sz w:val="22"/>
                <w:szCs w:val="22"/>
              </w:rPr>
              <w:t xml:space="preserve"> документации и извещения.</w:t>
            </w:r>
            <w:r/>
          </w:p>
          <w:p>
            <w:pPr>
              <w:jc w:val="both"/>
              <w:widowControl w:val="off"/>
              <w:tabs>
                <w:tab w:val="left" w:pos="5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</w:t>
            </w:r>
            <w:r>
              <w:rPr>
                <w:sz w:val="22"/>
                <w:szCs w:val="22"/>
              </w:rPr>
              <w:t xml:space="preserve">установленными в </w:t>
            </w:r>
            <w:r>
              <w:rPr>
                <w:bCs/>
                <w:sz w:val="22"/>
                <w:szCs w:val="22"/>
              </w:rPr>
              <w:t xml:space="preserve">техническом задании, являющимся неотъемлемой </w:t>
            </w:r>
            <w:r>
              <w:rPr>
                <w:bCs/>
                <w:sz w:val="22"/>
                <w:szCs w:val="22"/>
              </w:rPr>
              <w:t xml:space="preserve">частью настоящей документации о закупке</w:t>
            </w:r>
            <w:r>
              <w:rPr>
                <w:sz w:val="22"/>
                <w:szCs w:val="22"/>
              </w:rPr>
              <w:t xml:space="preserve">.</w:t>
            </w:r>
            <w:r/>
          </w:p>
          <w:p>
            <w:pPr>
              <w:jc w:val="both"/>
              <w:widowControl w:val="off"/>
              <w:tabs>
                <w:tab w:val="left" w:pos="57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случае, если в документации о запросе предложений в электронной форме для определения соответствия закупаемых услуг, работ потребностям Заказчика, требования к значению какого-либо показателя указаны в виде ссылки</w:t>
            </w:r>
            <w:r>
              <w:rPr>
                <w:bCs/>
                <w:sz w:val="22"/>
                <w:szCs w:val="22"/>
              </w:rPr>
              <w:t xml:space="preserve"> на нормативно-техническую документацию (ГОСТы, ОСТы, Технические регламенты и т.д.) и в указанной нормативно-технической документации предлагается к использованию для одних и тех же целей несколько значений показателей, и необходимость выбора конкретного </w:t>
            </w:r>
            <w:r>
              <w:rPr>
                <w:bCs/>
                <w:sz w:val="22"/>
                <w:szCs w:val="22"/>
              </w:rPr>
              <w:t xml:space="preserve">значения указана в разделе 3 «Описание предмета закупки» настоящей документации о запросе предложений в электронной форме, участник закупки должен указать конкретный показатель, соответствующий значениям, установленным нормативно-технической документацией.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сроку и (или) объему предоставления гарантий качества товара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условий, предусмотренных в Описании предмета закупки (Раздел 3) и проекте договора (Раздел 4) настоящей документации.</w:t>
            </w:r>
            <w:r/>
          </w:p>
        </w:tc>
      </w:tr>
      <w:tr>
        <w:trPr>
          <w:trHeight w:val="14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0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Порядок, место, дата начала и дата окончания срока подачи заявок на участие в запросе предложений в электронной форме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Заявки на участие в запросе предложений подаются по адресу оператора электронной площадки 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 xml:space="preserve">нет»: </w:t>
            </w:r>
            <w:r>
              <w:rPr>
                <w:sz w:val="22"/>
                <w:szCs w:val="22"/>
              </w:rPr>
              <w:t xml:space="preserve">на электронной площадке </w:t>
            </w:r>
            <w:hyperlink r:id="rId19" w:tooltip="https://etp-region.ru" w:history="1">
              <w:r>
                <w:rPr>
                  <w:rStyle w:val="846"/>
                  <w:rFonts w:eastAsia="Calibri"/>
                  <w:sz w:val="22"/>
                </w:rPr>
                <w:t xml:space="preserve">https://etp-region.ru</w:t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с «18» октября 2022 г. по «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03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»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ноября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2022 г. до 11 час. 00 мин. (местное время заказчика).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участия в запросе предложений в электронно</w:t>
            </w:r>
            <w:r>
              <w:rPr>
                <w:color w:val="000000"/>
                <w:sz w:val="22"/>
                <w:szCs w:val="22"/>
              </w:rPr>
              <w:t xml:space="preserve">й форме участник закупки, получивший аккредитацию на электронной площадке, определенной для проведения настоящего запроса предложений в электронной форме, подает заявку на участие в запросе предложений в электронной форме.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 закупки вправе подать т</w:t>
            </w:r>
            <w:r>
              <w:rPr>
                <w:color w:val="000000"/>
                <w:sz w:val="22"/>
                <w:szCs w:val="22"/>
              </w:rPr>
              <w:t xml:space="preserve">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</w:t>
            </w:r>
            <w:r>
              <w:rPr>
                <w:color w:val="000000"/>
                <w:sz w:val="22"/>
                <w:szCs w:val="22"/>
              </w:rPr>
              <w:t xml:space="preserve"> на участие в запросе предложений в электронной форме.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 закупки, подавший заявку на участие в запросе предложений в электронной форме, вправе отозвать данную заявку либо внести в нее изменения не позднее даты окончания срока подачи заявок на участи</w:t>
            </w:r>
            <w:r>
              <w:rPr>
                <w:color w:val="000000"/>
                <w:sz w:val="22"/>
                <w:szCs w:val="22"/>
              </w:rPr>
              <w:t xml:space="preserve">е в запросе предложений в электронной форме, направив об этом уведомление оператору электронной площадки.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</w:t>
            </w:r>
            <w:r>
              <w:rPr>
                <w:color w:val="000000"/>
                <w:sz w:val="22"/>
                <w:szCs w:val="22"/>
              </w:rPr>
              <w:t xml:space="preserve"> до истечения срока подачи заявок на участие в такой закупке.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Порядок подачи заявок на участие в запросе предложений в электронной форме устанавливается регламентом работы электронной площадки.</w:t>
            </w:r>
            <w:r/>
          </w:p>
        </w:tc>
      </w:tr>
      <w:tr>
        <w:trPr>
          <w:trHeight w:val="20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и дата рассмотрения заявок на участие в запросе предложений и подведения итогов закупки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рассмотрения заявок и подведения итогов закупки: 659305, Алтайский край ,г.Бийск, ул.Лесная -31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Дата окончания рассмотрения заявок: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«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03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»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ноября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 2022 г.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Дата подведения итогов закупки: 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«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03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»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ноября</w:t>
            </w:r>
            <w:r>
              <w:rPr>
                <w:b/>
                <w:i/>
                <w:color w:val="000000"/>
                <w:sz w:val="22"/>
                <w:szCs w:val="22"/>
                <w:highlight w:val="yellow"/>
              </w:rPr>
              <w:t xml:space="preserve"> 2022 г. 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допуска к участию в запросе предложений в электронной форме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закупкам отказывает участнику закупки в допуске к участию в процедуре закупки в следующих случаях: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выявлено несоответствие участника хотя бы одному из требований, перечисленных в документации и Положении о </w:t>
            </w:r>
            <w:r>
              <w:rPr>
                <w:color w:val="000000"/>
                <w:sz w:val="22"/>
                <w:szCs w:val="22"/>
              </w:rPr>
              <w:t xml:space="preserve">закупке;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2) участник закупки и (ил</w:t>
            </w:r>
            <w:r>
              <w:rPr>
                <w:color w:val="000000"/>
                <w:sz w:val="22"/>
                <w:szCs w:val="22"/>
              </w:rPr>
              <w:t xml:space="preserve">и) его заявка не соответствуют иным требованиям документации о закупке или Положения о закупке;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участник закупки не представил документы, необходимые для участия в процедуре закупки;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в представленных документах или в заявке указаны недостоверные свед</w:t>
            </w:r>
            <w:r>
              <w:rPr>
                <w:color w:val="000000"/>
                <w:sz w:val="22"/>
                <w:szCs w:val="22"/>
              </w:rPr>
              <w:t xml:space="preserve">ения об участнике закупки и (или) о товарах, работах, услугах;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  <w:r/>
          </w:p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Если выявлен хотя бы один из фактов, комиссия по закупк</w:t>
            </w:r>
            <w:r>
              <w:rPr>
                <w:color w:val="000000"/>
                <w:sz w:val="22"/>
                <w:szCs w:val="22"/>
              </w:rPr>
              <w:t xml:space="preserve">ам обязана отстранить участника от процедуры закупки на любом этапе ее проведения до момента заключения договора.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заключения договора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 результата</w:t>
            </w:r>
            <w:r>
              <w:rPr>
                <w:sz w:val="22"/>
                <w:szCs w:val="22"/>
              </w:rPr>
              <w:t xml:space="preserve">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закупки. В случае необходимости одобрения органом управления заказ</w:t>
            </w:r>
            <w:r>
              <w:rPr>
                <w:sz w:val="22"/>
                <w:szCs w:val="22"/>
              </w:rPr>
              <w:t xml:space="preserve">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закупки, оператора электронной площадки договор должен быть заклю</w:t>
            </w:r>
            <w:r>
              <w:rPr>
                <w:sz w:val="22"/>
                <w:szCs w:val="22"/>
              </w:rPr>
              <w:t xml:space="preserve">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 результатам конкурентной закупки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</w:t>
            </w:r>
            <w:r>
              <w:rPr>
                <w:sz w:val="22"/>
                <w:szCs w:val="22"/>
              </w:rPr>
              <w:t xml:space="preserve">акупки, Заказчика.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</w:t>
            </w:r>
            <w:r>
              <w:rPr>
                <w:rFonts w:eastAsia="Calibri"/>
                <w:sz w:val="22"/>
                <w:szCs w:val="22"/>
              </w:rPr>
              <w:t xml:space="preserve">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с участником закупки, обязанным заключить договор, заключается после предоставления</w:t>
            </w:r>
            <w:r>
              <w:rPr>
                <w:sz w:val="22"/>
                <w:szCs w:val="22"/>
              </w:rPr>
              <w:t xml:space="preserve"> таким участником обеспечения исполнения договора, соответствующего требованиям документации о закупке (если требование о предоставлении обеспечения исполнения договора было предусмотрено Заказчиком в документации о закупке).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если участник закупки</w:t>
            </w:r>
            <w:r>
              <w:rPr>
                <w:sz w:val="22"/>
                <w:szCs w:val="22"/>
              </w:rPr>
              <w:t xml:space="preserve">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если у</w:t>
            </w:r>
            <w:r>
              <w:rPr>
                <w:sz w:val="22"/>
                <w:szCs w:val="22"/>
              </w:rPr>
              <w:t xml:space="preserve">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случае наличия разногласий по проекту договора, напра</w:t>
            </w:r>
            <w:r>
              <w:rPr>
                <w:sz w:val="22"/>
                <w:szCs w:val="22"/>
              </w:rPr>
              <w:t xml:space="preserve">вленному заказчиком, участник такой закупки составляет протокол разногласий с указанием замечаний к положениям </w:t>
            </w:r>
            <w:r>
              <w:rPr>
                <w:sz w:val="22"/>
                <w:szCs w:val="22"/>
              </w:rPr>
              <w:t xml:space="preserve">проекта договора, не соответствующим извещению, документации о конкурентной закупке и своей заявке, с указанием соответствующих положений данных </w:t>
            </w:r>
            <w:r>
              <w:rPr>
                <w:sz w:val="22"/>
                <w:szCs w:val="22"/>
              </w:rPr>
              <w:t xml:space="preserve">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</w:t>
            </w:r>
            <w:r>
              <w:rPr>
                <w:sz w:val="22"/>
                <w:szCs w:val="22"/>
              </w:rPr>
              <w:t xml:space="preserve">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возможности Заказчика в одностороннем порядке отказаться от исполнения договора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условиями договора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праве Заказчика изменить количество поставляемого товара, объем выполняемых работ (оказываемых услуг), сроки поставки товара (выполнения работ, оказания услуг) и другие существенные условия договора в период заключения и исполнения договора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</w:t>
            </w:r>
            <w:r>
              <w:rPr>
                <w:sz w:val="22"/>
                <w:szCs w:val="22"/>
              </w:rPr>
              <w:t xml:space="preserve">ответствии с условиями договора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требованиями постановления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</w:t>
            </w:r>
            <w:r>
              <w:rPr>
                <w:sz w:val="22"/>
                <w:szCs w:val="22"/>
              </w:rPr>
              <w:t xml:space="preserve">ошению к товарам, происходящим из иностранного государства, работам, услугам, выполняемым, оказываемым иностранными лицами» установлен приоритет товаров российского происхождения, работ, услуг, выполняемых, оказываемых российскими лицами, при осуществлении</w:t>
            </w:r>
            <w:r>
              <w:rPr>
                <w:sz w:val="22"/>
                <w:szCs w:val="22"/>
              </w:rPr>
              <w:t xml:space="preserve">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</w:t>
            </w:r>
            <w:r>
              <w:rPr>
                <w:sz w:val="22"/>
                <w:szCs w:val="22"/>
              </w:rPr>
              <w:t xml:space="preserve">олняемым, оказываемым иностранными лицами.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возможности проведения переторжки и порядок ее проведения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предусмотрено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праве Заказчика </w:t>
            </w:r>
            <w:r>
              <w:rPr>
                <w:sz w:val="22"/>
                <w:szCs w:val="22"/>
              </w:rPr>
              <w:t xml:space="preserve">внести</w:t>
            </w:r>
            <w:r>
              <w:rPr>
                <w:color w:val="000000"/>
                <w:sz w:val="22"/>
                <w:szCs w:val="22"/>
              </w:rPr>
              <w:t xml:space="preserve"> изменения в извещение и (или) документацию о закупке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</w:t>
            </w:r>
            <w:r>
              <w:rPr>
                <w:sz w:val="22"/>
                <w:szCs w:val="22"/>
              </w:rPr>
              <w:t xml:space="preserve">оса предложений в электронной форме и (или) документацию о закупке.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Изменения, вносимые в извещение о проведении запроса предложений в электронной форме, документацию о закупке размещаются Заказчиком в единой информационной системе не позднее чем в течение</w:t>
            </w:r>
            <w:r>
              <w:rPr>
                <w:sz w:val="22"/>
                <w:szCs w:val="22"/>
              </w:rPr>
              <w:t xml:space="preserve"> трех дней со дня принятия решения о внесении указанных изменений.</w:t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внесения изменений в извещение о проведении запроса предложений в электронной форме, документацию о закупке срок подачи заявок на участие в запросе предложений в электронной форме </w:t>
            </w:r>
            <w:r>
              <w:rPr>
                <w:sz w:val="22"/>
                <w:szCs w:val="22"/>
              </w:rPr>
              <w:t xml:space="preserve">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 половины срока подачи заявок.</w:t>
            </w:r>
            <w:r/>
          </w:p>
        </w:tc>
      </w:tr>
      <w:tr>
        <w:trPr>
          <w:trHeight w:val="4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праве Заказчика отказаться от проведения</w:t>
            </w:r>
            <w:r/>
          </w:p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процедуры закупки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форме. Решени</w:t>
            </w:r>
            <w:r>
              <w:rPr>
                <w:sz w:val="22"/>
                <w:szCs w:val="22"/>
              </w:rPr>
              <w:t xml:space="preserve">е об отмене запроса предложений в электронной форме размещается в единой информационной системе в день принятия этого решения. По истечении указанного срока отмены и до заключения договора Заказчик вправе отменить запрос предложений в электронной форме тол</w:t>
            </w:r>
            <w:r>
              <w:rPr>
                <w:sz w:val="22"/>
                <w:szCs w:val="22"/>
              </w:rPr>
              <w:t xml:space="preserve">ько в случае возникновения обстоятельств непреодолимой силы в соответствии с гражданским законодательством.</w:t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78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127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Порядок рассмотрения, критерии оценки и сопоставления заявок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48" w:type="dxa"/>
            <w:vAlign w:val="center"/>
            <w:textDirection w:val="lrTb"/>
            <w:noWrap w:val="false"/>
          </w:tcPr>
          <w:p>
            <w:pPr>
              <w:pStyle w:val="1118"/>
              <w:ind w:firstLine="0"/>
            </w:pPr>
            <w:r>
              <w:rPr>
                <w:sz w:val="22"/>
                <w:szCs w:val="22"/>
              </w:rPr>
              <w:t xml:space="preserve">Оценка и сопоставление заявок на участие в запросе предложений в электронной форме проводится членами </w:t>
            </w:r>
            <w:r>
              <w:rPr>
                <w:color w:val="000000"/>
                <w:sz w:val="22"/>
                <w:szCs w:val="22"/>
              </w:rPr>
              <w:t xml:space="preserve">единой комиссией по осуществлению закупок</w:t>
            </w:r>
            <w:r>
              <w:rPr>
                <w:sz w:val="22"/>
                <w:szCs w:val="22"/>
              </w:rPr>
              <w:t xml:space="preserve"> в строгом соответствии с критериями и порядком, предусмотренными настоящей документацией о запросе предложений. </w:t>
            </w:r>
            <w:r>
              <w:rPr>
                <w:sz w:val="22"/>
                <w:szCs w:val="22"/>
              </w:rPr>
              <w:t xml:space="preserve">Рейтинг заявок на участие в запросе предложений в электронной форме представляет собой оценку в баллах, получаемую по результатам оценки по критериям с учетом значимости (веса) данных критериев.</w:t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dxa"/>
            <w:textDirection w:val="lrTb"/>
            <w:noWrap w:val="false"/>
          </w:tcPr>
          <w:p>
            <w:pPr>
              <w:ind w:left="426"/>
              <w:jc w:val="center"/>
              <w:spacing w:after="160" w:line="259" w:lineRule="auto"/>
              <w:widowControl w:val="off"/>
              <w:tabs>
                <w:tab w:val="left" w:pos="182" w:leader="none"/>
                <w:tab w:val="left" w:pos="54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оценки и сопоставления заявок участников закупки установлены следующие критерии:</w:t>
            </w:r>
            <w:r/>
          </w:p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характеризующиеся как стоимостные критерии оценки – цена договора;</w:t>
            </w:r>
            <w:r/>
          </w:p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характеризующиеся как нестоимостные критерии оценки: сроки (периоды) поставки товара, выполнения р</w:t>
            </w:r>
            <w:r>
              <w:rPr>
                <w:sz w:val="22"/>
                <w:szCs w:val="22"/>
              </w:rPr>
              <w:t xml:space="preserve">абот, оказания услуг.</w:t>
            </w:r>
            <w:r/>
          </w:p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tbl>
            <w:tblPr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4906"/>
              <w:gridCol w:w="1842"/>
              <w:gridCol w:w="2215"/>
            </w:tblGrid>
            <w:tr>
              <w:trPr>
                <w:jc w:val="center"/>
                <w:trHeight w:val="566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62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п/п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539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Наименование</w:t>
                  </w:r>
                  <w:r/>
                </w:p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критерия оценки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953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Значимость критерия оценки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46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Коэффициент значимости критерия оценки</w:t>
                  </w:r>
                  <w:r/>
                </w:p>
              </w:tc>
            </w:tr>
            <w:tr>
              <w:trPr>
                <w:jc w:val="center"/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62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539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Цена договора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953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70 %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46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0,7</w:t>
                  </w:r>
                  <w:r/>
                </w:p>
              </w:tc>
            </w:tr>
            <w:tr>
              <w:trPr>
                <w:jc w:val="center"/>
                <w:trHeight w:val="288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62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539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Сроки (периоды) поставки товара, выполнения работ, оказания услуг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953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30%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46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0,3</w:t>
                  </w:r>
                  <w:r/>
                </w:p>
              </w:tc>
            </w:tr>
            <w:tr>
              <w:trPr>
                <w:jc w:val="center"/>
                <w:trHeight w:val="33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62" w:type="pct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539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Итого: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953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100 %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46" w:type="pct"/>
                  <w:vAlign w:val="center"/>
                  <w:textDirection w:val="lrTb"/>
                  <w:noWrap w:val="false"/>
                </w:tcPr>
                <w:p>
                  <w:pPr>
                    <w:pStyle w:val="1118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  <w:r/>
                </w:p>
              </w:tc>
            </w:tr>
          </w:tbl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1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заявок, установленному в конкурсной документации, умноженных на их значимость.</w:t>
            </w:r>
            <w:r/>
          </w:p>
          <w:p>
            <w:pPr>
              <w:pStyle w:val="1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 п</w:t>
            </w:r>
            <w:r>
              <w:rPr>
                <w:sz w:val="22"/>
                <w:szCs w:val="22"/>
              </w:rPr>
              <w:t xml:space="preserve">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Значимость критериев определяется в процентах. При этом д</w:t>
            </w:r>
            <w:r>
              <w:rPr>
                <w:sz w:val="22"/>
                <w:szCs w:val="22"/>
              </w:rPr>
              <w:t xml:space="preserve">ля расчета рейтингов применяется коэффициент значимости, равный значению соответствующего критерия в процентах, деленному на 100. Сумма значимостей критериев оценки заявок составляет 100 процентов.</w:t>
            </w:r>
            <w:r/>
          </w:p>
          <w:p>
            <w:pPr>
              <w:pStyle w:val="1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запроса предложений в электронной форме призна</w:t>
            </w:r>
            <w:r>
              <w:rPr>
                <w:sz w:val="22"/>
                <w:szCs w:val="22"/>
              </w:rPr>
              <w:t xml:space="preserve">ется участник, который предложил лучшие условия исполнения договора на основе критериев, указанных в документации о закупке, и заявке на участие в запросе предложений в электронной форме которого присвоен первый номер.</w:t>
            </w:r>
            <w:r/>
          </w:p>
          <w:p>
            <w:pPr>
              <w:pStyle w:val="1118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заявок</w:t>
            </w:r>
            <w:r/>
          </w:p>
          <w:p>
            <w:pPr>
              <w:pStyle w:val="1118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1) по стоимостным крите</w:t>
            </w:r>
            <w:r>
              <w:rPr>
                <w:b/>
                <w:sz w:val="22"/>
                <w:szCs w:val="22"/>
              </w:rPr>
              <w:t xml:space="preserve">риям оценки: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Критерий: «Цена договора»: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стоимостного критерия оценки:70 %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значимости (КЗ) равен 0,7.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 оценка заявок на участие в запросе предложений в электронной форме в соответствии с критерием «Цена договора» осущест</w:t>
            </w:r>
            <w:r>
              <w:rPr>
                <w:sz w:val="22"/>
                <w:szCs w:val="22"/>
              </w:rPr>
              <w:t xml:space="preserve">вляются в порядке: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баллов, присуждаемых по стоимостному критерию оценки «Цена договора», определяется по формуле: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9650" cy="438150"/>
                      <wp:effectExtent l="0" t="0" r="0" b="0"/>
                      <wp:docPr id="1" name="Рисунок 1" descr="image0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1" descr="image0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9650" cy="438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79.5pt;height:34.5pt;" stroked="f" strokeweight="0.75pt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где: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  -</w:t>
            </w:r>
            <w:r>
              <w:rPr>
                <w:sz w:val="22"/>
                <w:szCs w:val="22"/>
              </w:rPr>
              <w:t xml:space="preserve"> предложение i-того участника запроса предложений о цене договора;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Цmin  - минимальное предложение из предложений по критерию оценки, сделанных участниками запроса предложений;</w:t>
            </w:r>
            <w:r/>
          </w:p>
          <w:p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расчета итогового рейтинга по заявке рейтинг, присуждаемый этой заявке по с</w:t>
            </w:r>
            <w:r>
              <w:rPr>
                <w:sz w:val="22"/>
                <w:szCs w:val="22"/>
              </w:rPr>
              <w:t xml:space="preserve">тоимостному критерию «Цена договора», умножается на соответствующий указанному критерию коэффициент значимости.</w:t>
            </w:r>
            <w:r/>
          </w:p>
          <w:p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оценке заявок по стоимостному критерию «Цена договора» лучшим условием исполнения договора по указанному критерию признается предложение уча</w:t>
            </w:r>
            <w:r>
              <w:rPr>
                <w:sz w:val="22"/>
                <w:szCs w:val="22"/>
              </w:rPr>
              <w:t xml:space="preserve">стника запроса предложений с наименьшей ценой договора.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 с ценой, превышающей начальную (максимальную) цену договора, указанную в извещении о проведении запроса предложений, подлежит отклонению.  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случае, если в нескольких заявках содержатся одинак</w:t>
            </w:r>
            <w:r>
              <w:rPr>
                <w:sz w:val="22"/>
                <w:szCs w:val="22"/>
              </w:rPr>
              <w:t xml:space="preserve">овые условия исполнения договора, меньший порядковый номер присваивается заявке, которая поступила ранее других заявок, содержащих такие условия. 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1037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нестоимостным критериям оценки:</w:t>
            </w:r>
            <w:r/>
          </w:p>
          <w:p>
            <w:pPr>
              <w:pStyle w:val="10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2). Критерий: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Сроки (периоды) поставки товара, выполнения работ, оказани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 услуг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поставки, монтажа и ПНР предмета лизинга):</w:t>
            </w:r>
            <w:r/>
          </w:p>
          <w:p>
            <w:pPr>
              <w:pStyle w:val="10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критерия принята равной 30 %.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значимости (КЗ) равен 0,3.</w:t>
            </w:r>
            <w:r/>
          </w:p>
          <w:p>
            <w:pPr>
              <w:ind w:left="55" w:hanging="55"/>
              <w:keepLines/>
              <w:spacing w:before="20" w:after="2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Расчет баллов по данному критерию производится по следующей формуле:</w:t>
            </w:r>
            <w:r/>
          </w:p>
          <w:p>
            <w:pPr>
              <w:keepLines/>
              <w:spacing w:before="20" w:after="2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О п = К *   Ц min / Ц оц , где</w:t>
            </w:r>
            <w:r/>
          </w:p>
          <w:p>
            <w:pPr>
              <w:keepLines/>
              <w:spacing w:before="20" w:after="2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О п – оценка предложения;</w:t>
            </w:r>
            <w:r/>
          </w:p>
          <w:p>
            <w:pPr>
              <w:keepLines/>
              <w:spacing w:before="20" w:after="2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К – значимость критерия «сроки»;</w:t>
            </w:r>
            <w:r/>
          </w:p>
          <w:p>
            <w:pPr>
              <w:keepLines/>
              <w:spacing w:before="20" w:after="2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Ц min – минимальный предложенный срок поставки, монтажа и ПНР предмета лизинга ( в днях) ;  </w:t>
            </w:r>
            <w:r/>
          </w:p>
          <w:p>
            <w:pPr>
              <w:keepLines/>
              <w:spacing w:before="40" w:after="40"/>
              <w:widowControl w:val="off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Ц оц. –  срок поставки, монтажа и ПНР предмета лизинга ( в</w:t>
            </w:r>
            <w:r>
              <w:rPr>
                <w:i/>
                <w:iCs/>
                <w:szCs w:val="24"/>
              </w:rPr>
              <w:t xml:space="preserve"> днях) оцениваемого предложения;</w:t>
            </w:r>
            <w:r/>
          </w:p>
          <w:p>
            <w:pPr>
              <w:jc w:val="both"/>
              <w:widowControl w:val="off"/>
              <w:tabs>
                <w:tab w:val="left" w:pos="141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widowControl w:val="off"/>
              <w:tabs>
                <w:tab w:val="left" w:pos="141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рейтинг заявки (предложения) вычисляется как сумма рейтингов по каждому критерию оценки заявки (предложения).</w:t>
            </w:r>
            <w:r/>
          </w:p>
          <w:p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запроса предложений признается участник запроса предложений, который предложил лучшие усло</w:t>
            </w:r>
            <w:r>
              <w:rPr>
                <w:sz w:val="22"/>
                <w:szCs w:val="22"/>
              </w:rPr>
              <w:t xml:space="preserve">вия исполнения договора на основе критериев, указанных в документации о запросе предложений в электронной форме, и заявке на участие в запросе предложений которого присвоен первый порядковый номер.</w:t>
            </w:r>
            <w:r/>
          </w:p>
        </w:tc>
      </w:tr>
    </w:tbl>
    <w:p>
      <w:pPr>
        <w:jc w:val="center"/>
        <w:tabs>
          <w:tab w:val="left" w:pos="2309" w:leader="none"/>
        </w:tabs>
        <w:rPr>
          <w:b/>
          <w:sz w:val="24"/>
        </w:rPr>
      </w:pPr>
      <w:r/>
      <w:bookmarkStart w:id="4" w:name="_Toc420511973"/>
      <w:r/>
      <w:bookmarkEnd w:id="4"/>
      <w:r/>
      <w:r/>
    </w:p>
    <w:p>
      <w:pPr>
        <w:rPr>
          <w:b/>
          <w:sz w:val="24"/>
        </w:rPr>
      </w:pPr>
      <w:r>
        <w:rPr>
          <w:b/>
          <w:sz w:val="24"/>
        </w:rPr>
        <w:br w:type="page"/>
      </w:r>
      <w:r/>
    </w:p>
    <w:p>
      <w:pPr>
        <w:jc w:val="center"/>
        <w:tabs>
          <w:tab w:val="left" w:pos="2309" w:leader="none"/>
        </w:tabs>
        <w:rPr>
          <w:b/>
          <w:sz w:val="24"/>
        </w:rPr>
      </w:pPr>
      <w:r>
        <w:rPr>
          <w:b/>
          <w:sz w:val="24"/>
        </w:rPr>
        <w:t xml:space="preserve">РАЗДЕЛ 3.  ОПИСАНИЕ ПРЕДМЕТА ЗАКУПКИ</w:t>
      </w:r>
      <w:r/>
    </w:p>
    <w:p>
      <w:pPr>
        <w:ind w:right="708"/>
        <w:jc w:val="center"/>
        <w:spacing w:after="200" w:line="276" w:lineRule="auto"/>
        <w:widowControl w:val="off"/>
        <w:rPr>
          <w:rFonts w:eastAsia="DengXian"/>
          <w:bCs/>
          <w:sz w:val="22"/>
          <w:szCs w:val="22"/>
        </w:rPr>
      </w:pPr>
      <w:r>
        <w:rPr>
          <w:rFonts w:eastAsia="DengXian"/>
          <w:b/>
          <w:sz w:val="22"/>
          <w:szCs w:val="22"/>
          <w:u w:val="single"/>
          <w:lang w:val="en-US" w:eastAsia="ar-SA"/>
        </w:rPr>
        <w:t xml:space="preserve">IV</w:t>
      </w:r>
      <w:r>
        <w:rPr>
          <w:rFonts w:eastAsia="DengXian"/>
          <w:b/>
          <w:sz w:val="22"/>
          <w:szCs w:val="22"/>
          <w:u w:val="single"/>
          <w:lang w:eastAsia="ar-SA"/>
        </w:rPr>
        <w:t xml:space="preserve">. ТЕХНИЧЕСКОЕ ЗАДАНИЕ</w:t>
      </w:r>
      <w:r/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 оказание услуг финансовой аренды (лизинга) на поставку оборудования и материалов системы отопления здания с последующим монтажом данного оборудования и материалов</w:t>
      </w:r>
      <w:r/>
    </w:p>
    <w:p>
      <w:pPr>
        <w:rPr>
          <w:b/>
        </w:rPr>
      </w:pPr>
      <w:r>
        <w:rPr>
          <w:b/>
        </w:rPr>
        <w:t xml:space="preserve">1. Общие требования оказания услуг: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1.1. Услуга оказывается в соотве</w:t>
      </w:r>
      <w:r>
        <w:rPr>
          <w:rFonts w:eastAsia="Calibri"/>
        </w:rPr>
        <w:t xml:space="preserve">тствии с настоящим техническим заданием закупки и условиями проекта Договора.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1.2. Лизингодатель в соответствии с условиями Договора обязуется приобрести в собственность оборудование и материалы с последующим монтажом, технические характеристики которых пр</w:t>
      </w:r>
      <w:r>
        <w:rPr>
          <w:rFonts w:eastAsia="Calibri"/>
        </w:rPr>
        <w:t xml:space="preserve">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</w:t>
      </w:r>
      <w:r>
        <w:rPr>
          <w:rFonts w:eastAsia="Calibri"/>
        </w:rPr>
        <w:t xml:space="preserve">е Договором.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1.3.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</w:t>
      </w:r>
      <w:r>
        <w:rPr>
          <w:rFonts w:eastAsia="Calibri"/>
        </w:rPr>
        <w:t xml:space="preserve">м.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1.4.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</w:t>
      </w:r>
      <w:r>
        <w:rPr>
          <w:rFonts w:eastAsia="Calibri"/>
        </w:rPr>
        <w:t xml:space="preserve">тся дата приемки Имущества в лизинг.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1.5. Авансовый платеж составляет </w:t>
      </w:r>
      <w:r>
        <w:rPr>
          <w:rFonts w:eastAsia="Calibri"/>
        </w:rPr>
        <w:t xml:space="preserve">45</w:t>
      </w:r>
      <w:r>
        <w:rPr>
          <w:rFonts w:eastAsia="Calibri"/>
        </w:rPr>
        <w:t xml:space="preserve"> % от стоимости предмета лизинга (Имущества) и оплачивается Лизингополучателем </w:t>
      </w:r>
      <w:r>
        <w:rPr>
          <w:rFonts w:eastAsia="Calibri"/>
          <w:highlight w:val="yellow"/>
        </w:rPr>
        <w:t xml:space="preserve">в течение 5 (пяти) рабочих дней с даты подписания Договора</w:t>
      </w:r>
      <w:r>
        <w:rPr>
          <w:rFonts w:eastAsia="Calibri"/>
        </w:rPr>
        <w:t xml:space="preserve">.</w:t>
      </w:r>
      <w:r/>
    </w:p>
    <w:p>
      <w:pPr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2. Срок лизинга по Договору:</w:t>
      </w:r>
      <w:r>
        <w:rPr>
          <w:rFonts w:eastAsia="Calibri"/>
        </w:rPr>
        <w:t xml:space="preserve"> составляет 36 (т</w:t>
      </w:r>
      <w:r>
        <w:rPr>
          <w:rFonts w:eastAsia="Calibri"/>
        </w:rPr>
        <w:t xml:space="preserve">ридцать шесть) месяцев и начинается с даты подписания Актов приема передачи предмета лизинга.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2.1. По истечении срока лизинга, Имущество переходит в собственность Лизингополучателя в порядке и сроки, установленные Договором.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2.2. Предмет лизинга передается</w:t>
      </w:r>
      <w:r>
        <w:rPr>
          <w:rFonts w:eastAsia="Calibri"/>
        </w:rPr>
        <w:t xml:space="preserve"> в лизинг вместе со всеми принадлежностями и со всеми документами (техническим паспортом, гарантийным талоном и другими документами, необходимыми при пользовании Предметом лизинга) </w:t>
      </w:r>
      <w:r>
        <w:rPr>
          <w:rFonts w:eastAsia="Calibri"/>
          <w:highlight w:val="yellow"/>
        </w:rPr>
        <w:t xml:space="preserve">в течение 14 календарных дней с даты заключения договора</w:t>
      </w:r>
      <w:r>
        <w:rPr>
          <w:rFonts w:eastAsia="Calibri"/>
        </w:rPr>
        <w:t xml:space="preserve">.</w:t>
      </w:r>
      <w:r/>
    </w:p>
    <w:p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Адрес поставки</w:t>
      </w:r>
      <w:r>
        <w:rPr>
          <w:rFonts w:eastAsia="Calibri"/>
          <w:b/>
          <w:bCs/>
        </w:rPr>
        <w:t xml:space="preserve">:</w:t>
      </w:r>
      <w:r>
        <w:rPr>
          <w:rFonts w:eastAsia="Calibri"/>
        </w:rPr>
        <w:t xml:space="preserve"> Поставка, </w:t>
      </w:r>
      <w:r>
        <w:rPr>
          <w:bCs/>
        </w:rPr>
        <w:t xml:space="preserve">Монтаж и ПНР </w:t>
      </w:r>
      <w:r>
        <w:rPr>
          <w:rFonts w:eastAsia="Calibri"/>
        </w:rPr>
        <w:t xml:space="preserve">предмета лизинга Лизингополучателю осуществляется Лизингодателем по согласованию с Лизингополучателем, по адресу: 301664, Россия, Тульская область, Новомосковский район, г. Новомосковск, ул. Новая, дом 1</w:t>
      </w:r>
      <w:r/>
    </w:p>
    <w:p>
      <w:pPr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4. Срок поставки, </w:t>
      </w:r>
      <w:r>
        <w:rPr>
          <w:b/>
          <w:bCs/>
        </w:rPr>
        <w:t xml:space="preserve">монтажа и ПНР </w:t>
      </w:r>
      <w:r>
        <w:rPr>
          <w:rFonts w:eastAsia="Calibri"/>
          <w:b/>
          <w:bCs/>
        </w:rPr>
        <w:t xml:space="preserve">предмета лизинга:</w:t>
      </w:r>
      <w:r>
        <w:rPr>
          <w:rFonts w:eastAsia="Calibri"/>
        </w:rPr>
        <w:t xml:space="preserve"> в </w:t>
      </w:r>
      <w:r>
        <w:rPr>
          <w:rFonts w:eastAsia="Calibri"/>
        </w:rPr>
        <w:t xml:space="preserve">течение 60-ти (шестидесяти) календарных дней с момента оплаты авансового платежа.</w:t>
      </w:r>
      <w:r/>
    </w:p>
    <w:p>
      <w:pPr>
        <w:ind w:left="-426"/>
        <w:jc w:val="right"/>
        <w:keepNext/>
        <w:tabs>
          <w:tab w:val="left" w:pos="4185" w:leader="none"/>
        </w:tabs>
        <w:rPr>
          <w:b/>
          <w:bCs/>
        </w:rPr>
        <w:outlineLvl w:val="0"/>
      </w:pPr>
      <w:r>
        <w:rPr>
          <w:b/>
          <w:bCs/>
        </w:rPr>
        <w:t xml:space="preserve">Таблица №1. Предмет лизинга</w:t>
      </w:r>
      <w:r>
        <w:rPr>
          <w:rFonts w:eastAsia="NSimSun"/>
          <w:b/>
          <w:bCs/>
        </w:rPr>
        <w:t xml:space="preserve">:</w:t>
      </w:r>
      <w:r/>
    </w:p>
    <w:tbl>
      <w:tblPr>
        <w:tblStyle w:val="868"/>
        <w:tblW w:w="9351" w:type="dxa"/>
        <w:tblLook w:val="04A0" w:firstRow="1" w:lastRow="0" w:firstColumn="1" w:lastColumn="0" w:noHBand="0" w:noVBand="1"/>
      </w:tblPr>
      <w:tblGrid>
        <w:gridCol w:w="546"/>
        <w:gridCol w:w="6975"/>
        <w:gridCol w:w="847"/>
        <w:gridCol w:w="983"/>
      </w:tblGrid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 xml:space="preserve">№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 xml:space="preserve">Наименование товара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 xml:space="preserve">Кол-во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 xml:space="preserve">Ед. изм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Котел пеллетный Belkomin TIS Pellet-95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стальная приварная 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Переход стальной неоцинкованный конический Дн 57х3,0-38х2,5 бесшовный ГОСТ 17378- 2001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стальной неоцинкованный Ду32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Переход стальной неоцинкованный конический 32/25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Разъемное соединение прямое ВР-НР никелированное 1 1/4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Резьба неоцинкованная, правая Ду32 G1 1/4-B ГОСТ 3262-75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Группа безопасности котла KSG 30, стальная консоль,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Резьба неоцинкованная, правая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Термометр биметаллический, тип F+R801, Watts T 63/50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стальная приварная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ВР-НР, ручка-бабочка,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со сгоном НР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Обратный клапан пружинный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Циркуляционный насос Wilo Star-RS 25/6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Ниппель 1" нар.-нар.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переходной ВР никелированный 1х1/2х1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Расширительный мембранный бак Flexcon R 110 Flamco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стальной кран сварка/сварка, с рукояткой Ду 32 LD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Манометр MDR (F+R200), подключение снизу,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ВР-ВР с дренажем и воздухоотводчиком, Ду 15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Резьба неоцинкованная</w:t>
            </w:r>
            <w:r>
              <w:rPr>
                <w:rFonts w:eastAsia="NSimSun"/>
              </w:rPr>
              <w:t xml:space="preserve">, правая, ГОСТ 3262-75 Ду15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Фильтр сетчатый латунный резьбовой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Футорка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редукционная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НР со штуцером и пробкой, Ду 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сталь вгп 32х3.2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сталь вгп 25х2,8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Отвод крутоизогнутый стальной 90°, ГОСТ 17375-2001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Отвод крутоизогнутый стальной 90°, ГОСТ 17375-2001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Уголок сталь 50х5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Каучуковая изоляция в трубках (по 2 м) ST, K-Flex 35/9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Каучуковая изоляция в трубках ST K-Flex 28/9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Лента самоклеящаяся ST, K-Flex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Электроды ESAB ОК-46 3мм (пачка 5,3кг)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Грунт ГФ-021 серый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полнопроходной ВР-НР Ду 32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Циркуляционный насос Wilo-TOP-S 30/4 резьбовой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Разъемное соединение для циркуляционных насосов 1 1/4 x 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Ниппель прямой НР никелированный 1 1/4"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Обратный клапан пружинный Europa ду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Гель Сантехмастер Синий 60г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стальная приварная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комбинированная 50 х 1 1/2", с внутренней резьбой, под ключ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Футорка никелированная, RTP 1 1/2 x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адаптер котла d220/300 толщина 0,8мм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дымовой факел d220/300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труба утепленная d220/300 длина 1м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тройник утепленный d220/300 угол 90"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юбка d300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заглушка с отверстием d220/300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Пластина опорная с патрубком 1,5 мм/0,8мм Ф 220/300, Монт+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Дымоход заглушка глухая d220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Опорная конструкция для дымохода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Тепловентилятор Volcano VR1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Контроллер HMI VOLCANO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PPR Rubis, армированная стекловолокном 50х6.9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PPR Rubis</w:t>
            </w:r>
            <w:r>
              <w:rPr>
                <w:rFonts w:eastAsia="NSimSun"/>
              </w:rPr>
              <w:t xml:space="preserve">, армированная стекловолокном 40х5.5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PPR Rubis, армированная стекловолокном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90°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90°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90° 32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45° 50 ProAqua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45° 40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50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Клипса одинарная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Клипса одинарная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Клипса одинарная, белая,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редукционная, наружн./внутр., БЕЛЫЙ 50х40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редукционная, наружн./внутр., БЕЛЫЙ, Pro Aqua 50х32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редукционная, наружн./внутр. 40х32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PPR редукционный 50х32х50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PPR редукционный 40х32х40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PPR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79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Футорка редукционная НР/ВР латунная 3/4х1/2 General Fittings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комбинированная, с наружной резьбой 32х3/4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комбинированная, с внутренней резьбой 32*3/4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Шаровой латунный кран ВР-НР 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Задвижка клиновидная ВВ латунная PN10, UNI-FITT Ду20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переходной ВР никелированный 3/4х1/2х3/4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Автоматический воздухоотводчик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обжимная латунная разъемная 20х3/4" нр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обжимная латунная разъемная 20х3/4" вр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гофрированная из нержавеющей стали,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Алюминиевый секционный радиатор Ardente C2 500/100 14 секций Fondital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Кронштейн универсальный для радиаторов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Универсальный монтажный комплект без кронштейнов 7 в 1 1/2"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Вентиль радиаторный, угловой, ручной регулировки, MVI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Клапан настроечный, угловой, MVI 1/2''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комбинированная, с наружной резьбой 20х1/2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PPR Rubis, армированная стекловолокном 20, белая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Труба PPR Rubis, армированная стекловолокном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99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Муфта PPR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90° 20,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90°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20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45°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Клипса одинарная, белая,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Клипса одинарная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Кронштейн пластиковый c фиксатором 32 мм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109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Тройник PPR редукционный 25х20х25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Переход PPR редукционный, внутр./внутр., БЕЛЫЙ, Pro Aqua 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Переход PPR редукционный, внутр./внутр. 32х25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Автоматика и электрика (электрический шкаф, провода для электроподключения приборов отопления)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Стабилизатор напряжения релейный АРС-2000 для котлов Энергия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rPr>
                <w:rFonts w:eastAsia="NSimSun"/>
              </w:rPr>
            </w:pPr>
            <w:r>
              <w:rPr>
                <w:rFonts w:eastAsia="NSimSun"/>
              </w:rPr>
              <w:t xml:space="preserve">Монтажные работы.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шт.</w:t>
            </w:r>
            <w:r/>
          </w:p>
        </w:tc>
      </w:tr>
    </w:tbl>
    <w:p>
      <w:r>
        <w:rPr>
          <w:rFonts w:eastAsia="NSimSun"/>
          <w:b/>
          <w:bCs/>
        </w:rPr>
        <w:t xml:space="preserve">5. Требования к оборудованию и материалам:</w:t>
      </w:r>
      <w:r>
        <w:rPr>
          <w:rFonts w:eastAsia="Calibri"/>
        </w:rPr>
        <w:t xml:space="preserve"> 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5.1. Поставляемое оборудование и материалы должны быть разрешены к использованию на территории Российской Федерации, иметь торговую марку и товарный знак, качество поставляемого товара должно полностью соответств</w:t>
      </w:r>
      <w:r>
        <w:rPr>
          <w:sz w:val="22"/>
          <w:szCs w:val="22"/>
        </w:rPr>
        <w:t xml:space="preserve">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5.2. Поставляемое оборудован</w:t>
      </w:r>
      <w:r>
        <w:rPr>
          <w:sz w:val="22"/>
          <w:szCs w:val="22"/>
        </w:rPr>
        <w:t xml:space="preserve">ие и материалы должны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5.3. Вся сопроводительная информация о поставляемом оборудовании и материалах должна быть на </w:t>
      </w:r>
      <w:hyperlink r:id="rId21" w:tooltip="Русский язык" w:history="1">
        <w:r>
          <w:rPr>
            <w:rStyle w:val="846"/>
            <w:sz w:val="22"/>
            <w:szCs w:val="22"/>
          </w:rPr>
          <w:t xml:space="preserve">русском языке</w:t>
        </w:r>
      </w:hyperlink>
      <w:r>
        <w:rPr>
          <w:sz w:val="22"/>
          <w:szCs w:val="22"/>
        </w:rPr>
        <w:t xml:space="preserve"> (перевод на русский язык). Товар должен иметь маркировочные ярлык</w:t>
      </w:r>
      <w:r>
        <w:rPr>
          <w:sz w:val="22"/>
          <w:szCs w:val="22"/>
        </w:rPr>
        <w:t xml:space="preserve">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5.4. Поставляемое оборудование и материалы долж</w:t>
      </w:r>
      <w:r>
        <w:rPr>
          <w:sz w:val="22"/>
          <w:szCs w:val="22"/>
        </w:rPr>
        <w:t xml:space="preserve">ны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5.5. Поставляемое оборудование и материалы должны</w:t>
      </w:r>
      <w:r>
        <w:rPr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/>
    </w:p>
    <w:p>
      <w:pPr>
        <w:rPr>
          <w:rFonts w:eastAsia="SimSun"/>
          <w:b/>
          <w:bCs/>
          <w:lang w:bidi="hi-IN" w:eastAsia="hi-IN"/>
        </w:rPr>
      </w:pPr>
      <w:r>
        <w:rPr>
          <w:rFonts w:eastAsia="SimSun"/>
          <w:b/>
          <w:bCs/>
          <w:lang w:bidi="hi-IN" w:eastAsia="hi-IN"/>
        </w:rPr>
        <w:t xml:space="preserve">6. Требования к монтажным работам.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6.1. Монтажные работы должны быт</w:t>
      </w:r>
      <w:r>
        <w:rPr>
          <w:rFonts w:eastAsia="SimSun"/>
          <w:bCs/>
          <w:lang w:bidi="hi-IN" w:eastAsia="hi-IN"/>
        </w:rPr>
        <w:t xml:space="preserve">ь выполнены в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/>
    </w:p>
    <w:p>
      <w:pPr>
        <w:pStyle w:val="673"/>
        <w:spacing w:before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Федеральный закон №52-ФЗ от 30.03.99г. «</w:t>
      </w:r>
      <w:r>
        <w:rPr>
          <w:b w:val="0"/>
          <w:spacing w:val="2"/>
          <w:sz w:val="22"/>
          <w:szCs w:val="22"/>
        </w:rPr>
        <w:t xml:space="preserve">О санитарно-эпидемиологическом благ</w:t>
      </w:r>
      <w:r>
        <w:rPr>
          <w:b w:val="0"/>
          <w:spacing w:val="2"/>
          <w:sz w:val="22"/>
          <w:szCs w:val="22"/>
        </w:rPr>
        <w:t xml:space="preserve">ополучии населения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»;</w:t>
      </w:r>
      <w:r/>
    </w:p>
    <w:p>
      <w:pPr>
        <w:pStyle w:val="673"/>
        <w:spacing w:before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</w:t>
      </w:r>
      <w:r>
        <w:rPr>
          <w:b w:val="0"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;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Федеральном законе от 22.07.2008 № 123-ФЗ «Технический регламент о требованиях пожарной безопасности (последняя редакция)»;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СНиП 12-</w:t>
      </w:r>
      <w:r>
        <w:rPr>
          <w:rFonts w:eastAsia="SimSun"/>
          <w:bCs/>
          <w:lang w:bidi="hi-IN" w:eastAsia="hi-IN"/>
        </w:rPr>
        <w:t xml:space="preserve">03-2001 «Безопасность труда в строительстве Часть 1. Общие требования»;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СНиП 12-04-2002 «Безопасность труда в строительстве Часть 2. Строительное производство»;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Федеральный закон от 21.12.1994 № 69-ФЗ «О пожарной безопасности» (с Изменениями);</w:t>
      </w:r>
      <w:r/>
    </w:p>
    <w:p>
      <w:pPr>
        <w:rPr>
          <w:rFonts w:eastAsia="SimSun"/>
          <w:bCs/>
          <w:lang w:bidi="hi-IN" w:eastAsia="hi-IN"/>
        </w:rPr>
      </w:pPr>
      <w:r>
        <w:rPr>
          <w:rFonts w:eastAsia="SimSun"/>
          <w:bCs/>
          <w:lang w:bidi="hi-IN" w:eastAsia="hi-IN"/>
        </w:rPr>
        <w:t xml:space="preserve">- Федера</w:t>
      </w:r>
      <w:r>
        <w:rPr>
          <w:rFonts w:eastAsia="SimSun"/>
          <w:bCs/>
          <w:lang w:bidi="hi-IN" w:eastAsia="hi-IN"/>
        </w:rPr>
        <w:t xml:space="preserve">льный закон от 27.12.2002 № 184-ФЗ «О техническом регулировании» (с Изменениями);</w:t>
      </w:r>
      <w:r/>
    </w:p>
    <w:p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t xml:space="preserve">Федеральным законом от 30.12.2009 № 384-ФЗ «</w:t>
      </w:r>
      <w:r>
        <w:rPr>
          <w:bCs/>
          <w:shd w:val="clear" w:color="auto" w:fill="ffffff"/>
        </w:rPr>
        <w:t xml:space="preserve">Технический регламент о безопасности зданий и сооружений </w:t>
      </w:r>
      <w:r>
        <w:rPr>
          <w:shd w:val="clear" w:color="auto" w:fill="ffffff"/>
        </w:rPr>
        <w:t xml:space="preserve">(с изменениями)»;</w:t>
      </w:r>
      <w:r/>
    </w:p>
    <w:p>
      <w:pPr>
        <w:rPr>
          <w:shd w:val="clear" w:color="auto" w:fill="ffffff"/>
        </w:rPr>
      </w:pPr>
      <w:r>
        <w:rPr>
          <w:shd w:val="clear" w:color="auto" w:fill="ffffff"/>
        </w:rPr>
        <w:t xml:space="preserve">- Рабочая документация «Устройство системы отопления </w:t>
      </w:r>
      <w:r>
        <w:rPr>
          <w:shd w:val="clear" w:color="auto" w:fill="ffffff"/>
        </w:rPr>
        <w:t xml:space="preserve">здания, расположенного по адресу: Тульская область, г. Новомосковск. Система отопления. ПР127/22-ОВ»;</w:t>
      </w:r>
      <w:r/>
    </w:p>
    <w:p>
      <w:r>
        <w:t xml:space="preserve">- СП 118.13330.2022 «Свод правил. Общественные здания и сооружения. Актуализированная редакция СНиП 31-06-2009»;</w:t>
      </w:r>
      <w:r/>
    </w:p>
    <w:p>
      <w:r>
        <w:t xml:space="preserve">- СП 70.13330.2012 «Свод правил. Несущие </w:t>
      </w:r>
      <w:r>
        <w:t xml:space="preserve">и ограждающие конструкции. Актуализированная редакция СНиП 3.03.01-87»;</w:t>
      </w:r>
      <w:r/>
    </w:p>
    <w:p>
      <w:r>
        <w:t xml:space="preserve">- СП 60.13330.2020 «Свод правил. Отопление, вентиляция и кондиционирование воздуха»;</w:t>
      </w:r>
      <w:r/>
    </w:p>
    <w:p>
      <w:r>
        <w:t xml:space="preserve">- СП 7.13130.2013 «Свод правил. Отопления, вентиляция и кондиционирование. Требования пожарной безо</w:t>
      </w:r>
      <w:r>
        <w:t xml:space="preserve">пасности»;</w:t>
      </w:r>
      <w:r/>
    </w:p>
    <w:p>
      <w:r>
        <w:t xml:space="preserve">- СП 89.13330.2016 «Свод правил. Котельные установки. Актуализированная редакция СНиП II-35-76»;</w:t>
      </w:r>
      <w:r/>
    </w:p>
    <w:p>
      <w:r>
        <w:t xml:space="preserve">- СП 73.13330.2016 «Свод правил. Внутренние санитарно-технические системы зданий»;</w:t>
      </w:r>
      <w:r/>
    </w:p>
    <w:p>
      <w:pPr>
        <w:rPr>
          <w:rFonts w:eastAsia="SimSun"/>
          <w:bCs/>
          <w:lang w:bidi="hi-IN" w:eastAsia="hi-IN"/>
        </w:rPr>
      </w:pPr>
      <w:r>
        <w:rPr>
          <w:bCs/>
          <w:shd w:val="clear" w:color="auto" w:fill="ffffff"/>
        </w:rPr>
        <w:t xml:space="preserve">- И иные </w:t>
      </w:r>
      <w:r>
        <w:rPr>
          <w:rFonts w:eastAsia="SimSun"/>
          <w:bCs/>
          <w:lang w:bidi="hi-IN" w:eastAsia="hi-IN"/>
        </w:rPr>
        <w:t xml:space="preserve">государственные стандарты, действующие строительные норм</w:t>
      </w:r>
      <w:r>
        <w:rPr>
          <w:rFonts w:eastAsia="SimSun"/>
          <w:bCs/>
          <w:lang w:bidi="hi-IN" w:eastAsia="hi-IN"/>
        </w:rPr>
        <w:t xml:space="preserve">ы и правила, НПБ, технические регламенты, санитарные нормы и правила, предназначенные для данных видов работ.</w:t>
      </w:r>
      <w:r/>
    </w:p>
    <w:p>
      <w:pPr>
        <w:rPr>
          <w:shd w:val="clear" w:color="auto" w:fill="ffffff"/>
        </w:rPr>
      </w:pPr>
      <w:r>
        <w:rPr>
          <w:rFonts w:eastAsia="SimSun"/>
          <w:bCs/>
          <w:lang w:bidi="hi-IN" w:eastAsia="hi-IN"/>
        </w:rPr>
        <w:t xml:space="preserve">6.2. </w:t>
      </w:r>
      <w:r>
        <w:rPr>
          <w:rFonts w:eastAsia="SimSun"/>
          <w:lang w:bidi="hi-IN" w:eastAsia="hi-IN"/>
        </w:rPr>
        <w:t xml:space="preserve">В соответствии с условиями Договора гарантийный срок на монтажные работы – не менее 12-ти (двенадцати) месяцев с момента приёмки выполненных </w:t>
      </w:r>
      <w:r>
        <w:rPr>
          <w:rFonts w:eastAsia="SimSun"/>
          <w:lang w:bidi="hi-IN" w:eastAsia="hi-IN"/>
        </w:rPr>
        <w:t xml:space="preserve">работ.</w:t>
      </w:r>
      <w:r/>
    </w:p>
    <w:p>
      <w:pPr>
        <w:pStyle w:val="1122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left="-426"/>
        <w:jc w:val="center"/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/>
    </w:p>
    <w:p>
      <w:pPr>
        <w:jc w:val="both"/>
        <w:widowControl w:val="off"/>
        <w:rPr>
          <w:b/>
          <w:color w:val="000000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br w:type="page"/>
      </w:r>
      <w:r/>
    </w:p>
    <w:p>
      <w:pPr>
        <w:jc w:val="center"/>
        <w:spacing w:before="100"/>
        <w:tabs>
          <w:tab w:val="left" w:pos="1440" w:leader="none"/>
          <w:tab w:val="right" w:pos="9923" w:leader="dot"/>
        </w:tabs>
        <w:rPr>
          <w:b/>
          <w:color w:val="000000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РАЗДЕЛ 4. ПРОЕКТ ДОГОВОРА</w:t>
      </w:r>
      <w:r/>
    </w:p>
    <w:p>
      <w:pPr>
        <w:jc w:val="center"/>
        <w:spacing w:before="280"/>
        <w:widowControl w:val="off"/>
      </w:pPr>
      <w:r>
        <w:rPr>
          <w:b/>
        </w:rPr>
        <w:t xml:space="preserve">ДОГОВОР ЛИЗИНГА N__</w:t>
      </w:r>
      <w:r/>
    </w:p>
    <w:p>
      <w:pPr>
        <w:widowControl w:val="off"/>
      </w:pPr>
      <w:r/>
      <w:r/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widowControl w:val="off"/>
            </w:pPr>
            <w:r>
              <w:t xml:space="preserve">г. 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right"/>
              <w:widowControl w:val="off"/>
            </w:pPr>
            <w:r>
              <w:t xml:space="preserve">"__" ________ ____ г.</w:t>
            </w:r>
            <w:r/>
          </w:p>
        </w:tc>
      </w:tr>
    </w:tbl>
    <w:p>
      <w:pPr>
        <w:ind w:left="-567" w:right="-142" w:firstLine="567"/>
        <w:spacing w:before="120" w:after="120" w:line="271" w:lineRule="auto"/>
        <w:widowControl w:val="off"/>
      </w:pPr>
      <w:r>
        <w:t xml:space="preserve">______________, именуем___ в дальнейшем "Лизингодатель", в лице __________, действующ</w:t>
      </w:r>
      <w:r>
        <w:t xml:space="preserve">___ на основании ____________, с одной стороны, и Общество с ограниченной ответственностью «Электробыт», именуемое в дальнейшем "Лизингополучатель", в лице директора ___________, действующего  на основании  Устава, с другой стороны, именуемые вместе "Сторо</w:t>
      </w:r>
      <w:r>
        <w:t xml:space="preserve">ны", а по отдельности "Сторона", заключили настоящий договор (далее - Договор) о нижеследующем: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426"/>
        <w:jc w:val="center"/>
        <w:spacing w:before="120" w:after="120" w:line="271" w:lineRule="auto"/>
        <w:widowControl w:val="off"/>
        <w:outlineLvl w:val="0"/>
      </w:pPr>
      <w:r>
        <w:t xml:space="preserve">1. ОПРЕДЕЛЕНИЯ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b/>
        </w:rPr>
        <w:t xml:space="preserve">Предмет лизинга</w:t>
      </w:r>
      <w:r>
        <w:t xml:space="preserve"> - имущество, обозначенное </w:t>
      </w:r>
      <w:r>
        <w:rPr>
          <w:color w:val="000000"/>
        </w:rPr>
        <w:t xml:space="preserve">в </w:t>
      </w:r>
      <w:hyperlink r:id="rId22" w:tooltip="consultantplus://offline/ref=959A9ECFC9EB69AD12EFA622092AE75572FA62806D92C0A0CBBDEE74563BF0E3FF465582AB5C0725F4CAE1DFl8p8F" w:history="1">
        <w:r>
          <w:rPr>
            <w:color w:val="000000"/>
          </w:rPr>
          <w:t xml:space="preserve">Спецификации</w:t>
        </w:r>
      </w:hyperlink>
      <w:r>
        <w:t xml:space="preserve"> предмета лизинга, являющейся неотъемлемой частью Договора (Приложение № 1).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b/>
        </w:rPr>
        <w:t xml:space="preserve">Продавец</w:t>
      </w:r>
      <w:r>
        <w:t xml:space="preserve"> – юридическое лицо либо индивидуальный предприниматель продающий предмет лизинга, _______________________________________________________ </w:t>
      </w:r>
      <w:r>
        <w:rPr>
          <w:i/>
        </w:rPr>
        <w:t xml:space="preserve">(указываетс</w:t>
      </w:r>
      <w:r>
        <w:rPr>
          <w:i/>
        </w:rPr>
        <w:t xml:space="preserve">я организационно-правовая форма и наименование организации)</w:t>
      </w:r>
      <w:r>
        <w:t xml:space="preserve">, зарегистрирован__ по адресу: ____________________, ОГРН _______________, ИНН _______________.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b/>
        </w:rPr>
        <w:t xml:space="preserve">Договор купли-продажи</w:t>
      </w:r>
      <w:r>
        <w:t xml:space="preserve"> - договор, подлежащий заключению между Лизингодателем и Продавцом, в соответств</w:t>
      </w:r>
      <w:r>
        <w:t xml:space="preserve">ии с которым Продавец обязуется передать в собственность Лизингодателя Предмет лизинга, предназначенный для передачи Лизингополучателю, а Лизингодатель обязуется обеспечить его приемку и передачу Лизингополучателю и уплатить за него определенную Договором </w:t>
      </w:r>
      <w:r>
        <w:t xml:space="preserve">цену.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b/>
        </w:rPr>
        <w:t xml:space="preserve">Акт приемки-передачи</w:t>
      </w:r>
      <w:r>
        <w:t xml:space="preserve"> - акт, фиксирующий факт передачи Предмета лизинга во временное владение и пользование Лизингополучателя.</w:t>
      </w:r>
      <w:r/>
    </w:p>
    <w:p>
      <w:pPr>
        <w:ind w:left="-567" w:right="-142" w:firstLine="567"/>
        <w:spacing w:before="120" w:after="120" w:line="271" w:lineRule="auto"/>
        <w:widowControl w:val="off"/>
        <w:rPr>
          <w:color w:val="000000"/>
        </w:rPr>
      </w:pPr>
      <w:r>
        <w:rPr>
          <w:b/>
        </w:rPr>
        <w:t xml:space="preserve">Сопроводительные и транспортные документы</w:t>
      </w:r>
      <w:r>
        <w:t xml:space="preserve"> - </w:t>
      </w:r>
      <w:hyperlink r:id="rId23" w:tooltip="consultantplus://offline/ref=959A9ECFC9EB69AD12EFA622092AE75575FD6A8F64CFCAA892B1EC735964F5F6EE1E5984B242023EE8C8E3lDpFF" w:history="1">
        <w:r>
          <w:rPr>
            <w:color w:val="000000"/>
          </w:rPr>
          <w:t xml:space="preserve">товарная накладная</w:t>
        </w:r>
      </w:hyperlink>
      <w:r>
        <w:rPr>
          <w:color w:val="000000"/>
        </w:rPr>
        <w:t xml:space="preserve">, </w:t>
      </w:r>
      <w:hyperlink r:id="rId24" w:tooltip="consultantplus://offline/ref=959A9ECFC9EB69AD12EFA622092AE75576F1698864CFCAA892B1EC735964F5F6EE1E5984B242023EE8C8E3lDpFF" w:history="1">
        <w:r>
          <w:rPr>
            <w:color w:val="000000"/>
          </w:rPr>
          <w:t xml:space="preserve">товарно-транспортная накладная</w:t>
        </w:r>
      </w:hyperlink>
      <w:r>
        <w:rPr>
          <w:color w:val="000000"/>
        </w:rPr>
        <w:t xml:space="preserve"> или иной трансп</w:t>
      </w:r>
      <w:r>
        <w:rPr>
          <w:color w:val="000000"/>
        </w:rPr>
        <w:t xml:space="preserve">ортный документ.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b/>
        </w:rPr>
        <w:t xml:space="preserve">Лизинговый платеж </w:t>
      </w:r>
      <w:r>
        <w:t xml:space="preserve">- платеж по договору лизинга за определенный период действия договора лизинга, в который входит возмещение затрат лизингодателя, связанных с приобретением и передачей предмета лизинга лизингополучателю, возмещение затрат,</w:t>
      </w:r>
      <w:r>
        <w:t xml:space="preserve"> связанных с оказанием других предусмотренных договором лизинга услуг, доход лизингодателя.</w:t>
      </w:r>
      <w:r/>
    </w:p>
    <w:p>
      <w:pPr>
        <w:ind w:left="-567" w:right="-142" w:hanging="284"/>
        <w:jc w:val="center"/>
        <w:spacing w:before="120" w:after="120" w:line="271" w:lineRule="auto"/>
        <w:widowControl w:val="off"/>
        <w:outlineLvl w:val="0"/>
      </w:pPr>
      <w:r>
        <w:t xml:space="preserve">2. ПРЕДМЕТ ДОГОВОРА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2.1. Лизингодатель обязуется приобрести в собственность Предмет лизинга у Продавца и предоставить его Лизингополучателю за плату во временное вл</w:t>
      </w:r>
      <w:r>
        <w:t xml:space="preserve">адение и пользование.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Ответственность за выбор Предмета лизинга и Продавца несет </w:t>
      </w:r>
      <w:r>
        <w:rPr>
          <w:b/>
        </w:rPr>
        <w:t xml:space="preserve">- Лизингодатель.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 Лизингодатель обязуется в течение 10 (десяти) рабочих дней со дня заключения настоящего Договора заключить Договор купли-продажи с Продавцом на следующих</w:t>
      </w:r>
      <w:r>
        <w:t xml:space="preserve"> условиях: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2.2.1. Предмет Договора купли-продажи соответствует требованиям, указанным в Спецификации предмета лизинга (Приложение №1), техническом задании.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2.2.2. Приобретаемый Предмет лизинга предназначен для передачи Лизингополучателю.</w:t>
      </w:r>
      <w:r/>
    </w:p>
    <w:p>
      <w:pPr>
        <w:ind w:left="-567" w:right="-142" w:firstLine="567"/>
        <w:spacing w:before="120" w:after="120" w:line="271" w:lineRule="auto"/>
        <w:widowControl w:val="off"/>
        <w:rPr>
          <w:rFonts w:eastAsia="Calibri"/>
        </w:rPr>
      </w:pPr>
      <w:r/>
      <w:bookmarkStart w:id="5" w:name="P28"/>
      <w:r/>
      <w:bookmarkEnd w:id="5"/>
      <w:r>
        <w:t xml:space="preserve">2.2.3. </w:t>
      </w:r>
      <w:r>
        <w:rPr>
          <w:rFonts w:eastAsia="Calibri"/>
          <w:b/>
          <w:bCs/>
        </w:rPr>
        <w:t xml:space="preserve">Срок постав</w:t>
      </w:r>
      <w:r>
        <w:rPr>
          <w:rFonts w:eastAsia="Calibri"/>
          <w:b/>
          <w:bCs/>
        </w:rPr>
        <w:t xml:space="preserve">ки, </w:t>
      </w:r>
      <w:r>
        <w:rPr>
          <w:b/>
          <w:bCs/>
        </w:rPr>
        <w:t xml:space="preserve">монтажа и ПНР </w:t>
      </w:r>
      <w:r>
        <w:rPr>
          <w:rFonts w:eastAsia="Calibri"/>
          <w:b/>
          <w:bCs/>
        </w:rPr>
        <w:t xml:space="preserve">предмета лизинга:</w:t>
      </w:r>
      <w:r>
        <w:rPr>
          <w:rFonts w:eastAsia="Calibri"/>
        </w:rPr>
        <w:t xml:space="preserve"> в течение </w:t>
      </w:r>
      <w:r>
        <w:rPr>
          <w:rFonts w:eastAsia="Calibri"/>
          <w:b/>
          <w:bCs/>
        </w:rPr>
        <w:t xml:space="preserve">60-ти (шестидесяти)</w:t>
      </w:r>
      <w:r>
        <w:rPr>
          <w:rFonts w:eastAsia="Calibri"/>
        </w:rPr>
        <w:t xml:space="preserve"> с момента </w:t>
      </w:r>
      <w:bookmarkStart w:id="6" w:name="P29"/>
      <w:r/>
      <w:bookmarkEnd w:id="6"/>
      <w:r>
        <w:rPr>
          <w:rFonts w:eastAsia="Calibri"/>
        </w:rPr>
        <w:t xml:space="preserve">оплаты авансового платежа.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2.2.4. Продавец в порядке, предусмотренном п. </w:t>
      </w:r>
      <w:hyperlink w:tooltip="#P163" w:anchor="P163" w:history="1">
        <w:r>
          <w:rPr>
            <w:rFonts w:eastAsia="Calibri"/>
            <w:color w:val="0000FF"/>
            <w:u w:val="single"/>
          </w:rPr>
          <w:t xml:space="preserve">12.2</w:t>
        </w:r>
      </w:hyperlink>
      <w:r>
        <w:t xml:space="preserve"> Договора, письменно уведомляет Лизингодателя и Лизингополучателя о конкретной дате поставки Предмета лизинга не позднее чем за 5 (пять) рабочих дней.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2.2.5. Организация Поставки Предмета лизинга осуществляется Лизингодателем за счет собственных средств,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</w:t>
      </w:r>
      <w:r>
        <w:t xml:space="preserve"> </w:t>
      </w:r>
      <w:r>
        <w:rPr>
          <w:b/>
        </w:rPr>
        <w:t xml:space="preserve">путем его доставки по адресу:</w:t>
      </w:r>
      <w:r>
        <w:t xml:space="preserve"> 301664, Россия, Тульская область, Новомосковский район, г. Новомосковск, ул. Новая, дом 1.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2.2.6. Приемка Лизингополучателем Предмета лизинга по количеству, качеству, ассортименту, комплектности производится при его поставке </w:t>
      </w:r>
      <w:r>
        <w:t xml:space="preserve">(вручении) Лизингодателем Лизингополучателю, согласно п. 2.2.5. настоящего договора. При этом Лизингополучатель вправе предъявлять Продавцу все требования, вытекающие из Договора купли-продажи.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2.2.7. Лизингодатель обязуется предоставить Лизингополучателю Предмет лизинга в состоянии, соответствующем его назначению, т.е. на момент передачи Предмета лизинга в лизинг, Предмет лизинга должен удовлетворять следующим параметрам: (описание предмета лизи</w:t>
      </w:r>
      <w:r>
        <w:rPr>
          <w:rFonts w:eastAsia="Calibri"/>
          <w:lang w:eastAsia="en-US"/>
        </w:rPr>
        <w:t xml:space="preserve">нга согласно техническому заданию)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лизинга является новым, не бывшим в употреблении.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день приема-передачи Лизингодатель обязан проверить технические характеристики Предмета лизинга в присутствии Лизингополучателя (его уполномоченного представител</w:t>
      </w:r>
      <w:r>
        <w:rPr>
          <w:rFonts w:eastAsia="Calibri"/>
          <w:lang w:eastAsia="en-US"/>
        </w:rPr>
        <w:t xml:space="preserve">я) и занести результаты проверки в передаточный акт. В случае если параметры Предмета лизинга не соответствуют надлежащим, Лизингополучатель вправе: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не подписывать передаточный акт и согласовать с Лизингодателем или Продавцом сроки устранения недостатко</w:t>
      </w:r>
      <w:r>
        <w:rPr>
          <w:rFonts w:eastAsia="Calibri"/>
          <w:lang w:eastAsia="en-US"/>
        </w:rPr>
        <w:t xml:space="preserve">в Предмета лизинга;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отказаться от настоящего Договора (в данном случае Лизингодатель возвращает Лизингополучателю уплаченные в виде авансового платежа денежные средства в течение 10 рабочих дней с момента получения соответствующего требования Лизингопол</w:t>
      </w:r>
      <w:r>
        <w:rPr>
          <w:rFonts w:eastAsia="Calibri"/>
          <w:lang w:eastAsia="en-US"/>
        </w:rPr>
        <w:t xml:space="preserve">учателя и уплачивает проценты за пользование указанными денежными средствами в соответствии со ст. 395 ГК РФ).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2.3. Срок Договора Лизинга составляет 36 (Тридцать шесть) месяцев с момента подписания Сторонами акта приемки-передачи.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/>
        <w:jc w:val="center"/>
        <w:spacing w:before="120" w:after="120" w:line="271" w:lineRule="auto"/>
        <w:widowControl w:val="off"/>
        <w:outlineLvl w:val="0"/>
      </w:pPr>
      <w:r>
        <w:t xml:space="preserve">3. ПОРЯДОК ПОСТАВКИ, ПЕР</w:t>
      </w:r>
      <w:r>
        <w:t xml:space="preserve">ЕДАЧИ, ПРИЕМКИ И ОБСЛУЖИВАНИЯ</w:t>
      </w:r>
      <w:r/>
    </w:p>
    <w:p>
      <w:pPr>
        <w:ind w:left="-567" w:right="-142" w:firstLine="567"/>
        <w:jc w:val="center"/>
        <w:spacing w:before="120" w:after="120" w:line="271" w:lineRule="auto"/>
        <w:widowControl w:val="off"/>
      </w:pPr>
      <w:r>
        <w:t xml:space="preserve">ПРЕДМЕТА ЛИЗИНГА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3.1. Лизингополучатель принимает Предмет лизинга в порядке и в сроки, которые предусмотрены Договором купли-продажи, а так же условиями настоящего договора.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3.2. Лизингодатель обязан в день поставки Предмета л</w:t>
      </w:r>
      <w:r>
        <w:t xml:space="preserve">изинга, указанный в уведомлении Продавца (</w:t>
      </w:r>
      <w:hyperlink w:tooltip="#P29" w:anchor="P29" w:history="1">
        <w:r>
          <w:rPr>
            <w:color w:val="0000FF"/>
          </w:rPr>
          <w:t xml:space="preserve">п. 2.2.4</w:t>
        </w:r>
      </w:hyperlink>
      <w:r>
        <w:t xml:space="preserve"> Договора), направить своего представителя для участия в приемке Предмета лизинга от Продавца и для его последующей передачи Лизингополучателю.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3.3. По завершении приемки Пр</w:t>
      </w:r>
      <w:r>
        <w:t xml:space="preserve">едмета лизинга Продавец, Лизингодатель и Лизингополучатель подписывают соответствующие сопроводительные и транспортные документы, а также акт приемки-передачи.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 Лизингополучатель за свой счет осуществляет техническое обслуживание предмета лизинга и обе</w:t>
      </w:r>
      <w:r>
        <w:rPr>
          <w:rFonts w:eastAsia="Calibri"/>
          <w:lang w:eastAsia="en-US"/>
        </w:rPr>
        <w:t xml:space="preserve">спечивает его сохранность, а также осуществляет капитальный и текущий ремонт предмета лизинга.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3.5. Лизингополучатель осуществляет своими силами и за свой счет регистрацию Имущества на свое имя в органах ГИБДД в сроки, установленные в законодательстве. Дей</w:t>
      </w:r>
      <w:r>
        <w:rPr>
          <w:rFonts w:eastAsia="Calibri"/>
          <w:lang w:eastAsia="en-US"/>
        </w:rPr>
        <w:t xml:space="preserve">ствие регистрации заканчивается не ранее истечения срока лизинга Имущества;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3.6. Риск случайной гибели или случайной порчи Предмета лизинга переходит к Лизингополучателю - </w:t>
      </w:r>
      <w:r>
        <w:rPr>
          <w:b/>
        </w:rPr>
        <w:t xml:space="preserve">в момент подписания Сторонами акта приемки-передачи Предмета лизинга</w:t>
      </w:r>
      <w:r>
        <w:t xml:space="preserve">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bookmarkStart w:id="7" w:name="P62"/>
      <w:r/>
      <w:bookmarkEnd w:id="7"/>
      <w:r>
        <w:t xml:space="preserve">3.7. Лизингопо</w:t>
      </w:r>
      <w:r>
        <w:t xml:space="preserve">лучатель вправе застраховать предмет лизинга от рисков случайной утраты (гибели) или случайного повреждения, а так же иных рисков по выбору Лизингополучателя.</w:t>
      </w:r>
      <w:r/>
    </w:p>
    <w:p>
      <w:pPr>
        <w:ind w:left="-567" w:right="-142" w:firstLine="567"/>
        <w:spacing w:before="120" w:after="120" w:line="271" w:lineRule="auto"/>
        <w:widowControl w:val="off"/>
        <w:rPr>
          <w:i/>
        </w:rPr>
      </w:pPr>
      <w:r>
        <w:t xml:space="preserve">3.8. Предмет лизинга, передаваемый в лизинг по Договору учитывается на балансе Лизингополучателя.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426"/>
        <w:jc w:val="center"/>
        <w:spacing w:before="120" w:after="120" w:line="271" w:lineRule="auto"/>
        <w:widowControl w:val="off"/>
        <w:outlineLvl w:val="0"/>
      </w:pPr>
      <w:r>
        <w:t xml:space="preserve">4. РАЗМЕР, СРОКИ И ПОРЯДОК ВНЕСЕНИЯ ЛИЗИНГОВЫХ ПЛАТЕЖЕЙ</w:t>
      </w:r>
      <w:r/>
    </w:p>
    <w:p>
      <w:pPr>
        <w:contextualSpacing/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/>
      <w:bookmarkStart w:id="8" w:name="P77"/>
      <w:r/>
      <w:bookmarkEnd w:id="8"/>
      <w:r>
        <w:t xml:space="preserve">4.1. </w:t>
      </w:r>
      <w:r>
        <w:rPr>
          <w:rFonts w:eastAsia="Calibri"/>
          <w:lang w:eastAsia="en-US"/>
        </w:rPr>
        <w:t xml:space="preserve">О</w:t>
      </w:r>
      <w:r>
        <w:rPr>
          <w:rFonts w:eastAsia="Calibri"/>
          <w:lang w:eastAsia="en-US"/>
        </w:rPr>
        <w:t xml:space="preserve">бщая сумма лизинговых платежей  по Договору, составляет _____ (__________) руб., в том числе НДС _____ (__________) руб. Состоит общая сумма лизинговых платежей из суммы авансового платежа,  ежемесячных лизинговых платежей и выкупной цены Предмета лизинга.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Сумма лизинговых  платежей составляет _____ (__________) руб., в том числе НДС _____ (__________) руб. за весь срок лизинга и уплачивается ежемесячными равными платежами согласно Графику платежей (Приложение 2).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Ежемесячный Лизинговый платеж состоит из: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суммы амортизации Предмета лизинга за определенный период:_______ руб.;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компенсации платы лизингодателя за использованные им заемными средствами:_______ руб.; 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комиссионного вознаграждения лизингодателя:_________________ руб.;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платы за дополните</w:t>
      </w:r>
      <w:r>
        <w:rPr>
          <w:rFonts w:eastAsia="Calibri"/>
          <w:lang w:eastAsia="en-US"/>
        </w:rPr>
        <w:t xml:space="preserve">льные услуги лизингодателя, если таковые предусмотрены договором лизинга:____________________ руб.</w:t>
      </w:r>
      <w:r/>
    </w:p>
    <w:p>
      <w:pPr>
        <w:ind w:left="-567" w:right="-142" w:firstLine="567"/>
        <w:spacing w:before="120" w:after="120" w:line="271" w:lineRule="auto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/>
    </w:p>
    <w:p>
      <w:pPr>
        <w:contextualSpacing/>
        <w:ind w:left="-567" w:right="-142" w:firstLine="567"/>
        <w:spacing w:before="120" w:after="120" w:line="271" w:lineRule="auto"/>
      </w:pPr>
      <w:r>
        <w:rPr>
          <w:rFonts w:eastAsia="Calibri"/>
          <w:bCs/>
          <w:lang w:eastAsia="en-US"/>
        </w:rPr>
        <w:t xml:space="preserve">А</w:t>
      </w:r>
      <w:r>
        <w:t xml:space="preserve">вансовый платеж, подлежащий перечислению Лизингополучателем Лизингодателю, составляет </w:t>
      </w:r>
      <w:r>
        <w:rPr>
          <w:highlight w:val="cyan"/>
        </w:rPr>
        <w:t xml:space="preserve">45</w:t>
      </w:r>
      <w:r>
        <w:rPr>
          <w:highlight w:val="cyan"/>
        </w:rPr>
        <w:t xml:space="preserve">%</w:t>
      </w:r>
      <w:r>
        <w:t xml:space="preserve"> от цены Договора купли-продажи, а именно ______________________</w:t>
      </w:r>
      <w:r>
        <w:t xml:space="preserve"> (_____________) руб. _____ коп., и входит в общую сумму лизинговых платежей.</w:t>
      </w:r>
      <w:r/>
    </w:p>
    <w:p>
      <w:pPr>
        <w:contextualSpacing/>
        <w:ind w:left="-567" w:right="-142" w:firstLine="567"/>
        <w:spacing w:before="120" w:after="120" w:line="271" w:lineRule="auto"/>
      </w:pPr>
      <w:r>
        <w:t xml:space="preserve">Лизингодатель, со своей стороны, обязуется предоставить (выставить) Лизингополучателю счет-фактуру и акт оказанных услуг (или универсальный передаточный документ) на сумму произв</w:t>
      </w:r>
      <w:r>
        <w:t xml:space="preserve">еденного авансового платежа в течении 5-ти календарных дней с даты осуществления авансового платежа.</w:t>
      </w:r>
      <w:r/>
    </w:p>
    <w:p>
      <w:pPr>
        <w:contextualSpacing/>
        <w:ind w:left="-567" w:right="-142" w:firstLine="567"/>
        <w:spacing w:before="120" w:after="120" w:line="271" w:lineRule="auto"/>
      </w:pPr>
      <w:r>
        <w:t xml:space="preserve">Лизингополучатель обязан оплатить авансовый платеж в полном объёме в течение 5 (пяти) рабочих дней после подписания настоящего Договора. </w:t>
      </w:r>
      <w:r/>
    </w:p>
    <w:p>
      <w:pPr>
        <w:contextualSpacing/>
        <w:ind w:left="-567" w:right="-142" w:firstLine="567"/>
        <w:spacing w:before="120" w:after="120" w:line="271" w:lineRule="auto"/>
      </w:pPr>
      <w:r>
        <w:t xml:space="preserve">Сумма авансового </w:t>
      </w:r>
      <w:r>
        <w:t xml:space="preserve">платежа засчитывается в оплату лизинговых платежей по настоящему Договору.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bCs/>
          <w:color w:val="FF0000"/>
          <w:lang w:eastAsia="en-US"/>
        </w:rPr>
      </w:pPr>
      <w:r/>
      <w:bookmarkStart w:id="9" w:name="P79"/>
      <w:r/>
      <w:bookmarkEnd w:id="9"/>
      <w:r>
        <w:rPr>
          <w:rFonts w:eastAsia="Calibri"/>
          <w:lang w:eastAsia="en-US"/>
        </w:rPr>
        <w:t xml:space="preserve">4.2. Лизинговый платеж вносится: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</w:t>
      </w:r>
      <w:r>
        <w:rPr>
          <w:b/>
        </w:rPr>
        <w:t xml:space="preserve">в соответствии с </w:t>
      </w:r>
      <w:hyperlink r:id="rId25" w:tooltip="consultantplus://offline/ref=61C4E752C2BF038BC9C676D1331699A710F6ABB7A7C24D88AAC3143179FE8175D7ED6E348554520523BD833Dm7pEF" w:history="1">
        <w:r>
          <w:rPr>
            <w:b/>
            <w:color w:val="000000"/>
          </w:rPr>
          <w:t xml:space="preserve">Графиком</w:t>
        </w:r>
      </w:hyperlink>
      <w:r>
        <w:rPr>
          <w:b/>
        </w:rPr>
        <w:t xml:space="preserve"> платежей, являющимся неотъемлемой частью Договора (Приложение N 2)</w:t>
      </w:r>
      <w:r>
        <w:t xml:space="preserve">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4.3. Обязательство по внесению лизингового платежа считается исполненным с момента списания денежных средств с расчетного счета Лизингополучателя. Досрочная уплата лизинг</w:t>
      </w:r>
      <w:r>
        <w:t xml:space="preserve">овых платежей - </w:t>
      </w:r>
      <w:r>
        <w:rPr>
          <w:b/>
        </w:rPr>
        <w:t xml:space="preserve">допускается</w:t>
      </w:r>
      <w:r>
        <w:t xml:space="preserve">. Особенности расчета суммы оплаты при досрочном внесении установлены в п. 7.4 настоящего Договора.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4.4. Проценты на сумму оплаты по Договору не начисляются и не уплачиваются.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4.5. Все расчеты по Договору производятся в безналичн</w:t>
      </w:r>
      <w:r>
        <w:rPr>
          <w:rFonts w:eastAsia="Calibri"/>
          <w:lang w:eastAsia="en-US"/>
        </w:rPr>
        <w:t xml:space="preserve">ом порядке путем перечисления денежных средств на указанный в Договоре расчетный счет Лизингодателя. 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4.6.  Цена Договора (общая сумма лизинговых платежей указанная в п. 4.1 Договора)</w:t>
      </w:r>
      <w:r>
        <w:rPr>
          <w:rFonts w:eastAsia="Calibri"/>
          <w:lang w:eastAsia="en-US"/>
        </w:rPr>
        <w:t xml:space="preserve"> является твердой и определяется на весь срок исполнения Договора. При заключении и исполнении Договора изменение его условий не допускается. 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142"/>
        <w:jc w:val="center"/>
        <w:spacing w:before="120" w:after="120" w:line="271" w:lineRule="auto"/>
        <w:widowControl w:val="off"/>
        <w:outlineLvl w:val="0"/>
      </w:pPr>
      <w:r>
        <w:t xml:space="preserve">5. ИНСПЕКТИРОВАНИЕ И КОНТРОЛЬ ЛИЗИНГОПОЛУЧАТЕЛЯ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5.1. Лизингодатель вправе осуществлять контроль сохранности и ис</w:t>
      </w:r>
      <w:r>
        <w:t xml:space="preserve">пользования Предмета лизинга, а также соблюдения Лизингополучателем иных условий, предусмотренных Договором и законодательством.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В этих целях Лизингополучатель обязуется обеспечить беспрепятственный доступ представителей Лизингодателя к Предмету лизинга по</w:t>
      </w:r>
      <w:r>
        <w:t xml:space="preserve"> месту его эксплуатации при условии получения его письменного уведомления, которое направлено в порядке, предусмотренном </w:t>
      </w:r>
      <w:hyperlink w:tooltip="#P163" w:anchor="P163" w:history="1">
        <w:r>
          <w:t xml:space="preserve">п. 12.</w:t>
        </w:r>
      </w:hyperlink>
      <w:r>
        <w:t xml:space="preserve">2 Договора, не менее чем за 10 (десять) рабочих дней до даты проведения инспекции. 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284"/>
        <w:jc w:val="center"/>
        <w:spacing w:before="120" w:after="120" w:line="271" w:lineRule="auto"/>
        <w:widowControl w:val="off"/>
        <w:outlineLvl w:val="0"/>
      </w:pPr>
      <w:r>
        <w:t xml:space="preserve">6. УЛУЧШЕ</w:t>
      </w:r>
      <w:r>
        <w:t xml:space="preserve">НИЯ ПРЕДМЕТА ЛИЗИНГА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6.1. Произведенные Лизингополучателем отделимые улучшения Предмета лизинга являются собственностью - </w:t>
      </w:r>
      <w:r>
        <w:rPr>
          <w:b/>
        </w:rPr>
        <w:t xml:space="preserve">Лизингополучателя</w:t>
      </w:r>
      <w:r>
        <w:t xml:space="preserve">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142"/>
        <w:jc w:val="center"/>
        <w:spacing w:before="120" w:after="120" w:line="271" w:lineRule="auto"/>
        <w:widowControl w:val="off"/>
        <w:outlineLvl w:val="0"/>
      </w:pPr>
      <w:r/>
      <w:bookmarkStart w:id="10" w:name="P108"/>
      <w:r/>
      <w:bookmarkEnd w:id="10"/>
      <w:r>
        <w:t xml:space="preserve">7. ПЕРЕХОД ПРАВА СОБСТВЕННОСТИ НА ПРЕДМЕТ ЛИЗИНГА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7.1. Лизингополучатель вправе выкупить Предмет лизинга по истече</w:t>
      </w:r>
      <w:r>
        <w:t xml:space="preserve">нии срока действия Договора или до его истечения на условиях, указанных ниже.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7.2. Стороны пришли к соглашению что Выкупная цена Предмета лизинга составляет 1000 (одна тысяча) руб., в том числе НДС (20%) - 166,67 руб., включается в общую сумму лизинговых п</w:t>
      </w:r>
      <w:r>
        <w:t xml:space="preserve">латежей по Договору (</w:t>
      </w:r>
      <w:hyperlink w:tooltip="#P77" w:anchor="P77" w:history="1">
        <w:r>
          <w:rPr>
            <w:color w:val="0000FF"/>
          </w:rPr>
          <w:t xml:space="preserve">п. 4.1</w:t>
        </w:r>
      </w:hyperlink>
      <w:r>
        <w:t xml:space="preserve"> Договора), и уплачивается единовременно согласно Графику платежей (Приложение 2).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7.3. После полной уплаты общей суммы лизинговых платежей по Договору (</w:t>
      </w:r>
      <w:hyperlink w:tooltip="#P77" w:anchor="P77" w:history="1">
        <w:r>
          <w:rPr>
            <w:color w:val="0000FF"/>
          </w:rPr>
          <w:t xml:space="preserve">п. 4.1</w:t>
        </w:r>
      </w:hyperlink>
      <w:r>
        <w:t xml:space="preserve"> Дог</w:t>
      </w:r>
      <w:r>
        <w:t xml:space="preserve">овора) Предмет лизинга переходит в собственность Лизингополучателя.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7.4. При получении Лизингодателем письменной заявки Лизингополучателя о досрочном прекращении договора лизинга и выкупе Предмета лизинга, осуществляется досрочный выкуп  Предмета лизинга, </w:t>
      </w:r>
      <w:r>
        <w:t xml:space="preserve">при условии оплаты Лизингополучателем лизингового платежа очередного расчетного периода, в котором получена Лизингодателем письменная заявка Лизингополучателя на досрочный выкуп  согласно Графику, а также оплаты выкупной цены согласно п.4.1 Договора. Сторо</w:t>
      </w:r>
      <w:r>
        <w:t xml:space="preserve">ны обязуются заключить договор купли – продажи предмета лизинга в течение 10 (десяти) календарный дней с момента получения Лизингодателем письменной заявки о досрочном выкупе и оплате выкупного платежа в размере 1000 (Одной тысячи) рублей.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7.5. Цена догово</w:t>
      </w:r>
      <w:r>
        <w:t xml:space="preserve">ра купли – продажи предмета лизинга Лизингодателем Лизингополучателю должна быть равна </w:t>
      </w:r>
      <w:r>
        <w:t xml:space="preserve">выкупной цене. </w:t>
      </w:r>
      <w:r/>
    </w:p>
    <w:p>
      <w:pPr>
        <w:ind w:left="-567" w:right="-142" w:firstLine="567"/>
        <w:spacing w:before="120" w:after="120" w:line="271" w:lineRule="auto"/>
        <w:widowControl w:val="off"/>
        <w:rPr>
          <w:highlight w:val="yellow"/>
        </w:rPr>
      </w:pPr>
      <w:r>
        <w:rPr>
          <w:highlight w:val="yellow"/>
        </w:rPr>
      </w:r>
      <w:r/>
    </w:p>
    <w:p>
      <w:pPr>
        <w:ind w:left="-567" w:right="-142" w:hanging="284"/>
        <w:jc w:val="center"/>
        <w:spacing w:before="120" w:after="120" w:line="271" w:lineRule="auto"/>
        <w:widowControl w:val="off"/>
        <w:outlineLvl w:val="0"/>
      </w:pPr>
      <w:r>
        <w:t xml:space="preserve">8. ОТВЕТСТВЕННОСТЬ СТОРОН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8.1. За нарушение сроков оплаты (</w:t>
      </w:r>
      <w:hyperlink w:tooltip="#P79" w:anchor="P79" w:history="1">
        <w:r>
          <w:rPr>
            <w:color w:val="0000FF"/>
          </w:rPr>
          <w:t xml:space="preserve">п. 4.2</w:t>
        </w:r>
      </w:hyperlink>
      <w:r>
        <w:t xml:space="preserve"> Договора) Лизингодатель вправе требовать с Лизингопол</w:t>
      </w:r>
      <w:r>
        <w:t xml:space="preserve">учателя уплаты неустойки (пеней) в размере 0,1 % процентов от неуплаченной суммы за каждый день просрочки.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8.2. За нарушение сроков передачи Предмета лизинга (</w:t>
      </w:r>
      <w:hyperlink w:tooltip="#P28" w:anchor="P28" w:history="1">
        <w:r>
          <w:rPr>
            <w:color w:val="0000FF"/>
          </w:rPr>
          <w:t xml:space="preserve">п. 2.2.3</w:t>
        </w:r>
      </w:hyperlink>
      <w:r>
        <w:t xml:space="preserve"> Договора) Лизингополучатель вправе требовать с Лизингодателя уплаты за каждый день просрочки неустойки (пеней) в размере 0,1 % процентов от цены Предмета лизинга, указанной в Договоре купли продажи.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8.3. Сторона, не исполнившая или ненадлежащим образом ис</w:t>
      </w:r>
      <w:r>
        <w:t xml:space="preserve">полнившая обязательства по Договору, обязана возместить другой Стороне причиненные такими нарушениями убытки.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8.4. Во всех других случаях неисполнения обязательств по Договору Стороны несут ответственность в соответствии с законодательством РФ.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426"/>
        <w:jc w:val="center"/>
        <w:spacing w:before="120" w:after="120" w:line="271" w:lineRule="auto"/>
        <w:widowControl w:val="off"/>
        <w:outlineLvl w:val="0"/>
      </w:pPr>
      <w:r>
        <w:t xml:space="preserve">9. ОБСТОЯТЕЛЬСТВА НЕПРЕОДОЛИМОЙ СИЛЫ (ФОРС-МАЖОР)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9.1.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</w:t>
      </w:r>
      <w:r>
        <w:t xml:space="preserve">езвычайных и непредотвратимых при данных условиях обстоятельств, под которыми понимаются: запретные действия властей,</w:t>
      </w:r>
      <w:r>
        <w:rPr>
          <w:color w:val="FF0000"/>
        </w:rPr>
        <w:t xml:space="preserve"> </w:t>
      </w:r>
      <w:r>
        <w:t xml:space="preserve">введение специальных положений, введение чрезвычайных положений, введение военных положений, проведение специальных операций, гражданские </w:t>
      </w:r>
      <w:r>
        <w:t xml:space="preserve">волнения, эпидемии, пандемии, блокада, эмбарго, землетрясения, наводнения, пожары или другие стихийные бедствия).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9.2. В случае наступления этих обстоятельств, Сторона обязана в течение 10 (десяти) рабочих дней уведомить об этом другую Сторону.</w:t>
      </w:r>
      <w:r/>
    </w:p>
    <w:p>
      <w:pPr>
        <w:ind w:right="-142"/>
        <w:spacing w:before="120" w:after="120" w:line="271" w:lineRule="auto"/>
        <w:widowControl w:val="off"/>
      </w:pPr>
      <w:r/>
      <w:r/>
    </w:p>
    <w:p>
      <w:pPr>
        <w:ind w:left="-567" w:right="-142" w:hanging="284"/>
        <w:jc w:val="center"/>
        <w:spacing w:before="120" w:after="120" w:line="271" w:lineRule="auto"/>
        <w:widowControl w:val="off"/>
        <w:outlineLvl w:val="0"/>
      </w:pPr>
      <w:r>
        <w:t xml:space="preserve">10. СРОК Д</w:t>
      </w:r>
      <w:r>
        <w:t xml:space="preserve">ЕЙСТВИЯ, ИЗМЕНЕНИЕ И ДОСРОЧНОЕ РАСТОРЖЕНИЕ ДОГОВОРА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10.1. Договор вступает в силу с момента его подписания Сторонами и действует до полного исполнения Сторонами своих обязательств.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10.2. Все изменения и дополнения к Договору действительны, если совершены в</w:t>
      </w:r>
      <w:r>
        <w:t xml:space="preserve"> письменной форме и подписаны обеими Сторонами. Соответствующие дополнительные соглашения Сторон являются неотъемлемой частью Договора.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10.3. Договор может быть досрочно расторгнут по соглашению Сторон, путем заключения соглашения.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10.4. Договор может быть</w:t>
      </w:r>
      <w:r>
        <w:t xml:space="preserve"> расторгнут: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по требованию Лизингополучателя в случае нарушения срока передачи Предмета лизинга, предусмотренного </w:t>
      </w:r>
      <w:hyperlink w:tooltip="#P28" w:anchor="P28" w:history="1">
        <w:r>
          <w:rPr>
            <w:color w:val="0000FF"/>
          </w:rPr>
          <w:t xml:space="preserve">п. 2.2.3</w:t>
        </w:r>
      </w:hyperlink>
      <w:r>
        <w:t xml:space="preserve"> Договора, более чем на 10  (десять) рабочих дней, согласно ст. 450.1 ГК РФ;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по требованию Лизинг</w:t>
      </w:r>
      <w:r>
        <w:t xml:space="preserve">ополучателя, в случае осуществления досрочного выкупа предмета лизинга, в соответствии с параграфом 7 настоящего Договора;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по требованию любой из Сторон в порядке и по основаниям, предусмотренным законодательством РФ.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по инициативе Лизингодателя, если </w:t>
      </w:r>
      <w:r>
        <w:t xml:space="preserve">Лизингополучатель: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пользуется Предметом лизинга в нарушение условий настоящего Договора или не по назначению;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существенно ухудшает Предмет лизинга.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Под существенным ухудшением Стороны договорились понимать возникновение следующих обстоятельств: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не поддерживает Предмет лизинга в исправном состоянии;</w:t>
      </w:r>
      <w:r/>
    </w:p>
    <w:p>
      <w:pPr>
        <w:ind w:left="-567" w:right="-142" w:firstLine="567"/>
        <w:spacing w:before="120" w:after="120" w:line="271" w:lineRule="auto"/>
        <w:shd w:val="clear" w:color="auto" w:fill="ffffff"/>
        <w:widowControl w:val="off"/>
      </w:pPr>
      <w:r>
        <w:t xml:space="preserve">- не проходит техническое обслуживание Предмета лизинга (при необходимости его проведения);</w:t>
      </w:r>
      <w:r/>
    </w:p>
    <w:p>
      <w:pPr>
        <w:ind w:left="-567" w:right="-142" w:firstLine="567"/>
        <w:spacing w:before="120" w:after="120" w:line="271" w:lineRule="auto"/>
        <w:shd w:val="clear" w:color="auto" w:fill="ffffff"/>
        <w:widowControl w:val="off"/>
      </w:pPr>
      <w:r>
        <w:t xml:space="preserve">- не испол</w:t>
      </w:r>
      <w:r>
        <w:t xml:space="preserve">няет более двух раз подряд обязательств по внесению ежемесячных лизинговых платежей.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426"/>
        <w:jc w:val="center"/>
        <w:spacing w:before="120" w:after="120" w:line="271" w:lineRule="auto"/>
        <w:widowControl w:val="off"/>
        <w:outlineLvl w:val="0"/>
      </w:pPr>
      <w:r>
        <w:t xml:space="preserve">11. РАЗРЕШЕНИЕ СПОРОВ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11.1.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11.2. В с</w:t>
      </w:r>
      <w:r>
        <w:t xml:space="preserve">лучае не достижения соглашения в ходе переговоров заинтересованная Сторона в соответствии с </w:t>
      </w:r>
      <w:hyperlink w:tooltip="#P163" w:anchor="P163" w:history="1">
        <w:r>
          <w:rPr>
            <w:color w:val="0000FF"/>
          </w:rPr>
          <w:t xml:space="preserve">п. 12.</w:t>
        </w:r>
      </w:hyperlink>
      <w:r>
        <w:rPr>
          <w:color w:val="0000FF"/>
        </w:rPr>
        <w:t xml:space="preserve">2</w:t>
      </w:r>
      <w:r>
        <w:t xml:space="preserve"> Договора направляет заказным письмом с уведомлением о вручении или курьерской доставкой претензию в письменной форме, под</w:t>
      </w:r>
      <w:r>
        <w:t xml:space="preserve">писанную уполномоченным лицом.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11.3.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</w:t>
      </w:r>
      <w:r>
        <w:t xml:space="preserve">ию. </w:t>
      </w:r>
      <w:bookmarkStart w:id="11" w:name="P158"/>
      <w:r/>
      <w:bookmarkEnd w:id="11"/>
      <w:r/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11.4.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11.5. В случае не урегулирования</w:t>
      </w:r>
      <w: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tooltip="#P158" w:anchor="P158" w:history="1">
        <w:r>
          <w:rPr>
            <w:color w:val="0000FF"/>
          </w:rPr>
          <w:t xml:space="preserve">п. 11.4</w:t>
        </w:r>
      </w:hyperlink>
      <w:r>
        <w:t xml:space="preserve"> Договора, спор передается в Арбитражный суд Тульской области. 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r/>
    </w:p>
    <w:p>
      <w:pPr>
        <w:ind w:left="-567" w:right="-142" w:hanging="284"/>
        <w:jc w:val="center"/>
        <w:spacing w:before="120" w:after="120" w:line="271" w:lineRule="auto"/>
        <w:widowControl w:val="off"/>
        <w:outlineLvl w:val="0"/>
      </w:pPr>
      <w:r>
        <w:t xml:space="preserve">12. ЗАКЛЮЧИТЕЛЬНЫЕ ПОЛОЖЕНИЯ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12.</w:t>
      </w:r>
      <w:r>
        <w:t xml:space="preserve">1.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  <w:r/>
    </w:p>
    <w:p>
      <w:pPr>
        <w:ind w:left="-567" w:right="-142" w:firstLine="567"/>
        <w:spacing w:before="120" w:after="120" w:line="271" w:lineRule="auto"/>
        <w:widowControl w:val="off"/>
      </w:pPr>
      <w:r/>
      <w:bookmarkStart w:id="12" w:name="P163"/>
      <w:r>
        <w:t xml:space="preserve">12.2</w:t>
      </w:r>
      <w:bookmarkEnd w:id="12"/>
      <w:r>
        <w:t xml:space="preserve">. Документооборот (уведомления, извещения и иные юридически значимые сообщения)  ос</w:t>
      </w:r>
      <w:r>
        <w:t xml:space="preserve">уществляется  Сторонами любым из следующих способов: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заказным письмом с уведомлением о вручении;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ценным письмом с описью вложения;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 по официально</w:t>
      </w:r>
      <w:r>
        <w:t xml:space="preserve">й электронной почте, указанной в договоре, с ответным подтверждением о получении контактным лицом, что позволяет достоверно установить, от кого исходило сообщение и кому оно адресовано. Сообщения, направленные по электронной почте имеют юридическую силу.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С</w:t>
      </w:r>
      <w:r>
        <w:t xml:space="preserve">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</w:t>
      </w:r>
      <w:r>
        <w:t xml:space="preserve">твам (</w:t>
      </w:r>
      <w:hyperlink r:id="rId26" w:tooltip="consultantplus://offline/ref=61C4E752C2BF038BC9C66AD1341699A715F5A1B9A2CC1082A29A18337EF1DE70D0FC6E36874A59546CFBD6327D58ADA98E5A0770B8m1pEF" w:history="1">
        <w:r>
          <w:rPr>
            <w:color w:val="0000FF"/>
          </w:rPr>
          <w:t xml:space="preserve">п. 1 ст. 165.1</w:t>
        </w:r>
      </w:hyperlink>
      <w:r>
        <w:t xml:space="preserve"> ГК РФ).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Сторона обязана уведомить контрагента об изменении своего места нахождения, номера телефона, электронной почты, банковских реквизитов за 7 (семь)  дней до вступления в силу и</w:t>
      </w:r>
      <w:r>
        <w:rPr>
          <w:rFonts w:eastAsia="Calibri"/>
          <w:lang w:eastAsia="en-US"/>
        </w:rPr>
        <w:t xml:space="preserve">зменений соответствующих реквизитов. В случае невыполнения Стороной указанной обязанности извещения, уведомления о перечислении денежных средств считаются надлежаще направленными по старым реквизитам.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12.4. Договор составлен в двух экземплярах, по одному для каждой из Сторон. Все приложения, изменения, дополнения к Договору являются его неотъемлемой частью.</w:t>
      </w:r>
      <w:r/>
    </w:p>
    <w:p>
      <w:pPr>
        <w:ind w:left="-567" w:right="-142" w:firstLine="567"/>
        <w:spacing w:before="120" w:after="120" w:line="271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12.5. К Договору прилагаются:</w:t>
      </w:r>
      <w:r/>
    </w:p>
    <w:p>
      <w:pPr>
        <w:ind w:left="-567" w:right="-142" w:firstLine="567"/>
        <w:spacing w:before="120" w:after="120" w:line="271" w:lineRule="auto"/>
        <w:widowControl w:val="off"/>
        <w:rPr>
          <w:color w:val="000000"/>
        </w:rPr>
      </w:pPr>
      <w:r>
        <w:t xml:space="preserve">- </w:t>
      </w:r>
      <w:hyperlink r:id="rId27" w:tooltip="consultantplus://offline/ref=61C4E752C2BF038BC9C676D1331699A710F6ABB7A5C24D88AAC3143179FE8175D7ED6E348554520523BD833Dm7pEF" w:history="1">
        <w:r>
          <w:rPr>
            <w:color w:val="000000"/>
          </w:rPr>
          <w:t xml:space="preserve">Спецификация</w:t>
        </w:r>
      </w:hyperlink>
      <w:r>
        <w:rPr>
          <w:color w:val="000000"/>
        </w:rPr>
        <w:t xml:space="preserve"> (Заявка на лизинг)  предмета лизинга (При</w:t>
      </w:r>
      <w:r>
        <w:rPr>
          <w:color w:val="000000"/>
        </w:rPr>
        <w:t xml:space="preserve">ложение № 1);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rPr>
          <w:color w:val="000000"/>
        </w:rPr>
        <w:t xml:space="preserve">- </w:t>
      </w:r>
      <w:hyperlink r:id="rId28" w:tooltip="consultantplus://offline/ref=61C4E752C2BF038BC9C676D1331699A710F6ABB7A7C24D88AAC3143179FE8175D7ED6E348554520523BD833Dm7pEF" w:history="1">
        <w:r>
          <w:rPr>
            <w:color w:val="000000"/>
          </w:rPr>
          <w:t xml:space="preserve">График</w:t>
        </w:r>
      </w:hyperlink>
      <w:r>
        <w:rPr>
          <w:color w:val="000000"/>
        </w:rPr>
        <w:t xml:space="preserve"> платежей </w:t>
      </w:r>
      <w:r>
        <w:t xml:space="preserve">(Приложение № 2) </w:t>
      </w:r>
      <w:r>
        <w:rPr>
          <w:i/>
        </w:rPr>
        <w:t xml:space="preserve">(при выборе соответствующего условия в рамках </w:t>
      </w:r>
      <w:hyperlink w:tooltip="#P83" w:anchor="P83" w:history="1">
        <w:r>
          <w:rPr>
            <w:i/>
            <w:color w:val="0000FF"/>
          </w:rPr>
          <w:t xml:space="preserve">п. 4.2</w:t>
        </w:r>
      </w:hyperlink>
      <w:r>
        <w:rPr>
          <w:i/>
        </w:rPr>
        <w:t xml:space="preserve"> Договора)</w:t>
      </w:r>
      <w:r>
        <w:t xml:space="preserve">;</w:t>
      </w:r>
      <w:r/>
    </w:p>
    <w:p>
      <w:pPr>
        <w:ind w:left="-567" w:right="-142" w:firstLine="567"/>
        <w:spacing w:before="120" w:after="120" w:line="271" w:lineRule="auto"/>
        <w:widowControl w:val="off"/>
      </w:pPr>
      <w:r>
        <w:t xml:space="preserve">- Акт приема передачи (Приложение №3)</w:t>
      </w:r>
      <w:r/>
    </w:p>
    <w:p>
      <w:pPr>
        <w:widowControl w:val="off"/>
      </w:pPr>
      <w:r/>
      <w:r/>
    </w:p>
    <w:p>
      <w:pPr>
        <w:jc w:val="center"/>
        <w:widowControl w:val="off"/>
        <w:outlineLvl w:val="0"/>
      </w:pPr>
      <w:r/>
      <w:r/>
    </w:p>
    <w:p>
      <w:pPr>
        <w:ind w:left="-567" w:hanging="284"/>
        <w:jc w:val="center"/>
        <w:widowControl w:val="off"/>
        <w:outlineLvl w:val="0"/>
      </w:pPr>
      <w:r>
        <w:t xml:space="preserve">13. АДРЕСА, РЕКВИЗИТЫ И ПОДПИСИ СТОРОН</w:t>
      </w:r>
      <w:r/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>
        <w:trPr>
          <w:trHeight w:val="4912"/>
        </w:trPr>
        <w:tc>
          <w:tcPr>
            <w:tcW w:w="4820" w:type="dxa"/>
            <w:textDirection w:val="lrTb"/>
            <w:noWrap w:val="false"/>
          </w:tcPr>
          <w:p>
            <w:pPr>
              <w:keepNext/>
              <w:rPr>
                <w:b/>
              </w:rPr>
              <w:outlineLvl w:val="0"/>
            </w:pPr>
            <w:r>
              <w:rPr>
                <w:b/>
              </w:rPr>
              <w:t xml:space="preserve">Лизингодатель</w:t>
            </w:r>
            <w:r/>
          </w:p>
          <w:p>
            <w:r/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«»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адрес: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Почтовый адрес: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Телефон</w:t>
            </w:r>
            <w:r>
              <w:rPr>
                <w:lang w:eastAsia="en-US"/>
              </w:rPr>
              <w:t xml:space="preserve">: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Е-</w:t>
            </w:r>
            <w:r>
              <w:rPr>
                <w:b/>
                <w:lang w:val="en-US" w:eastAsia="en-US"/>
              </w:rPr>
              <w:t xml:space="preserve">mail</w:t>
            </w:r>
            <w:r>
              <w:rPr>
                <w:b/>
                <w:lang w:eastAsia="en-US"/>
              </w:rPr>
              <w:t xml:space="preserve">: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ОГРН </w:t>
            </w:r>
            <w:r>
              <w:rPr>
                <w:lang w:eastAsia="en-US"/>
              </w:rPr>
              <w:t xml:space="preserve"> 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ИНН </w:t>
            </w:r>
            <w:r>
              <w:rPr>
                <w:lang w:eastAsia="en-US"/>
              </w:rPr>
              <w:t xml:space="preserve">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р/с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к/с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КПП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  <w:t xml:space="preserve"> 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БИК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ab/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ОКПО</w:t>
            </w:r>
            <w:r>
              <w:rPr>
                <w:lang w:eastAsia="en-US"/>
              </w:rPr>
              <w:t xml:space="preserve">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ОКВЭД</w:t>
            </w:r>
            <w:r>
              <w:rPr>
                <w:lang w:eastAsia="en-US"/>
              </w:rPr>
              <w:t xml:space="preserve">  </w:t>
            </w:r>
            <w:r/>
          </w:p>
          <w:p>
            <w:r/>
            <w:r/>
          </w:p>
          <w:p>
            <w:pPr>
              <w:keepNext/>
              <w:outlineLvl w:val="0"/>
            </w:pPr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Директор</w:t>
            </w:r>
            <w:r/>
          </w:p>
          <w:p>
            <w:r/>
            <w:r/>
          </w:p>
          <w:p>
            <w:r>
              <w:t xml:space="preserve">_______________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Next/>
              <w:rPr>
                <w:b/>
              </w:rPr>
              <w:outlineLvl w:val="1"/>
            </w:pPr>
            <w:r>
              <w:rPr>
                <w:b/>
              </w:rPr>
              <w:t xml:space="preserve">Лизингополучатель</w:t>
            </w:r>
            <w:r/>
          </w:p>
          <w:p>
            <w:r/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адрес: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Почтовый адрес: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Телефон</w:t>
            </w:r>
            <w:r>
              <w:rPr>
                <w:lang w:eastAsia="en-US"/>
              </w:rPr>
              <w:t xml:space="preserve">: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Е-</w:t>
            </w:r>
            <w:r>
              <w:rPr>
                <w:b/>
                <w:lang w:val="en-US" w:eastAsia="en-US"/>
              </w:rPr>
              <w:t xml:space="preserve">mail</w:t>
            </w:r>
            <w:r>
              <w:rPr>
                <w:b/>
                <w:lang w:eastAsia="en-US"/>
              </w:rPr>
              <w:t xml:space="preserve">: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ОГРН </w:t>
            </w:r>
            <w:r>
              <w:rPr>
                <w:lang w:eastAsia="en-US"/>
              </w:rPr>
              <w:t xml:space="preserve"> 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ИНН </w:t>
            </w:r>
            <w:r>
              <w:rPr>
                <w:lang w:eastAsia="en-US"/>
              </w:rPr>
              <w:t xml:space="preserve">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р/с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к/с</w:t>
            </w:r>
            <w:r>
              <w:rPr>
                <w:lang w:eastAsia="en-US"/>
              </w:rPr>
              <w:t xml:space="preserve">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КПП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  <w:t xml:space="preserve"> 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БИК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ab/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ОКПО</w:t>
            </w:r>
            <w:r>
              <w:rPr>
                <w:lang w:eastAsia="en-US"/>
              </w:rPr>
              <w:t xml:space="preserve">  </w:t>
            </w:r>
            <w:r/>
          </w:p>
          <w:p>
            <w:pPr>
              <w:ind w:right="262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ОКВЭД</w:t>
            </w:r>
            <w:r>
              <w:rPr>
                <w:lang w:eastAsia="en-US"/>
              </w:rPr>
              <w:t xml:space="preserve"> 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Директор</w:t>
            </w:r>
            <w:r/>
          </w:p>
          <w:p>
            <w:r/>
            <w:r/>
          </w:p>
          <w:p>
            <w:r>
              <w:t xml:space="preserve">_______________________ </w:t>
            </w:r>
            <w:r/>
          </w:p>
        </w:tc>
      </w:tr>
    </w:tbl>
    <w:p>
      <w:pPr>
        <w:keepNext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keepNext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right"/>
        <w:keepNext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keepNext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right"/>
        <w:keepNext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right"/>
        <w:keepNext/>
        <w:tabs>
          <w:tab w:val="left" w:pos="0" w:leader="none"/>
        </w:tabs>
        <w:rPr>
          <w:rFonts w:eastAsia="Calibri"/>
          <w:b/>
          <w:i/>
          <w:lang w:eastAsia="en-US"/>
        </w:rPr>
      </w:pPr>
      <w:r>
        <w:rPr>
          <w:rFonts w:eastAsia="Calibri"/>
          <w:b/>
          <w:lang w:eastAsia="en-US"/>
        </w:rPr>
        <w:t xml:space="preserve">Приложение № 1</w:t>
      </w:r>
      <w:r/>
    </w:p>
    <w:p>
      <w:pPr>
        <w:ind w:left="3686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 Договору финансовой аренды (Лизинга)</w:t>
      </w:r>
      <w:r/>
    </w:p>
    <w:p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 «____» ____________ 2022 г. № _____________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br/>
      </w:r>
      <w:r/>
    </w:p>
    <w:p>
      <w:pPr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(СПЕЦИФИКАЦИЯ)</w:t>
      </w:r>
      <w:r/>
    </w:p>
    <w:p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left="283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____________________именуемое в дальнейшем </w:t>
      </w:r>
      <w:r>
        <w:rPr>
          <w:rFonts w:eastAsia="Calibri"/>
          <w:b/>
          <w:lang w:eastAsia="en-US"/>
        </w:rPr>
        <w:t xml:space="preserve">«Лизингодатель»</w:t>
      </w:r>
      <w:r>
        <w:rPr>
          <w:rFonts w:eastAsia="Calibri"/>
          <w:lang w:eastAsia="en-US"/>
        </w:rPr>
        <w:t xml:space="preserve">, в лице  директора _____________, действующего на основании             , с одной стороны, и</w:t>
      </w:r>
      <w:r/>
    </w:p>
    <w:p>
      <w:pPr>
        <w:ind w:left="283" w:firstLine="567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Общество с ограниченной ответственностью «Электробыт», именуемое в дальнейшем </w:t>
      </w:r>
      <w:r>
        <w:rPr>
          <w:rFonts w:eastAsia="Calibri"/>
          <w:b/>
          <w:lang w:eastAsia="en-US"/>
        </w:rPr>
        <w:t xml:space="preserve">«Лизингополучатель»</w:t>
      </w:r>
      <w:r>
        <w:rPr>
          <w:rFonts w:eastAsia="Calibri"/>
          <w:lang w:eastAsia="en-US"/>
        </w:rPr>
        <w:t xml:space="preserve">, в лице директора ___________ действующего на основании Устава, с другой стороны, </w:t>
      </w:r>
      <w:r/>
    </w:p>
    <w:p>
      <w:pPr>
        <w:ind w:left="283" w:firstLine="567"/>
        <w:spacing w:after="12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совместно именуемые «Стороны»</w:t>
      </w:r>
      <w:r>
        <w:rPr>
          <w:rFonts w:eastAsia="Calibri"/>
          <w:lang w:eastAsia="en-US"/>
        </w:rPr>
        <w:t xml:space="preserve">, согласовали настоящую заявку о передаче в лизинг нижеуказанного имущества (Предмета лизинга):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7764"/>
        <w:gridCol w:w="688"/>
        <w:gridCol w:w="688"/>
      </w:tblGrid>
      <w:tr>
        <w:trPr>
          <w:trHeight w:val="49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№п/п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77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(Предмет </w:t>
            </w:r>
            <w:r>
              <w:rPr>
                <w:rFonts w:eastAsia="Calibri"/>
                <w:b/>
                <w:lang w:eastAsia="en-US"/>
              </w:rPr>
              <w:t xml:space="preserve">лизинга)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Ед. изм.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</w:t>
            </w:r>
            <w:r/>
          </w:p>
        </w:tc>
      </w:tr>
      <w:tr>
        <w:trPr>
          <w:trHeight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4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Согласно техническому заданию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</w:tc>
      </w:tr>
    </w:tbl>
    <w:p>
      <w:pPr>
        <w:ind w:firstLine="567"/>
        <w:spacing w:line="240" w:lineRule="exact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</w:r>
      <w:r/>
    </w:p>
    <w:p>
      <w:pPr>
        <w:ind w:firstLine="567"/>
        <w:spacing w:line="240" w:lineRule="exact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Подписи Сторон</w:t>
      </w:r>
      <w:r/>
    </w:p>
    <w:p>
      <w:pPr>
        <w:ind w:firstLine="567"/>
        <w:jc w:val="center"/>
        <w:spacing w:line="240" w:lineRule="exact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4751"/>
      </w:tblGrid>
      <w:tr>
        <w:trPr/>
        <w:tc>
          <w:tcPr>
            <w:tcMar>
              <w:left w:w="0" w:type="dxa"/>
              <w:right w:w="0" w:type="dxa"/>
            </w:tcMar>
            <w:tcW w:w="5170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Calibri"/>
                <w:lang w:eastAsia="en-US"/>
              </w:rPr>
              <w:outlineLvl w:val="3"/>
            </w:pPr>
            <w:r>
              <w:rPr>
                <w:rFonts w:eastAsia="Calibri"/>
                <w:lang w:eastAsia="en-US"/>
              </w:rPr>
              <w:t xml:space="preserve">Лизингодатель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</w:t>
            </w:r>
            <w:r>
              <w:rPr>
                <w:rFonts w:eastAsia="Calibri"/>
                <w:lang w:eastAsia="en-US"/>
              </w:rPr>
              <w:t xml:space="preserve"> /_____________</w:t>
            </w:r>
            <w:r>
              <w:rPr>
                <w:rFonts w:eastAsia="Calibri"/>
                <w:b/>
                <w:lang w:eastAsia="en-US"/>
              </w:rPr>
              <w:t xml:space="preserve"> /</w:t>
            </w:r>
            <w:r/>
          </w:p>
          <w:p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м.п.</w:t>
            </w:r>
            <w:r/>
          </w:p>
        </w:tc>
        <w:tc>
          <w:tcPr>
            <w:tcMar>
              <w:left w:w="0" w:type="dxa"/>
              <w:right w:w="0" w:type="dxa"/>
            </w:tcMar>
            <w:tcW w:w="4751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Calibri"/>
                <w:lang w:eastAsia="en-US"/>
              </w:rPr>
              <w:outlineLvl w:val="3"/>
            </w:pPr>
            <w:r>
              <w:rPr>
                <w:rFonts w:eastAsia="Calibri"/>
                <w:lang w:eastAsia="en-US"/>
              </w:rPr>
              <w:t xml:space="preserve">Лизингополучатель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</w:t>
            </w:r>
            <w:r>
              <w:rPr>
                <w:rFonts w:eastAsia="Calibri"/>
                <w:lang w:eastAsia="en-US"/>
              </w:rPr>
              <w:t xml:space="preserve"> /_______</w:t>
            </w:r>
            <w:r>
              <w:rPr>
                <w:rFonts w:eastAsia="Calibri"/>
                <w:b/>
                <w:lang w:eastAsia="en-US"/>
              </w:rPr>
              <w:t xml:space="preserve"> /</w:t>
            </w:r>
            <w:r/>
          </w:p>
          <w:p>
            <w:pPr>
              <w:ind w:left="283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м.п.</w:t>
            </w:r>
            <w:r/>
          </w:p>
        </w:tc>
      </w:tr>
    </w:tbl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rPr>
          <w:b/>
        </w:rPr>
        <w:sectPr>
          <w:footnotePr/>
          <w:endnotePr/>
          <w:type w:val="nextPage"/>
          <w:pgSz w:w="11906" w:h="16838" w:orient="portrait"/>
          <w:pgMar w:top="568" w:right="566" w:bottom="709" w:left="1701" w:header="708" w:footer="708" w:gutter="0"/>
          <w:cols w:num="1" w:sep="0" w:space="708" w:equalWidth="1"/>
          <w:docGrid w:linePitch="360"/>
        </w:sectPr>
      </w:pPr>
      <w:r>
        <w:rPr>
          <w:b/>
        </w:rPr>
      </w:r>
      <w:r/>
    </w:p>
    <w:p>
      <w:pPr>
        <w:ind w:left="3686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ind w:left="3686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ind w:left="3686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 к Договору финансовой аренды (Лизинга)</w:t>
      </w:r>
      <w:r/>
    </w:p>
    <w:p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 «____» ____________ 2022 г. № ___________________</w:t>
      </w:r>
      <w:r/>
    </w:p>
    <w:p>
      <w:pPr>
        <w:ind w:firstLine="400"/>
        <w:jc w:val="center"/>
        <w:widowControl w:val="off"/>
        <w:tabs>
          <w:tab w:val="left" w:pos="5812" w:leader="none"/>
        </w:tabs>
        <w:rPr>
          <w:b/>
          <w:bCs/>
        </w:rPr>
      </w:pPr>
      <w:r>
        <w:rPr>
          <w:b/>
          <w:bCs/>
        </w:rPr>
      </w:r>
      <w:r/>
    </w:p>
    <w:tbl>
      <w:tblPr>
        <w:tblpPr w:horzAnchor="page" w:tblpX="393" w:vertAnchor="text" w:tblpY="82" w:leftFromText="180" w:topFromText="0" w:rightFromText="180" w:bottomFromText="0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895"/>
        <w:gridCol w:w="566"/>
        <w:gridCol w:w="800"/>
        <w:gridCol w:w="901"/>
        <w:gridCol w:w="1225"/>
        <w:gridCol w:w="1417"/>
        <w:gridCol w:w="1134"/>
        <w:gridCol w:w="1560"/>
        <w:gridCol w:w="1984"/>
        <w:gridCol w:w="2552"/>
      </w:tblGrid>
      <w:tr>
        <w:trPr>
          <w:trHeight w:val="84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ind w:left="116"/>
              <w:jc w:val="center"/>
              <w:widowControl w:val="off"/>
              <w:tabs>
                <w:tab w:val="left" w:pos="5812" w:leader="none"/>
              </w:tabs>
              <w:rPr>
                <w:bCs/>
              </w:rPr>
            </w:pPr>
            <w:r>
              <w:rPr>
                <w:bCs/>
              </w:rPr>
              <w:t xml:space="preserve">№ </w:t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</w:rPr>
              <w:t xml:space="preserve">лизингового периода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2461" w:type="dxa"/>
            <w:textDirection w:val="lrTb"/>
            <w:noWrap w:val="false"/>
          </w:tcPr>
          <w:p>
            <w:pPr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Структура лизинговых платежей (рублей, в т.ч. НДС) 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77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Выкупная цена предмета лизинга (рубли)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Возмещение стоимости предмета лизинга при досрочном выкупе (рубли)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Остаток задолженности (рубли)</w:t>
            </w:r>
            <w:r/>
          </w:p>
        </w:tc>
      </w:tr>
      <w:tr>
        <w:trPr>
          <w:trHeight w:val="53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Возмещение стоимости предмета лизинга (амортизация)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Вознаграждение (доход) лизингодателя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Компенсация платы лизингодателя за пользование заемными средствами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Дополнительные услуги лизингодателя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Итого: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812" w:leader="none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-2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ind w:firstLine="601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8.</w:t>
            </w:r>
            <w:r/>
          </w:p>
          <w:p>
            <w:pPr>
              <w:ind w:firstLine="601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.</w:t>
            </w:r>
            <w:r/>
          </w:p>
          <w:p>
            <w:pPr>
              <w:ind w:firstLine="601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.</w:t>
            </w:r>
            <w:r/>
          </w:p>
          <w:p>
            <w:pPr>
              <w:ind w:firstLine="601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ind w:left="72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ind w:left="72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ind w:firstLine="601"/>
        <w:widowControl w:val="off"/>
        <w:tabs>
          <w:tab w:val="left" w:pos="5812" w:leader="none"/>
        </w:tabs>
        <w:rPr>
          <w:b/>
          <w:bCs/>
          <w:lang w:val="en-US"/>
        </w:rPr>
      </w:pPr>
      <w:r>
        <w:rPr>
          <w:b/>
          <w:bCs/>
          <w:lang w:val="en-US"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Сумма лизинговых платежей составляет –</w:t>
      </w:r>
      <w:r>
        <w:rPr>
          <w:rFonts w:eastAsia="Calibri"/>
          <w:b/>
          <w:lang w:eastAsia="en-US"/>
        </w:rPr>
        <w:t xml:space="preserve"> _________</w:t>
      </w:r>
      <w:r>
        <w:rPr>
          <w:rFonts w:eastAsia="Calibri"/>
          <w:lang w:eastAsia="en-US"/>
        </w:rPr>
        <w:t xml:space="preserve">рублей, в том числе НДС (20%)</w:t>
      </w:r>
      <w:r>
        <w:rPr>
          <w:rFonts w:eastAsia="Calibri"/>
          <w:b/>
          <w:lang w:eastAsia="en-US"/>
        </w:rPr>
        <w:t xml:space="preserve"> – _________ </w:t>
      </w:r>
      <w:r>
        <w:rPr>
          <w:rFonts w:eastAsia="Calibri"/>
          <w:lang w:eastAsia="en-US"/>
        </w:rPr>
        <w:t xml:space="preserve">рублей. 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Сумма авансового платежа - ____________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рублей,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в том числе НДС (20%)</w:t>
      </w:r>
      <w:r>
        <w:rPr>
          <w:rFonts w:eastAsia="Calibri"/>
          <w:b/>
          <w:lang w:eastAsia="en-US"/>
        </w:rPr>
        <w:t xml:space="preserve"> – ______ </w:t>
      </w:r>
      <w:r>
        <w:rPr>
          <w:rFonts w:eastAsia="Calibri"/>
          <w:lang w:eastAsia="en-US"/>
        </w:rPr>
        <w:t xml:space="preserve">рублей. </w:t>
      </w:r>
      <w:r/>
    </w:p>
    <w:p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Выкупная стоимость – </w:t>
      </w:r>
      <w:r>
        <w:rPr>
          <w:rFonts w:eastAsia="Calibri"/>
          <w:b/>
          <w:lang w:eastAsia="en-US"/>
        </w:rPr>
        <w:t xml:space="preserve">_________</w:t>
      </w:r>
      <w:r>
        <w:rPr>
          <w:rFonts w:eastAsia="Calibri"/>
          <w:lang w:eastAsia="en-US"/>
        </w:rPr>
        <w:t xml:space="preserve">рублей,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в том числе НДС (20%)</w:t>
      </w:r>
      <w:r>
        <w:rPr>
          <w:rFonts w:eastAsia="Calibri"/>
          <w:b/>
          <w:lang w:eastAsia="en-US"/>
        </w:rPr>
        <w:t xml:space="preserve"> – _________</w:t>
      </w:r>
      <w:r>
        <w:rPr>
          <w:rFonts w:eastAsia="Calibri"/>
          <w:lang w:eastAsia="en-US"/>
        </w:rPr>
        <w:t xml:space="preserve">рублей. </w:t>
      </w:r>
      <w:r/>
    </w:p>
    <w:p>
      <w:pPr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/>
    </w:p>
    <w:p>
      <w:pPr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caps/>
          <w:lang w:eastAsia="en-US"/>
        </w:rPr>
        <w:t xml:space="preserve">подписи сторон:</w:t>
      </w:r>
      <w:r/>
    </w:p>
    <w:tbl>
      <w:tblPr>
        <w:tblpPr w:horzAnchor="text" w:tblpXSpec="left" w:vertAnchor="text" w:tblpY="1" w:leftFromText="180" w:topFromText="0" w:rightFromText="180" w:bottomFromText="0"/>
        <w:tblW w:w="10300" w:type="dxa"/>
        <w:tblLayout w:type="fixed"/>
        <w:tblLook w:val="04A0" w:firstRow="1" w:lastRow="0" w:firstColumn="1" w:lastColumn="0" w:noHBand="0" w:noVBand="1"/>
      </w:tblPr>
      <w:tblGrid>
        <w:gridCol w:w="236"/>
        <w:gridCol w:w="4223"/>
        <w:gridCol w:w="681"/>
        <w:gridCol w:w="4507"/>
        <w:gridCol w:w="653"/>
      </w:tblGrid>
      <w:tr>
        <w:trPr>
          <w:trHeight w:val="269"/>
        </w:trPr>
        <w:tc>
          <w:tcPr>
            <w:gridSpan w:val="2"/>
            <w:tcW w:w="4459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gridSpan w:val="3"/>
            <w:tcW w:w="5841" w:type="dxa"/>
            <w:textDirection w:val="lrTb"/>
            <w:noWrap w:val="false"/>
          </w:tcPr>
          <w:p>
            <w:pPr>
              <w:ind w:left="557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</w:tc>
      </w:tr>
      <w:tr>
        <w:trPr>
          <w:trHeight w:val="287"/>
        </w:trPr>
        <w:tc>
          <w:tcPr>
            <w:tcW w:w="23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tcW w:w="4904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Calibri"/>
                <w:lang w:eastAsia="en-US"/>
              </w:rPr>
              <w:outlineLvl w:val="3"/>
            </w:pPr>
            <w:r>
              <w:rPr>
                <w:rFonts w:eastAsia="Calibri"/>
                <w:lang w:eastAsia="en-US"/>
              </w:rPr>
              <w:t xml:space="preserve">Лизингодатель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</w:t>
            </w:r>
            <w:r>
              <w:rPr>
                <w:rFonts w:eastAsia="Calibri"/>
                <w:lang w:eastAsia="en-US"/>
              </w:rPr>
              <w:t xml:space="preserve"> /________</w:t>
            </w:r>
            <w:r>
              <w:rPr>
                <w:rFonts w:eastAsia="Calibri"/>
                <w:b/>
                <w:lang w:eastAsia="en-US"/>
              </w:rPr>
              <w:t xml:space="preserve"> /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м.п.</w:t>
            </w:r>
            <w:r/>
          </w:p>
          <w:p>
            <w:pPr>
              <w:ind w:right="-4021"/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                                                                                                                                                 </w:t>
            </w:r>
            <w:r/>
          </w:p>
          <w:p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                                                                                                   </w:t>
            </w:r>
            <w:r/>
          </w:p>
        </w:tc>
        <w:tc>
          <w:tcPr>
            <w:tcW w:w="4507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Calibri"/>
                <w:lang w:eastAsia="en-US"/>
              </w:rPr>
              <w:outlineLvl w:val="3"/>
            </w:pPr>
            <w:r>
              <w:rPr>
                <w:rFonts w:eastAsia="Calibri"/>
                <w:lang w:eastAsia="en-US"/>
              </w:rPr>
              <w:t xml:space="preserve">Лизингоп</w:t>
            </w:r>
            <w:r>
              <w:rPr>
                <w:rFonts w:eastAsia="Calibri"/>
                <w:lang w:eastAsia="en-US"/>
              </w:rPr>
              <w:t xml:space="preserve">олучатель</w:t>
            </w:r>
            <w:r/>
          </w:p>
          <w:p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</w:t>
            </w:r>
            <w:r>
              <w:rPr>
                <w:rFonts w:eastAsia="Calibri"/>
                <w:lang w:eastAsia="en-US"/>
              </w:rPr>
              <w:t xml:space="preserve"> /___________/</w:t>
            </w:r>
            <w:r/>
          </w:p>
          <w:p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м.п.</w:t>
            </w:r>
            <w:r/>
          </w:p>
        </w:tc>
        <w:tc>
          <w:tcPr>
            <w:tcW w:w="653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709" w:right="1701" w:bottom="1134" w:left="851" w:header="709" w:footer="709" w:gutter="0"/>
          <w:cols w:num="1" w:sep="0" w:space="708" w:equalWidth="1"/>
          <w:docGrid w:linePitch="360"/>
        </w:sectPr>
      </w:pPr>
      <w:r/>
      <w:r/>
    </w:p>
    <w:tbl>
      <w:tblPr>
        <w:tblpPr w:horzAnchor="margin" w:tblpXSpec="left" w:vertAnchor="text" w:tblpY="-3308" w:leftFromText="180" w:topFromText="0" w:rightFromText="180" w:bottomFromText="0"/>
        <w:tblW w:w="10300" w:type="dxa"/>
        <w:tblLayout w:type="fixed"/>
        <w:tblLook w:val="04A0" w:firstRow="1" w:lastRow="0" w:firstColumn="1" w:lastColumn="0" w:noHBand="0" w:noVBand="1"/>
      </w:tblPr>
      <w:tblGrid>
        <w:gridCol w:w="4995"/>
        <w:gridCol w:w="5305"/>
      </w:tblGrid>
      <w:tr>
        <w:trPr>
          <w:trHeight w:val="976"/>
        </w:trPr>
        <w:tc>
          <w:tcPr>
            <w:tcW w:w="4995" w:type="dxa"/>
            <w:textDirection w:val="lrTb"/>
            <w:noWrap w:val="false"/>
          </w:tcPr>
          <w:p>
            <w:pPr>
              <w:tabs>
                <w:tab w:val="left" w:pos="136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5305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jc w:val="right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  <w:p>
            <w:pPr>
              <w:jc w:val="right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Приложение № 3</w:t>
            </w:r>
            <w:r/>
          </w:p>
        </w:tc>
      </w:tr>
      <w:tr>
        <w:trPr>
          <w:trHeight w:val="80"/>
        </w:trPr>
        <w:tc>
          <w:tcPr>
            <w:tcW w:w="4995" w:type="dxa"/>
            <w:textDirection w:val="lrTb"/>
            <w:noWrap w:val="false"/>
          </w:tcPr>
          <w:p>
            <w:pPr>
              <w:ind w:left="557"/>
              <w:spacing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5305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к Договору финансовой аренды (Лизинга)</w:t>
            </w:r>
            <w:r/>
          </w:p>
          <w:p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 «   »_______________________2022г</w:t>
            </w:r>
            <w:r/>
          </w:p>
          <w:p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АКТ ПРИЕМА-ПЕРЕДАЧИ ПРЕДМЕТА ЛИЗИНГА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г._______________                                                                                          «__» _____________2022г.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___________________, именуемое в дальнейшем  «Лизингодатель», в лице _________________,действующего на основании____________</w:t>
      </w:r>
      <w:r>
        <w:rPr>
          <w:rFonts w:eastAsia="Calibri"/>
          <w:lang w:eastAsia="en-US"/>
        </w:rPr>
        <w:t xml:space="preserve">____________________, именуемое в дальнейшем «Лизингополучатель», в лице __________, действующего на основании ________________, заключили настоящий акт, подтверждающий получение Лизингополучателем от Лизингодателя, имущества соответствующего приведенному </w:t>
      </w:r>
      <w:r>
        <w:rPr>
          <w:rFonts w:eastAsia="Calibri"/>
          <w:lang w:eastAsia="en-US"/>
        </w:rPr>
        <w:t xml:space="preserve">ниже описанию: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ОПИСАНИЕ ПРЕДМЕТА ЛИЗИНГА (ИМУЩЕСТВА)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</w:tbl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настоящим актом также передаются следующие документы:_</w:t>
      </w:r>
      <w:r>
        <w:rPr>
          <w:rFonts w:eastAsia="Calibri"/>
          <w:lang w:eastAsia="en-US"/>
        </w:rPr>
        <w:t xml:space="preserve">__________________________________________________________________________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Претензии по качеству, комплектности и срокам передачи предмета лизинга, обнаруженные дефекты___________________________________________________________________________</w:t>
      </w:r>
      <w:r>
        <w:rPr>
          <w:rFonts w:eastAsia="Calibri"/>
          <w:lang w:eastAsia="en-US"/>
        </w:rPr>
        <w:br/>
        <w:t xml:space="preserve">Имущество пр</w:t>
      </w:r>
      <w:r>
        <w:rPr>
          <w:rFonts w:eastAsia="Calibri"/>
          <w:lang w:eastAsia="en-US"/>
        </w:rPr>
        <w:t xml:space="preserve">инято по адресу________________________________________________________________________________________________________________________________________________Лизингополучателем.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Лица, участвующие в приемке: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Лизингодатель:                                  </w:t>
      </w:r>
      <w:r>
        <w:rPr>
          <w:rFonts w:eastAsia="Calibri"/>
          <w:lang w:eastAsia="en-US"/>
        </w:rPr>
        <w:t xml:space="preserve">                                                   Лизингополучатель: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__________________/__________/                                                     __________________/_________/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м.п.                                                                     </w:t>
      </w:r>
      <w:r>
        <w:rPr>
          <w:rFonts w:eastAsia="Calibri"/>
          <w:b/>
          <w:lang w:eastAsia="en-US"/>
        </w:rPr>
        <w:t xml:space="preserve">                                   </w:t>
      </w:r>
      <w:r/>
    </w:p>
    <w:p>
      <w:r/>
      <w:r/>
    </w:p>
    <w:p>
      <w:r/>
      <w:r/>
    </w:p>
    <w:p>
      <w:r/>
      <w:r/>
    </w:p>
    <w:p>
      <w:pPr>
        <w:jc w:val="center"/>
        <w:spacing w:before="100"/>
        <w:tabs>
          <w:tab w:val="left" w:pos="1440" w:leader="none"/>
          <w:tab w:val="right" w:pos="9923" w:leader="dot"/>
        </w:tabs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</w:r>
      <w:r/>
    </w:p>
    <w:p>
      <w:pPr>
        <w:jc w:val="center"/>
        <w:keepNext/>
        <w:widowControl w:val="off"/>
        <w:rPr>
          <w:b/>
          <w:bCs/>
          <w:sz w:val="22"/>
          <w:szCs w:val="22"/>
        </w:rPr>
        <w:outlineLvl w:val="0"/>
      </w:pPr>
      <w:r>
        <w:rPr>
          <w:b/>
          <w:bCs/>
          <w:sz w:val="22"/>
          <w:szCs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tabs>
          <w:tab w:val="left" w:pos="2472" w:leader="none"/>
        </w:tabs>
        <w:rPr>
          <w:sz w:val="22"/>
        </w:rPr>
      </w:pPr>
      <w:r>
        <w:rPr>
          <w:sz w:val="22"/>
        </w:rPr>
      </w:r>
      <w:r/>
    </w:p>
    <w:p>
      <w:pPr>
        <w:jc w:val="center"/>
        <w:rPr>
          <w:b/>
          <w:color w:val="000000"/>
          <w:sz w:val="24"/>
          <w:szCs w:val="22"/>
        </w:rPr>
      </w:pPr>
      <w:r/>
      <w:bookmarkStart w:id="13" w:name="_Hlk69367624"/>
      <w:r>
        <w:rPr>
          <w:b/>
          <w:color w:val="000000" w:themeColor="text1"/>
          <w:sz w:val="24"/>
          <w:szCs w:val="22"/>
        </w:rPr>
        <w:t xml:space="preserve">РАЗДЕЛ 5. ОБСНОВАНИЕ НАЧАЛЬНОЙ (МАКСИМАЛЬНОЙ) ЦЕНЫ ДОГОВОРА</w:t>
      </w:r>
      <w:r/>
    </w:p>
    <w:p>
      <w:pPr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</w:r>
      <w:r/>
    </w:p>
    <w:p>
      <w:pPr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</w:r>
      <w:r/>
    </w:p>
    <w:p>
      <w:pPr>
        <w:ind w:firstLine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Обоснование начальной (максимальной) цены договора </w:t>
      </w:r>
      <w:r/>
    </w:p>
    <w:p>
      <w:pPr>
        <w:ind w:firstLine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метод сопоставимых рыночных цен</w:t>
      </w:r>
      <w:r/>
    </w:p>
    <w:p>
      <w:pPr>
        <w:ind w:firstLine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</w:r>
      <w:r/>
    </w:p>
    <w:p>
      <w:pPr>
        <w:ind w:firstLine="709"/>
        <w:jc w:val="center"/>
        <w:rPr>
          <w:iCs/>
          <w:sz w:val="24"/>
          <w:szCs w:val="24"/>
        </w:rPr>
      </w:pPr>
      <w:r>
        <w:rPr>
          <w:sz w:val="24"/>
          <w:highlight w:val="yellow"/>
        </w:rPr>
        <w:t xml:space="preserve">Прилагается отдельным файлом</w:t>
      </w:r>
      <w:r/>
    </w:p>
    <w:p>
      <w:pPr>
        <w:rPr>
          <w:b/>
          <w:i/>
          <w:sz w:val="22"/>
        </w:rPr>
      </w:pPr>
      <w:r>
        <w:rPr>
          <w:b/>
          <w:i/>
          <w:sz w:val="22"/>
        </w:rPr>
      </w:r>
      <w:r/>
    </w:p>
    <w:p>
      <w:pPr>
        <w:rPr>
          <w:b/>
          <w:i/>
          <w:sz w:val="22"/>
        </w:rPr>
      </w:pPr>
      <w:r>
        <w:rPr>
          <w:b/>
          <w:i/>
          <w:sz w:val="22"/>
        </w:rPr>
        <w:br w:type="page"/>
      </w:r>
      <w:r/>
    </w:p>
    <w:p>
      <w:pPr>
        <w:jc w:val="right"/>
      </w:pPr>
      <w:r>
        <w:rPr>
          <w:b/>
          <w:i/>
          <w:sz w:val="22"/>
        </w:rPr>
        <w:t xml:space="preserve">Приложение 1</w:t>
      </w:r>
      <w:r>
        <w:rPr>
          <w:sz w:val="22"/>
        </w:rPr>
        <w:t xml:space="preserve"> </w:t>
      </w:r>
      <w:r>
        <w:t xml:space="preserve">к  документации </w:t>
      </w:r>
      <w:r/>
    </w:p>
    <w:p>
      <w:pPr>
        <w:jc w:val="right"/>
      </w:pPr>
      <w:r>
        <w:t xml:space="preserve">о запросе предложений в электронной форме</w:t>
      </w:r>
      <w:r/>
    </w:p>
    <w:p>
      <w:pPr>
        <w:jc w:val="right"/>
      </w:pPr>
      <w:r>
        <w:t xml:space="preserve">от «____»_____________ 202_ г. №__________</w:t>
      </w:r>
      <w:r/>
    </w:p>
    <w:p>
      <w:pPr>
        <w:ind w:left="-540"/>
        <w:jc w:val="center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rPr>
          <w:b/>
          <w:bCs/>
          <w:i/>
          <w:sz w:val="22"/>
          <w:szCs w:val="22"/>
        </w:rPr>
        <w:outlineLvl w:val="0"/>
      </w:pPr>
      <w:r>
        <w:rPr>
          <w:b/>
          <w:bCs/>
          <w:i/>
          <w:sz w:val="22"/>
          <w:szCs w:val="22"/>
        </w:rPr>
        <w:t xml:space="preserve">Заявка на участие в запросе предложений в электронной форме (форма)</w:t>
      </w:r>
      <w:r/>
    </w:p>
    <w:p>
      <w:pPr>
        <w:ind w:right="-83" w:firstLine="600"/>
        <w:jc w:val="both"/>
        <w:keepLines/>
        <w:keepNext/>
        <w:widowControl w:val="off"/>
        <w:tabs>
          <w:tab w:val="left" w:pos="0" w:leader="none"/>
          <w:tab w:val="left" w:pos="567" w:leader="none"/>
          <w:tab w:val="left" w:pos="1133" w:leader="none"/>
          <w:tab w:val="left" w:pos="1699" w:leader="none"/>
          <w:tab w:val="left" w:pos="2266" w:leader="none"/>
          <w:tab w:val="left" w:pos="2832" w:leader="none"/>
          <w:tab w:val="left" w:pos="3399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1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3" w:leader="none"/>
        </w:tabs>
        <w:rPr>
          <w:sz w:val="24"/>
          <w:szCs w:val="24"/>
        </w:rPr>
        <w:suppressLineNumbers/>
      </w:pPr>
      <w:r>
        <w:t xml:space="preserve">1. Изучив документацию на право заключения вышеупомянутого договора, Положение о закупке товаров, работ, услуг для обеспечения нужд</w:t>
      </w:r>
      <w:r>
        <w:rPr>
          <w:b/>
          <w:bCs/>
        </w:rPr>
        <w:t xml:space="preserve"> ООО «Электробыт», </w:t>
      </w:r>
      <w:r>
        <w:t xml:space="preserve">а также применимые к данной закупке законодательство и нормативно-правовые акты</w:t>
      </w:r>
      <w:r/>
    </w:p>
    <w:p>
      <w:pPr>
        <w:ind w:right="-83"/>
        <w:jc w:val="both"/>
        <w:keepLines/>
        <w:keepNext/>
        <w:widowControl w:val="off"/>
        <w:tabs>
          <w:tab w:val="left" w:pos="0" w:leader="none"/>
          <w:tab w:val="left" w:pos="567" w:leader="none"/>
          <w:tab w:val="left" w:pos="1133" w:leader="none"/>
          <w:tab w:val="left" w:pos="1699" w:leader="none"/>
          <w:tab w:val="left" w:pos="2266" w:leader="none"/>
          <w:tab w:val="left" w:pos="2832" w:leader="none"/>
          <w:tab w:val="left" w:pos="3399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1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3" w:leader="none"/>
        </w:tabs>
        <w:rPr>
          <w:b/>
          <w:i/>
          <w:sz w:val="22"/>
        </w:rPr>
        <w:suppressLineNumbers/>
      </w:pPr>
      <w:r>
        <w:rPr>
          <w:i/>
          <w:sz w:val="22"/>
        </w:rPr>
        <w:t xml:space="preserve">__________________________</w:t>
      </w:r>
      <w:r>
        <w:rPr>
          <w:i/>
          <w:sz w:val="22"/>
        </w:rPr>
        <w:t xml:space="preserve">______________________________________________________________</w:t>
      </w:r>
      <w:r/>
    </w:p>
    <w:p>
      <w:pPr>
        <w:ind w:right="-83"/>
        <w:jc w:val="center"/>
        <w:keepLines/>
        <w:keepNext/>
        <w:widowControl w:val="off"/>
        <w:tabs>
          <w:tab w:val="left" w:pos="0" w:leader="none"/>
          <w:tab w:val="left" w:pos="567" w:leader="none"/>
          <w:tab w:val="left" w:pos="1133" w:leader="none"/>
          <w:tab w:val="left" w:pos="1699" w:leader="none"/>
          <w:tab w:val="left" w:pos="2266" w:leader="none"/>
          <w:tab w:val="left" w:pos="2832" w:leader="none"/>
          <w:tab w:val="left" w:pos="3399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1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3" w:leader="none"/>
        </w:tabs>
        <w:rPr>
          <w:i/>
          <w:sz w:val="18"/>
          <w:szCs w:val="18"/>
        </w:rPr>
        <w:suppressLineNumbers/>
      </w:pPr>
      <w:r>
        <w:rPr>
          <w:i/>
          <w:sz w:val="18"/>
          <w:szCs w:val="18"/>
        </w:rPr>
        <w:t xml:space="preserve">наименование, фамилия, имя, отчество (при наличии) участника закупки</w:t>
      </w:r>
      <w:r/>
    </w:p>
    <w:p>
      <w:pPr>
        <w:jc w:val="both"/>
        <w:tabs>
          <w:tab w:val="left" w:pos="708" w:leader="none"/>
        </w:tabs>
        <w:rPr>
          <w:sz w:val="24"/>
          <w:szCs w:val="24"/>
        </w:rPr>
      </w:pPr>
      <w:r>
        <w:t xml:space="preserve"> в лице, _________________________________________________________________________</w:t>
      </w:r>
      <w:r/>
    </w:p>
    <w:p>
      <w:pPr>
        <w:jc w:val="both"/>
        <w:tabs>
          <w:tab w:val="left" w:pos="708" w:leader="none"/>
        </w:tabs>
        <w:rPr>
          <w:i/>
          <w:sz w:val="18"/>
          <w:szCs w:val="18"/>
        </w:rPr>
      </w:pPr>
      <w:r>
        <w:rPr>
          <w:i/>
        </w:rPr>
        <w:tab/>
      </w:r>
      <w:r>
        <w:rPr>
          <w:i/>
          <w:sz w:val="18"/>
          <w:szCs w:val="18"/>
        </w:rPr>
        <w:t xml:space="preserve">наименование должности руководителя (упо</w:t>
      </w:r>
      <w:r>
        <w:rPr>
          <w:i/>
          <w:sz w:val="18"/>
          <w:szCs w:val="18"/>
        </w:rPr>
        <w:t xml:space="preserve">лномоченного лица)  и его Ф.И.О. (для юридических лиц)</w:t>
      </w:r>
      <w:r/>
    </w:p>
    <w:p>
      <w:pPr>
        <w:jc w:val="both"/>
        <w:tabs>
          <w:tab w:val="left" w:pos="708" w:leader="none"/>
        </w:tabs>
        <w:rPr>
          <w:sz w:val="24"/>
          <w:szCs w:val="24"/>
        </w:rPr>
      </w:pPr>
      <w:r>
        <w:t xml:space="preserve">сообщает о согласии участвовать в запросе предложений на условиях, установленных в указанных выше документах, и направляет настоящую заявку.</w:t>
      </w:r>
      <w:r/>
    </w:p>
    <w:p>
      <w:pPr>
        <w:ind w:firstLine="600"/>
        <w:jc w:val="both"/>
        <w:tabs>
          <w:tab w:val="left" w:pos="708" w:leader="none"/>
        </w:tabs>
      </w:pPr>
      <w:r>
        <w:t xml:space="preserve">2. Мы согласны поставить товар, предусмотренный Технической </w:t>
      </w:r>
      <w:r>
        <w:t xml:space="preserve">частью (Раздел 3 настоящей документации) в полном объеме, со следующими показателями:</w:t>
      </w:r>
      <w:r/>
    </w:p>
    <w:p>
      <w:pPr>
        <w:ind w:firstLine="600"/>
        <w:jc w:val="both"/>
        <w:tabs>
          <w:tab w:val="left" w:pos="708" w:leader="none"/>
        </w:tabs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9"/>
        <w:gridCol w:w="1507"/>
        <w:gridCol w:w="3953"/>
        <w:gridCol w:w="733"/>
        <w:gridCol w:w="878"/>
        <w:gridCol w:w="1042"/>
        <w:gridCol w:w="670"/>
        <w:gridCol w:w="671"/>
      </w:tblGrid>
      <w:tr>
        <w:trPr>
          <w:trHeight w:val="1015"/>
        </w:trPr>
        <w:tc>
          <w:tcPr>
            <w:shd w:val="clear" w:color="auto" w:fill="auto"/>
            <w:tcW w:w="228" w:type="pct"/>
            <w:textDirection w:val="lrTb"/>
            <w:noWrap w:val="false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№</w:t>
            </w:r>
            <w:r/>
          </w:p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п/п</w:t>
            </w:r>
            <w:r/>
          </w:p>
        </w:tc>
        <w:tc>
          <w:tcPr>
            <w:shd w:val="clear" w:color="auto" w:fill="auto"/>
            <w:tcW w:w="771" w:type="pct"/>
            <w:textDirection w:val="lrTb"/>
            <w:noWrap w:val="false"/>
          </w:tcPr>
          <w:p>
            <w:pPr>
              <w:ind w:left="-75"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W w:w="2005" w:type="pct"/>
            <w:textDirection w:val="lrTb"/>
            <w:noWrap w:val="false"/>
          </w:tcPr>
          <w:p>
            <w:pPr>
              <w:ind w:left="-59" w:right="-9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Функциональные, технические и качественные характеристики, эксплуатационные характеристики объекта закупки, максимальные и (или) минимальные значения показателей, а также значения показателей, которые не могут изменяться</w:t>
            </w:r>
            <w:r/>
          </w:p>
        </w:tc>
        <w:tc>
          <w:tcPr>
            <w:shd w:val="clear" w:color="auto" w:fill="auto"/>
            <w:tcW w:w="381" w:type="pct"/>
            <w:vAlign w:val="center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Кол-во, шт.</w:t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Цена за ед., руб.</w:t>
            </w:r>
            <w:r/>
          </w:p>
        </w:tc>
        <w:tc>
          <w:tcPr>
            <w:tcW w:w="536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Сумма</w:t>
            </w:r>
            <w:r>
              <w:rPr>
                <w:rFonts w:cs="Arial"/>
                <w:sz w:val="18"/>
                <w:szCs w:val="18"/>
              </w:rPr>
              <w:t xml:space="preserve">, руб.</w:t>
            </w:r>
            <w:r/>
          </w:p>
        </w:tc>
        <w:tc>
          <w:tcPr>
            <w:gridSpan w:val="2"/>
            <w:tcW w:w="625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Страна происхождения товара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W w:w="228" w:type="pct"/>
            <w:textDirection w:val="lrTb"/>
            <w:noWrap w:val="false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1" w:type="pct"/>
            <w:textDirection w:val="lrTb"/>
            <w:noWrap w:val="false"/>
          </w:tcPr>
          <w:p>
            <w:pPr>
              <w:ind w:left="-75" w:right="-10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005" w:type="pct"/>
            <w:textDirection w:val="lrTb"/>
            <w:noWrap w:val="false"/>
          </w:tcPr>
          <w:p>
            <w:pPr>
              <w:ind w:left="-59" w:right="-9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81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  <w:r/>
          </w:p>
        </w:tc>
        <w:tc>
          <w:tcPr>
            <w:tcW w:w="536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tcW w:w="625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93"/>
        </w:trPr>
        <w:tc>
          <w:tcPr>
            <w:shd w:val="clear" w:color="auto" w:fill="auto"/>
            <w:tcW w:w="228" w:type="pct"/>
            <w:textDirection w:val="lrTb"/>
            <w:noWrap w:val="false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1" w:type="pct"/>
            <w:textDirection w:val="lrTb"/>
            <w:noWrap w:val="false"/>
          </w:tcPr>
          <w:p>
            <w:pPr>
              <w:ind w:left="-75" w:right="-10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005" w:type="pct"/>
            <w:textDirection w:val="lrTb"/>
            <w:noWrap w:val="false"/>
          </w:tcPr>
          <w:p>
            <w:pPr>
              <w:ind w:left="-59" w:right="-9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81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536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gridSpan w:val="2"/>
            <w:tcW w:w="625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</w:tr>
      <w:tr>
        <w:trPr>
          <w:trHeight w:val="358"/>
        </w:trPr>
        <w:tc>
          <w:tcPr>
            <w:shd w:val="clear" w:color="auto" w:fill="auto"/>
            <w:tcW w:w="228" w:type="pct"/>
            <w:textDirection w:val="lrTb"/>
            <w:noWrap w:val="false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1" w:type="pct"/>
            <w:textDirection w:val="lrTb"/>
            <w:noWrap w:val="false"/>
          </w:tcPr>
          <w:p>
            <w:pPr>
              <w:ind w:left="-75" w:right="-10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005" w:type="pct"/>
            <w:textDirection w:val="lrTb"/>
            <w:noWrap w:val="false"/>
          </w:tcPr>
          <w:p>
            <w:pPr>
              <w:ind w:left="-59" w:right="-9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81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536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gridSpan w:val="2"/>
            <w:tcW w:w="625" w:type="pct"/>
            <w:textDirection w:val="lrTb"/>
            <w:noWrap w:val="false"/>
          </w:tcPr>
          <w:p>
            <w:pPr>
              <w:ind w:left="-79" w:right="-8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</w:tr>
      <w:tr>
        <w:trPr>
          <w:trHeight w:val="68"/>
        </w:trPr>
        <w:tc>
          <w:tcPr>
            <w:gridSpan w:val="3"/>
            <w:shd w:val="clear" w:color="auto" w:fill="auto"/>
            <w:tcW w:w="3003" w:type="pct"/>
            <w:textDirection w:val="lrTb"/>
            <w:noWrap w:val="false"/>
          </w:tcPr>
          <w:p>
            <w:pPr>
              <w:ind w:left="-59" w:right="-9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Итого, шт.</w:t>
            </w:r>
            <w:r/>
          </w:p>
        </w:tc>
        <w:tc>
          <w:tcPr>
            <w:shd w:val="clear" w:color="auto" w:fill="auto"/>
            <w:tcW w:w="3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536" w:type="pct"/>
            <w:textDirection w:val="lrTb"/>
            <w:noWrap w:val="false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312" w:type="pct"/>
            <w:textDirection w:val="lrTb"/>
            <w:noWrap w:val="false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  <w:r/>
          </w:p>
        </w:tc>
      </w:tr>
    </w:tbl>
    <w:p>
      <w:pPr>
        <w:ind w:firstLine="600"/>
        <w:jc w:val="both"/>
        <w:tabs>
          <w:tab w:val="left" w:pos="708" w:leader="none"/>
        </w:tabs>
      </w:pPr>
      <w:r/>
      <w:r/>
    </w:p>
    <w:tbl>
      <w:tblPr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742"/>
        <w:gridCol w:w="1570"/>
        <w:gridCol w:w="1412"/>
        <w:gridCol w:w="1724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2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Данные участника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Примечание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</w:t>
            </w:r>
            <w:r/>
          </w:p>
        </w:tc>
      </w:tr>
      <w:tr>
        <w:trPr>
          <w:jc w:val="center"/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2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«Цена договора»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4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</w:t>
            </w:r>
            <w:r/>
          </w:p>
        </w:tc>
      </w:tr>
      <w:tr>
        <w:trPr>
          <w:jc w:val="center"/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2" w:type="dxa"/>
            <w:textDirection w:val="lrTb"/>
            <w:noWrap w:val="false"/>
          </w:tcPr>
          <w:p>
            <w:pPr>
              <w:pStyle w:val="111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(периоды) поставки товара, выполнения работ, оказания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дней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4" w:type="dxa"/>
            <w:textDirection w:val="lrTb"/>
            <w:noWrap w:val="false"/>
          </w:tcPr>
          <w:p>
            <w:pPr>
              <w:jc w:val="both"/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iCs/>
              </w:rPr>
              <w:t xml:space="preserve">Информация о сроках поставки дизтоплива,  с даты направления заявки Заказчиком </w:t>
            </w:r>
            <w:r/>
          </w:p>
        </w:tc>
      </w:tr>
    </w:tbl>
    <w:p>
      <w:pPr>
        <w:ind w:firstLine="540"/>
        <w:jc w:val="both"/>
        <w:tabs>
          <w:tab w:val="left" w:pos="708" w:leader="none"/>
        </w:tabs>
        <w:rPr>
          <w:sz w:val="18"/>
          <w:szCs w:val="18"/>
        </w:rPr>
      </w:pPr>
      <w:r>
        <w:t xml:space="preserve">3. Мы ознакомлены с материалами</w:t>
      </w:r>
      <w:r>
        <w:rPr>
          <w:i/>
        </w:rPr>
        <w:t xml:space="preserve">, </w:t>
      </w:r>
      <w:r>
        <w:t xml:space="preserve">содержащимися в Технической части (Раздел 3 настоящей документации), влияющими на цену договора. Цена, указанная в нашем предложении, включает в себя _____________________ </w:t>
      </w:r>
      <w:r>
        <w:rPr>
          <w:i/>
          <w:sz w:val="18"/>
          <w:szCs w:val="18"/>
        </w:rPr>
        <w:t xml:space="preserve">(указать с учетом требований Информационной карты)</w:t>
      </w:r>
      <w:r>
        <w:rPr>
          <w:sz w:val="18"/>
          <w:szCs w:val="18"/>
        </w:rPr>
        <w:t xml:space="preserve">.</w:t>
      </w:r>
      <w:r/>
    </w:p>
    <w:p>
      <w:pPr>
        <w:ind w:firstLine="540"/>
        <w:jc w:val="both"/>
        <w:tabs>
          <w:tab w:val="left" w:pos="708" w:leader="none"/>
        </w:tabs>
        <w:rPr>
          <w:sz w:val="24"/>
          <w:szCs w:val="24"/>
        </w:rPr>
      </w:pPr>
      <w:r>
        <w:t xml:space="preserve">4. Если наши предложения, изложе</w:t>
      </w:r>
      <w:r>
        <w:t xml:space="preserve">нные выше, будут приняты, мы берем на себя обязательство осуществить  поставку товара в соответствии с требованиями документации, утвержденным Техническим заданием и согласно нашим предложениям, которые мы просим включить в договор.</w:t>
      </w:r>
      <w:r/>
    </w:p>
    <w:p>
      <w:pPr>
        <w:contextualSpacing/>
        <w:ind w:right="142" w:firstLine="567"/>
        <w:jc w:val="both"/>
        <w:widowControl w:val="off"/>
      </w:pPr>
      <w:r>
        <w:t xml:space="preserve">5. </w:t>
      </w:r>
      <w:r>
        <w:rPr>
          <w:shd w:val="clear" w:color="auto" w:fill="ffffff"/>
        </w:rPr>
        <w:t xml:space="preserve">Настоящим </w:t>
      </w:r>
      <w:r>
        <w:t xml:space="preserve">декларируе</w:t>
      </w:r>
      <w:r>
        <w:t xml:space="preserve">м о соответствии участника запроса предложений</w:t>
      </w:r>
      <w:r/>
    </w:p>
    <w:p>
      <w:pPr>
        <w:contextualSpacing/>
        <w:ind w:right="142"/>
        <w:jc w:val="both"/>
        <w:widowControl w:val="off"/>
      </w:pPr>
      <w:r>
        <w:t xml:space="preserve">____________________________________________________________________________</w:t>
      </w:r>
      <w:r/>
    </w:p>
    <w:p>
      <w:pPr>
        <w:contextualSpacing/>
        <w:ind w:right="142"/>
        <w:jc w:val="center"/>
        <w:widowControl w:val="off"/>
        <w:rPr>
          <w:vertAlign w:val="superscript"/>
        </w:rPr>
      </w:pPr>
      <w:r>
        <w:rPr>
          <w:i/>
        </w:rPr>
        <w:t xml:space="preserve">наименование, фамилия, имя, отчество (при наличии) участника закупки</w:t>
      </w:r>
      <w:r/>
    </w:p>
    <w:p>
      <w:pPr>
        <w:contextualSpacing/>
        <w:ind w:right="142"/>
        <w:jc w:val="both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следующим требованиям: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1) участник закупки - юридическое лицо н</w:t>
      </w:r>
      <w:r>
        <w:t xml:space="preserve">е находится в процессе ликвидации;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2) в отношении участника закупки - юридического лица или индивидуального предпринимателя не выносилось судебных решений о признании несостоятельным (банкротом) и об открытии конкурсного производства;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3) неприостановление </w:t>
      </w:r>
      <w:r>
        <w:t xml:space="preserve">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4) отсутствие у участника закупки недоимки по налогам, сборам, задолженности по иным об</w:t>
      </w:r>
      <w:r>
        <w:t xml:space="preserve">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соответствиис законодательством Российской Федерации о налогах и сборах, которые рест</w:t>
      </w:r>
      <w:r>
        <w:t xml:space="preserve">руктурированы в соответствии с законодательством Российской Федерации,по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</w:t>
      </w:r>
      <w:r>
        <w:t xml:space="preserve">с законодательством </w:t>
      </w:r>
      <w:r>
        <w:t xml:space="preserve">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</w:t>
      </w:r>
      <w:r>
        <w:t xml:space="preserve">стник закупки считается соответствующим установленному требованиюв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</w:t>
      </w:r>
      <w:r>
        <w:t xml:space="preserve">поставщика (подрядчика, исполнителя) не принято; 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</w:t>
      </w:r>
      <w:r>
        <w:t xml:space="preserve">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</w:t>
      </w:r>
      <w:r>
        <w:t xml:space="preserve">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5.1) участник закупки - юридическое лицо, которое в течение 2 лет до момента подачи заявк</w:t>
      </w:r>
      <w:r>
        <w:t xml:space="preserve">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</w:t>
      </w:r>
      <w:r>
        <w:t xml:space="preserve">тературы или искусства; 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</w:t>
      </w:r>
      <w:r>
        <w:t xml:space="preserve">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</w:t>
      </w:r>
      <w:r>
        <w:t xml:space="preserve">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</w:t>
      </w:r>
      <w:r>
        <w:t xml:space="preserve">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8</w:t>
      </w:r>
      <w:r>
        <w:t xml:space="preserve">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</w:t>
      </w:r>
      <w:r>
        <w:t xml:space="preserve">аров, работ, услуг для обеспечения государственных и муниципальных нужд»; 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9) участник закупки не является офшорной компанией.</w:t>
      </w:r>
      <w:r/>
    </w:p>
    <w:p>
      <w:pPr>
        <w:ind w:firstLine="540"/>
        <w:jc w:val="both"/>
        <w:tabs>
          <w:tab w:val="left" w:pos="708" w:leader="none"/>
        </w:tabs>
      </w:pPr>
      <w:r/>
      <w:r/>
    </w:p>
    <w:p>
      <w:pPr>
        <w:ind w:firstLine="540"/>
        <w:jc w:val="both"/>
        <w:tabs>
          <w:tab w:val="left" w:pos="708" w:leader="none"/>
        </w:tabs>
      </w:pPr>
      <w:r>
        <w:t xml:space="preserve">6. Мы извещены о включении сведений о</w:t>
      </w:r>
      <w:r/>
    </w:p>
    <w:p>
      <w:pPr>
        <w:ind w:firstLine="540"/>
        <w:jc w:val="both"/>
        <w:tabs>
          <w:tab w:val="left" w:pos="708" w:leader="none"/>
        </w:tabs>
        <w:rPr>
          <w:szCs w:val="24"/>
        </w:rPr>
      </w:pPr>
      <w:r>
        <w:t xml:space="preserve">____________________________________________________________________________</w:t>
      </w:r>
      <w:r/>
    </w:p>
    <w:p>
      <w:pPr>
        <w:ind w:firstLine="540"/>
        <w:jc w:val="both"/>
        <w:tabs>
          <w:tab w:val="left" w:pos="708" w:leader="none"/>
        </w:tabs>
        <w:rPr>
          <w:sz w:val="18"/>
          <w:szCs w:val="18"/>
        </w:rPr>
      </w:pPr>
      <w:r>
        <w:rPr>
          <w:i/>
        </w:rPr>
        <w:t xml:space="preserve">наименование, фамилия, имя, отчество (при наличии) участника закупки</w:t>
      </w:r>
      <w:r/>
    </w:p>
    <w:p>
      <w:pPr>
        <w:ind w:firstLine="540"/>
        <w:jc w:val="both"/>
        <w:tabs>
          <w:tab w:val="left" w:pos="708" w:leader="none"/>
        </w:tabs>
        <w:rPr>
          <w:sz w:val="24"/>
        </w:rPr>
      </w:pPr>
      <w:r>
        <w:t xml:space="preserve">в Реестр недобросовестных поставщиков в случае уклонения нами от заключения договора.</w:t>
      </w:r>
      <w:r/>
    </w:p>
    <w:p>
      <w:pPr>
        <w:ind w:firstLine="540"/>
        <w:jc w:val="both"/>
        <w:rPr>
          <w:i/>
          <w:sz w:val="16"/>
          <w:szCs w:val="16"/>
        </w:rPr>
      </w:pPr>
      <w:r>
        <w:t xml:space="preserve">7.  Сообщаем, что для оперативного уведомления нас по вопросам организационного характера и взаимодей</w:t>
      </w:r>
      <w:r>
        <w:t xml:space="preserve">ствия с заказчиком нами уполномочен __________</w:t>
      </w:r>
      <w:r>
        <w:rPr>
          <w:i/>
          <w:sz w:val="16"/>
          <w:szCs w:val="16"/>
        </w:rPr>
        <w:t xml:space="preserve">(Ф.И.О., телефон представителя Участника закупки)</w:t>
      </w:r>
      <w:r>
        <w:rPr>
          <w:i/>
        </w:rPr>
        <w:t xml:space="preserve">___.</w:t>
      </w:r>
      <w:r/>
    </w:p>
    <w:p>
      <w:pPr>
        <w:ind w:firstLine="540"/>
        <w:jc w:val="both"/>
        <w:tabs>
          <w:tab w:val="left" w:pos="708" w:leader="none"/>
        </w:tabs>
        <w:rPr>
          <w:sz w:val="24"/>
          <w:szCs w:val="24"/>
        </w:rPr>
      </w:pPr>
      <w:r>
        <w:t xml:space="preserve">Все сведения о проведении запроса предложений просим сообщать уполномоченному лицу.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8. Настоящая заявка действует до завершения процедуры закупки и подписан</w:t>
      </w:r>
      <w:r>
        <w:t xml:space="preserve">ия договора с победителем запроса предложений.</w:t>
      </w:r>
      <w:r/>
    </w:p>
    <w:p>
      <w:pPr>
        <w:contextualSpacing/>
        <w:ind w:left="540"/>
        <w:jc w:val="both"/>
        <w:tabs>
          <w:tab w:val="left" w:pos="708" w:leader="none"/>
        </w:tabs>
      </w:pPr>
      <w:r>
        <w:t xml:space="preserve">9. Контактный телефон__________________, факс ________ ,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 _______________.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10. Корреспонденцию в наш адрес просим направлять по адресу: __________________________________________.</w:t>
      </w:r>
      <w:r/>
    </w:p>
    <w:p>
      <w:pPr>
        <w:ind w:firstLine="540"/>
        <w:jc w:val="both"/>
        <w:tabs>
          <w:tab w:val="left" w:pos="708" w:leader="none"/>
        </w:tabs>
      </w:pPr>
      <w:r>
        <w:t xml:space="preserve">11. К настоящей заявке п</w:t>
      </w:r>
      <w:r>
        <w:t xml:space="preserve">рилагаются документы согласно описи на _____листах.</w:t>
      </w:r>
      <w:r/>
    </w:p>
    <w:p>
      <w:pPr>
        <w:jc w:val="both"/>
        <w:tabs>
          <w:tab w:val="left" w:pos="708" w:leader="none"/>
        </w:tabs>
        <w:rPr>
          <w:szCs w:val="24"/>
        </w:rPr>
      </w:pPr>
      <w:r>
        <w:rPr>
          <w:szCs w:val="24"/>
        </w:rPr>
      </w:r>
      <w:r/>
    </w:p>
    <w:p>
      <w:pPr>
        <w:jc w:val="both"/>
      </w:pPr>
      <w:r/>
      <w:r/>
    </w:p>
    <w:p>
      <w:pPr>
        <w:jc w:val="both"/>
        <w:rPr>
          <w:i/>
        </w:rPr>
        <w:pBdr>
          <w:top w:val="single" w:color="auto" w:sz="4" w:space="1"/>
        </w:pBdr>
      </w:pPr>
      <w:r>
        <w:rPr>
          <w:i/>
        </w:rPr>
        <w:t xml:space="preserve">(фамилия, имя, отчество (при наличии) подписавшего, должность (для юридических лиц))</w:t>
      </w:r>
      <w:r/>
    </w:p>
    <w:p>
      <w:pPr>
        <w:contextualSpacing/>
        <w:ind w:left="709" w:firstLine="709"/>
        <w:jc w:val="both"/>
        <w:rPr>
          <w:i/>
        </w:rPr>
      </w:pPr>
      <w:r>
        <w:rPr>
          <w:i/>
        </w:rPr>
      </w:r>
      <w:r/>
    </w:p>
    <w:p>
      <w:pPr>
        <w:jc w:val="both"/>
        <w:rPr>
          <w:i/>
        </w:rPr>
      </w:pPr>
      <w:r>
        <w:rPr>
          <w:i/>
        </w:rPr>
      </w:r>
      <w:r/>
    </w:p>
    <w:p>
      <w:pPr>
        <w:jc w:val="both"/>
        <w:rPr>
          <w:b/>
          <w:i/>
        </w:rPr>
      </w:pPr>
      <w:r>
        <w:rPr>
          <w:b/>
          <w:i/>
        </w:rPr>
        <w:t xml:space="preserve">Заявка должна быть подписана электронной подписью уполномоченного лица участника закупки</w:t>
      </w:r>
      <w:r/>
    </w:p>
    <w:p>
      <w:pPr>
        <w:jc w:val="both"/>
        <w:rPr>
          <w:i/>
        </w:rPr>
      </w:pPr>
      <w:r>
        <w:rPr>
          <w:i/>
        </w:rPr>
      </w:r>
      <w:r/>
    </w:p>
    <w:p>
      <w:pPr>
        <w:jc w:val="both"/>
        <w:tabs>
          <w:tab w:val="left" w:pos="708" w:leader="none"/>
        </w:tabs>
        <w:rPr>
          <w:i/>
        </w:rPr>
      </w:pPr>
      <w:r>
        <w:rPr>
          <w:i/>
        </w:rPr>
        <w:t xml:space="preserve">Текст, выделенный курсивом, исключается при заполнении формы заявки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  <w:r/>
    </w:p>
    <w:p>
      <w:pPr>
        <w:jc w:val="right"/>
      </w:pPr>
      <w:r>
        <w:rPr>
          <w:b/>
          <w:i/>
          <w:sz w:val="22"/>
        </w:rPr>
        <w:t xml:space="preserve">Приложение 2 </w:t>
      </w:r>
      <w:r>
        <w:t xml:space="preserve"> к  документации </w:t>
      </w:r>
      <w:r/>
    </w:p>
    <w:p>
      <w:pPr>
        <w:jc w:val="right"/>
      </w:pPr>
      <w:r>
        <w:t xml:space="preserve">о запросе предложений в электронной форме</w:t>
      </w:r>
      <w:r/>
    </w:p>
    <w:p>
      <w:pPr>
        <w:jc w:val="right"/>
      </w:pPr>
      <w:r>
        <w:t xml:space="preserve">от «____»__________</w:t>
      </w:r>
      <w:r>
        <w:t xml:space="preserve">___ 202_ г. №__________</w:t>
      </w:r>
      <w:r/>
    </w:p>
    <w:p>
      <w:pPr>
        <w:pStyle w:val="1039"/>
        <w:ind w:firstLine="5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691"/>
      </w:tblGrid>
      <w:tr>
        <w:trPr/>
        <w:tc>
          <w:tcPr>
            <w:tcW w:w="4596" w:type="dxa"/>
            <w:textDirection w:val="lrTb"/>
            <w:noWrap w:val="false"/>
          </w:tcPr>
          <w:p>
            <w:pPr>
              <w:ind w:firstLine="540"/>
              <w:jc w:val="both"/>
              <w:spacing w:after="1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i/>
                <w:sz w:val="22"/>
                <w:szCs w:val="22"/>
                <w:lang w:eastAsia="en-US"/>
              </w:rPr>
              <w:t xml:space="preserve">На бланке организации</w:t>
            </w:r>
            <w:r/>
          </w:p>
          <w:p>
            <w:pPr>
              <w:ind w:firstLine="540"/>
              <w:jc w:val="both"/>
              <w:spacing w:after="10"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Дата, исх. номер</w:t>
            </w:r>
            <w:r/>
          </w:p>
        </w:tc>
        <w:tc>
          <w:tcPr>
            <w:tcW w:w="4691" w:type="dxa"/>
            <w:textDirection w:val="lrTb"/>
            <w:noWrap w:val="false"/>
          </w:tcPr>
          <w:p>
            <w:pPr>
              <w:ind w:firstLine="540"/>
              <w:jc w:val="both"/>
              <w:spacing w:after="1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ind w:firstLine="540"/>
        <w:jc w:val="both"/>
        <w:spacing w:after="1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540"/>
        <w:jc w:val="center"/>
        <w:spacing w:after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АНКЕТА УЧАСТНИКА ЗАКУПКИ</w:t>
      </w:r>
      <w:r/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302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spacing w:after="60" w:line="276" w:lineRule="auto"/>
              <w:tabs>
                <w:tab w:val="left" w:pos="500" w:leader="none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Полное и сокращенное наименования организации и ее организационно-правовая форма:</w:t>
            </w:r>
            <w:r/>
          </w:p>
          <w:p>
            <w:pPr>
              <w:jc w:val="both"/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spacing w:after="60" w:line="276" w:lineRule="auto"/>
              <w:tabs>
                <w:tab w:val="left" w:pos="0" w:leader="none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Регистрационные данные:</w:t>
            </w:r>
            <w:r/>
          </w:p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Дата, место и орган регистрации юридического  лица, </w:t>
            </w:r>
            <w:r/>
          </w:p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(на основании свидетельства о государственной регистрации или иного документа, выдаваемого иностранным компаниям при регистрации)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contextualSpacing/>
              <w:ind w:left="1080"/>
              <w:jc w:val="both"/>
              <w:spacing w:line="276" w:lineRule="auto"/>
              <w:widowControl w:val="off"/>
              <w:tabs>
                <w:tab w:val="left" w:pos="1307" w:leader="none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ИНН, КПП, ОГРН, ОКПО, ОКТМО, ОКОПФ, дата постановки на учет участника закупки в налоговом органе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cantSplit/>
          <w:trHeight w:val="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Место </w:t>
            </w:r>
            <w:r>
              <w:rPr>
                <w:b/>
                <w:lang w:eastAsia="en-US"/>
              </w:rPr>
              <w:t xml:space="preserve">нахождения  Участника закупки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Страна</w:t>
            </w:r>
            <w:r/>
          </w:p>
        </w:tc>
      </w:tr>
      <w:tr>
        <w:trPr>
          <w:cantSplit/>
          <w:trHeight w:val="2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  <w:r/>
          </w:p>
        </w:tc>
      </w:tr>
      <w:tr>
        <w:trPr>
          <w:cantSplit/>
          <w:trHeight w:val="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Почтовый адрес Участника закупки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Страна</w:t>
            </w:r>
            <w:r/>
          </w:p>
        </w:tc>
      </w:tr>
      <w:tr>
        <w:trPr>
          <w:cantSplit/>
          <w:trHeight w:val="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</w:t>
            </w:r>
            <w:r/>
          </w:p>
        </w:tc>
      </w:tr>
      <w:tr>
        <w:trPr>
          <w:cantSplit/>
          <w:trHeight w:val="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</w:t>
            </w:r>
            <w:r/>
          </w:p>
        </w:tc>
      </w:tr>
      <w:tr>
        <w:trPr>
          <w:cantSplit/>
          <w:trHeight w:val="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Факс (при наличии)</w:t>
            </w:r>
            <w:r/>
          </w:p>
        </w:tc>
      </w:tr>
      <w:tr>
        <w:trPr>
          <w:cantSplit/>
          <w:trHeight w:val="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 электронной почты</w:t>
            </w:r>
            <w:r/>
          </w:p>
        </w:tc>
      </w:tr>
      <w:tr>
        <w:trPr>
          <w:trHeight w:val="6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Банковские реквизиты </w:t>
            </w:r>
            <w:r>
              <w:rPr>
                <w:i/>
                <w:lang w:eastAsia="en-US"/>
              </w:rPr>
              <w:t xml:space="preserve">(может быть несколько)</w:t>
            </w:r>
            <w:r>
              <w:rPr>
                <w:b/>
                <w:lang w:eastAsia="en-US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5.1. Наименование обслуживающего банка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5.2. Расчетный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5.3. Корреспондентский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5.4. Код БИК</w:t>
            </w:r>
            <w:r/>
          </w:p>
          <w:p>
            <w:pPr>
              <w:jc w:val="both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Для юридического лица – нерезидента Российской Федерации:</w:t>
            </w:r>
            <w:r/>
          </w:p>
          <w:p>
            <w:pPr>
              <w:jc w:val="both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должны быть указаны </w:t>
            </w:r>
            <w:r>
              <w:rPr>
                <w:bCs/>
                <w:i/>
                <w:lang w:eastAsia="en-US"/>
              </w:rPr>
              <w:t xml:space="preserve">реквизиты банка-корреспондента, находящегося на территории Российской Федерации для перечисления денежных средств по оплате договора.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Сведения о выданных участнику закупки  лицензиях</w:t>
            </w:r>
            <w:r>
              <w:rPr>
                <w:b/>
                <w:lang w:eastAsia="en-US"/>
              </w:rPr>
              <w:t xml:space="preserve">, необходимых для выполнения обязательств по договору</w:t>
            </w:r>
            <w:r/>
          </w:p>
          <w:p>
            <w:pPr>
              <w:jc w:val="both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(указывается лицензируемый вид деятельности, реквизиты действующей лицензии, наименование территории на которой действует лицензия)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1080" w:leader="none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Система налогообложения  </w:t>
            </w:r>
            <w:r>
              <w:rPr>
                <w:i/>
                <w:lang w:eastAsia="en-US"/>
              </w:rPr>
              <w:t xml:space="preserve">(</w:t>
            </w:r>
            <w:r>
              <w:rPr>
                <w:i/>
                <w:lang w:eastAsia="en-US"/>
              </w:rPr>
              <w:t xml:space="preserve">указывается применяемая система налогообложения – основная или упрощенная)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ind w:firstLine="400"/>
        <w:jc w:val="both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</w:r>
      <w:r/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spacing w:after="200" w:line="276" w:lineRule="auto"/>
      </w:pPr>
      <w:r>
        <w:br w:type="page"/>
      </w:r>
      <w:r/>
    </w:p>
    <w:p>
      <w:pPr>
        <w:jc w:val="center"/>
        <w:spacing w:line="276" w:lineRule="auto"/>
        <w:rPr>
          <w:b/>
        </w:rPr>
      </w:pPr>
      <w:r>
        <w:rPr>
          <w:b/>
        </w:rPr>
        <w:t xml:space="preserve">АНКЕТА УЧАСТНИКА ЗАКУПКИ</w:t>
      </w:r>
      <w:r/>
    </w:p>
    <w:p>
      <w:pPr>
        <w:jc w:val="center"/>
        <w:spacing w:line="276" w:lineRule="auto"/>
        <w:rPr>
          <w:i/>
        </w:rPr>
      </w:pPr>
      <w:r>
        <w:t xml:space="preserve">(для физического лица, в т.ч. индивидуального предпринимателя)</w:t>
      </w:r>
      <w:r/>
    </w:p>
    <w:p>
      <w:pPr>
        <w:jc w:val="both"/>
        <w:spacing w:line="276" w:lineRule="auto"/>
        <w:rPr>
          <w:i/>
        </w:rPr>
      </w:pPr>
      <w:r>
        <w:rPr>
          <w:i/>
        </w:rPr>
      </w:r>
      <w:r/>
    </w:p>
    <w:p>
      <w:pPr>
        <w:jc w:val="both"/>
        <w:spacing w:line="276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3020"/>
      </w:tblGrid>
      <w:tr>
        <w:trPr>
          <w:trHeight w:val="4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Фамилия, имя, 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Паспортные данные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contextualSpacing/>
              <w:ind w:left="1080"/>
              <w:jc w:val="both"/>
              <w:spacing w:line="276" w:lineRule="auto"/>
              <w:widowControl w:val="off"/>
              <w:tabs>
                <w:tab w:val="left" w:pos="1307" w:leader="none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5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ИНН, ОГРНИП, СНИЛС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cantSplit/>
          <w:trHeight w:val="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Место жительства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Страна</w:t>
            </w:r>
            <w:r/>
          </w:p>
        </w:tc>
      </w:tr>
      <w:tr>
        <w:trPr>
          <w:cantSplit/>
          <w:trHeight w:val="2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  <w:r/>
          </w:p>
        </w:tc>
      </w:tr>
      <w:tr>
        <w:trPr>
          <w:cantSplit/>
          <w:trHeight w:val="6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Дата и место рождения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cantSplit/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Свидетельство о регистрации в качестве ИП (дата и номер, кем выдано)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8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Банковские реквизиты </w:t>
            </w:r>
            <w:r>
              <w:rPr>
                <w:i/>
                <w:lang w:eastAsia="en-US"/>
              </w:rPr>
              <w:t xml:space="preserve">(наименование  банка</w:t>
            </w:r>
            <w:r>
              <w:rPr>
                <w:i/>
                <w:lang w:eastAsia="en-US"/>
              </w:rPr>
              <w:t xml:space="preserve">, телефон, БИК, ИНН, р/с, к/с)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 Факс </w:t>
            </w:r>
            <w:r>
              <w:rPr>
                <w:i/>
                <w:lang w:eastAsia="en-US"/>
              </w:rPr>
              <w:t xml:space="preserve">(при наличии)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5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8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ind w:hanging="720"/>
              <w:jc w:val="both"/>
              <w:spacing w:after="6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jc w:val="both"/>
        <w:spacing w:line="276" w:lineRule="auto"/>
        <w:rPr>
          <w:i/>
        </w:rPr>
      </w:pPr>
      <w:r>
        <w:rPr>
          <w:i/>
        </w:rPr>
      </w:r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jc w:val="both"/>
        <w:spacing w:line="276" w:lineRule="auto"/>
        <w:widowControl w:val="off"/>
        <w:tabs>
          <w:tab w:val="left" w:pos="720" w:leader="none"/>
        </w:tabs>
      </w:pPr>
      <w:r/>
      <w:r/>
    </w:p>
    <w:p>
      <w:pPr>
        <w:spacing w:after="200" w:line="276" w:lineRule="auto"/>
      </w:pPr>
      <w:r>
        <w:br w:type="page"/>
      </w:r>
      <w:r/>
    </w:p>
    <w:p>
      <w:pPr>
        <w:jc w:val="right"/>
      </w:pPr>
      <w:r/>
      <w:bookmarkStart w:id="14" w:name="_Toc435008344"/>
      <w:r/>
      <w:bookmarkStart w:id="15" w:name="_Toc122404104"/>
      <w:r>
        <w:rPr>
          <w:b/>
          <w:i/>
          <w:sz w:val="22"/>
        </w:rPr>
        <w:t xml:space="preserve">Приложение 3 </w:t>
      </w:r>
      <w:r>
        <w:t xml:space="preserve"> к  документации </w:t>
      </w:r>
      <w:r/>
    </w:p>
    <w:p>
      <w:pPr>
        <w:jc w:val="right"/>
      </w:pPr>
      <w:r>
        <w:t xml:space="preserve">о запросе предложений в электронной форме</w:t>
      </w:r>
      <w:r/>
    </w:p>
    <w:p>
      <w:pPr>
        <w:jc w:val="right"/>
      </w:pPr>
      <w:r>
        <w:t xml:space="preserve">от «____»_____________ 202_ г. №__________</w:t>
      </w:r>
      <w:r/>
    </w:p>
    <w:p>
      <w:pPr>
        <w:jc w:val="center"/>
        <w:keepNext/>
        <w:spacing w:after="60"/>
        <w:rPr>
          <w:sz w:val="30"/>
        </w:rPr>
        <w:outlineLvl w:val="1"/>
      </w:pPr>
      <w:r>
        <w:rPr>
          <w:sz w:val="30"/>
        </w:rPr>
      </w:r>
      <w:r/>
    </w:p>
    <w:p>
      <w:pPr>
        <w:jc w:val="center"/>
        <w:keepNext/>
        <w:spacing w:after="60"/>
        <w:rPr>
          <w:b/>
          <w:sz w:val="30"/>
        </w:rPr>
        <w:outlineLvl w:val="1"/>
      </w:pPr>
      <w:r>
        <w:rPr>
          <w:b/>
          <w:sz w:val="30"/>
        </w:rPr>
        <w:t xml:space="preserve">ФОРМА ДОВЕРЕННОСТИ НА УПОЛНОМОЧЕННОЕ ЛИЦО, ИМЕЮЩЕЕ ПРАВО ПОДПИСИ ДОКУМЕНТОВ ОРГАНИЗАЦИИ-УЧАСТНИКА ЗАКУПКИ</w:t>
      </w:r>
      <w:bookmarkEnd w:id="14"/>
      <w:r/>
      <w:r/>
    </w:p>
    <w:p>
      <w:pPr>
        <w:jc w:val="both"/>
        <w:spacing w:after="60"/>
        <w:tabs>
          <w:tab w:val="left" w:pos="708" w:leader="none"/>
        </w:tabs>
        <w:rPr>
          <w:sz w:val="24"/>
          <w:szCs w:val="24"/>
        </w:rPr>
      </w:pPr>
      <w:r>
        <w:t xml:space="preserve">(представляется в случае если документы заявки на участие в запросе предложений подписываются не руководителем)</w:t>
      </w:r>
      <w:r/>
    </w:p>
    <w:p>
      <w:pPr>
        <w:jc w:val="both"/>
        <w:spacing w:after="60"/>
        <w:tabs>
          <w:tab w:val="left" w:pos="708" w:leader="none"/>
        </w:tabs>
        <w:rPr>
          <w:i/>
        </w:rPr>
      </w:pPr>
      <w:r>
        <w:rPr>
          <w:i/>
        </w:rPr>
        <w:t xml:space="preserve">(рекомендуемая форма)</w:t>
      </w:r>
      <w:r/>
    </w:p>
    <w:p>
      <w:pPr>
        <w:jc w:val="both"/>
        <w:spacing w:after="60"/>
        <w:tabs>
          <w:tab w:val="left" w:pos="708" w:leader="none"/>
        </w:tabs>
      </w:pPr>
      <w:r/>
      <w:r/>
    </w:p>
    <w:p>
      <w:pPr>
        <w:jc w:val="both"/>
        <w:spacing w:after="60"/>
        <w:tabs>
          <w:tab w:val="left" w:pos="708" w:leader="none"/>
        </w:tabs>
      </w:pPr>
      <w:r>
        <w:t xml:space="preserve">На бланке орган</w:t>
      </w:r>
      <w:r>
        <w:t xml:space="preserve">изации</w:t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Дата</w:t>
      </w:r>
      <w:r/>
    </w:p>
    <w:p>
      <w:pPr>
        <w:jc w:val="both"/>
        <w:spacing w:after="60"/>
        <w:tabs>
          <w:tab w:val="left" w:pos="708" w:leader="none"/>
        </w:tabs>
      </w:pPr>
      <w:r/>
      <w:r/>
    </w:p>
    <w:p>
      <w:pPr>
        <w:jc w:val="center"/>
        <w:spacing w:after="60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ДОВЕРЕННОСТЬ  № ____</w:t>
      </w:r>
      <w:r/>
    </w:p>
    <w:p>
      <w:pPr>
        <w:jc w:val="both"/>
        <w:spacing w:after="60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г. ___________</w:t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__________________________________________________________________________</w:t>
      </w:r>
      <w:r/>
    </w:p>
    <w:p>
      <w:pPr>
        <w:jc w:val="both"/>
        <w:spacing w:after="60"/>
        <w:tabs>
          <w:tab w:val="left" w:pos="708" w:leader="none"/>
        </w:tabs>
        <w:rPr>
          <w:vertAlign w:val="superscript"/>
        </w:rPr>
      </w:pPr>
      <w:r>
        <w:rPr>
          <w:vertAlign w:val="superscript"/>
        </w:rPr>
        <w:t xml:space="preserve">(прописью число, месяц и год выдачи доверенности)</w:t>
      </w:r>
      <w:r/>
    </w:p>
    <w:p>
      <w:pPr>
        <w:jc w:val="both"/>
        <w:spacing w:after="60"/>
        <w:tabs>
          <w:tab w:val="left" w:pos="708" w:leader="none"/>
        </w:tabs>
      </w:pPr>
      <w:r>
        <w:tab/>
        <w:t xml:space="preserve">Организация – Участник закупки:</w:t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________________________________________________________________________________</w:t>
      </w:r>
      <w:r/>
    </w:p>
    <w:p>
      <w:pPr>
        <w:jc w:val="both"/>
        <w:spacing w:after="60"/>
        <w:tabs>
          <w:tab w:val="left" w:pos="708" w:leader="none"/>
        </w:tabs>
        <w:rPr>
          <w:vertAlign w:val="superscript"/>
        </w:rPr>
      </w:pPr>
      <w:r>
        <w:rPr>
          <w:vertAlign w:val="superscript"/>
        </w:rPr>
        <w:t xml:space="preserve">(наименование организации)</w:t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доверяет ________________________________________________________________________</w:t>
      </w:r>
      <w:r/>
    </w:p>
    <w:p>
      <w:pPr>
        <w:jc w:val="both"/>
        <w:spacing w:after="60"/>
        <w:tabs>
          <w:tab w:val="left" w:pos="708" w:leader="none"/>
        </w:tabs>
        <w:rPr>
          <w:vertAlign w:val="superscript"/>
        </w:rPr>
      </w:pPr>
      <w:r>
        <w:rPr>
          <w:vertAlign w:val="superscript"/>
        </w:rPr>
        <w:t xml:space="preserve">(фамилия, имя, отчество, должность)</w:t>
      </w:r>
      <w:r/>
    </w:p>
    <w:p>
      <w:pPr>
        <w:jc w:val="both"/>
        <w:spacing w:after="60"/>
        <w:tabs>
          <w:tab w:val="left" w:pos="708" w:leader="none"/>
        </w:tabs>
      </w:pPr>
      <w:r>
        <w:t xml:space="preserve">паспорт серии ______ №_________ выдан _______________________  «____» _____________</w:t>
      </w:r>
      <w:r/>
    </w:p>
    <w:p>
      <w:pPr>
        <w:jc w:val="both"/>
        <w:spacing w:after="120"/>
        <w:tabs>
          <w:tab w:val="left" w:pos="708" w:leader="none"/>
        </w:tabs>
      </w:pPr>
      <w:r/>
      <w:r/>
    </w:p>
    <w:p>
      <w:pPr>
        <w:jc w:val="both"/>
        <w:spacing w:after="120"/>
        <w:tabs>
          <w:tab w:val="left" w:pos="708" w:leader="none"/>
        </w:tabs>
      </w:pPr>
      <w:r/>
      <w:r/>
    </w:p>
    <w:p>
      <w:pPr>
        <w:jc w:val="both"/>
        <w:spacing w:after="120"/>
        <w:tabs>
          <w:tab w:val="left" w:pos="708" w:leader="none"/>
        </w:tabs>
      </w:pPr>
      <w:r>
        <w:t xml:space="preserve">представлять Заказчику, комиссии и подписывать необходимые документы для участия в запросе предложений ___________________________________________________________________</w:t>
      </w:r>
      <w:r>
        <w:t xml:space="preserve">_______________</w:t>
      </w:r>
      <w:r/>
    </w:p>
    <w:p>
      <w:pPr>
        <w:jc w:val="both"/>
        <w:spacing w:after="120"/>
        <w:tabs>
          <w:tab w:val="left" w:pos="708" w:leader="none"/>
        </w:tabs>
        <w:rPr>
          <w:szCs w:val="24"/>
        </w:rPr>
      </w:pPr>
      <w:r>
        <w:rPr>
          <w:vertAlign w:val="superscript"/>
        </w:rPr>
        <w:t xml:space="preserve">(наименование запроса предложений)</w:t>
      </w:r>
      <w:r>
        <w:t xml:space="preserve"> _________________________________________________________________________________.</w:t>
      </w:r>
      <w:r/>
    </w:p>
    <w:p>
      <w:pPr>
        <w:jc w:val="both"/>
        <w:spacing w:after="120"/>
        <w:tabs>
          <w:tab w:val="left" w:pos="708" w:leader="none"/>
        </w:tabs>
      </w:pPr>
      <w:r/>
      <w:r/>
    </w:p>
    <w:p>
      <w:pPr>
        <w:jc w:val="both"/>
        <w:spacing w:after="120"/>
        <w:tabs>
          <w:tab w:val="left" w:pos="708" w:leader="none"/>
        </w:tabs>
      </w:pPr>
      <w:r>
        <w:t xml:space="preserve">Подпись _________________________________    ________________________ удостоверяем. </w:t>
      </w:r>
      <w:r/>
    </w:p>
    <w:p>
      <w:pPr>
        <w:jc w:val="both"/>
        <w:spacing w:after="120"/>
        <w:tabs>
          <w:tab w:val="left" w:pos="708" w:leader="none"/>
        </w:tabs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(Ф.И.О. удостоверяемого)                                                     (Подпись удостоверяемого)</w:t>
      </w:r>
      <w:r/>
    </w:p>
    <w:p>
      <w:pPr>
        <w:jc w:val="both"/>
        <w:spacing w:after="120"/>
        <w:tabs>
          <w:tab w:val="left" w:pos="708" w:leader="none"/>
        </w:tabs>
      </w:pPr>
      <w:r>
        <w:t xml:space="preserve">Доверенность действительна  по  «____»  ___________________ 202_ г.</w:t>
      </w:r>
      <w:r/>
    </w:p>
    <w:p>
      <w:pPr>
        <w:jc w:val="both"/>
        <w:spacing w:after="120"/>
        <w:tabs>
          <w:tab w:val="left" w:pos="708" w:leader="none"/>
        </w:tabs>
      </w:pPr>
      <w:r/>
      <w:r/>
    </w:p>
    <w:p>
      <w:pPr>
        <w:jc w:val="both"/>
        <w:spacing w:after="120"/>
        <w:tabs>
          <w:tab w:val="left" w:pos="708" w:leader="none"/>
        </w:tabs>
      </w:pPr>
      <w:r>
        <w:t xml:space="preserve">Руководитель организации  ________________________ ( _________________</w:t>
      </w:r>
      <w:r>
        <w:t xml:space="preserve">__ )</w:t>
      </w:r>
      <w:r/>
    </w:p>
    <w:p>
      <w:pPr>
        <w:ind w:firstLine="6521"/>
        <w:jc w:val="both"/>
        <w:spacing w:after="120"/>
        <w:tabs>
          <w:tab w:val="left" w:pos="708" w:leader="none"/>
        </w:tabs>
        <w:rPr>
          <w:vertAlign w:val="superscript"/>
        </w:rPr>
      </w:pPr>
      <w:r>
        <w:rPr>
          <w:vertAlign w:val="superscript"/>
        </w:rPr>
        <w:t xml:space="preserve">       (Ф.И.О.)</w:t>
      </w:r>
      <w:r/>
    </w:p>
    <w:p>
      <w:pPr>
        <w:ind w:firstLine="5954"/>
        <w:jc w:val="both"/>
        <w:spacing w:after="120"/>
        <w:tabs>
          <w:tab w:val="left" w:pos="708" w:leader="none"/>
        </w:tabs>
      </w:pPr>
      <w:r>
        <w:t xml:space="preserve">М.П.</w:t>
      </w:r>
      <w:r>
        <w:rPr>
          <w:i/>
        </w:rPr>
        <w:t xml:space="preserve"> (при наличии печати)</w:t>
      </w:r>
      <w:bookmarkEnd w:id="15"/>
      <w:r/>
      <w:r/>
    </w:p>
    <w:p>
      <w:pPr>
        <w:jc w:val="right"/>
      </w:pPr>
      <w:r>
        <w:rPr>
          <w:sz w:val="30"/>
        </w:rPr>
        <w:br w:type="page"/>
      </w:r>
      <w:bookmarkStart w:id="16" w:name="_Toc435008349"/>
      <w:r>
        <w:rPr>
          <w:sz w:val="30"/>
        </w:rPr>
        <w:tab/>
      </w:r>
      <w:r>
        <w:rPr>
          <w:sz w:val="30"/>
        </w:rPr>
        <w:tab/>
      </w:r>
      <w:r>
        <w:rPr>
          <w:b/>
          <w:i/>
          <w:sz w:val="22"/>
        </w:rPr>
        <w:t xml:space="preserve">Приложение 4 </w:t>
      </w:r>
      <w:r>
        <w:t xml:space="preserve"> к  документации </w:t>
      </w:r>
      <w:r/>
    </w:p>
    <w:p>
      <w:pPr>
        <w:jc w:val="right"/>
      </w:pPr>
      <w:r>
        <w:t xml:space="preserve">о запросе предложений в электронной форме</w:t>
      </w:r>
      <w:r/>
    </w:p>
    <w:p>
      <w:pPr>
        <w:jc w:val="right"/>
      </w:pPr>
      <w:r>
        <w:t xml:space="preserve">от «____»_____________ 202_ г. №__________</w:t>
      </w:r>
      <w:r/>
    </w:p>
    <w:p>
      <w:pPr>
        <w:jc w:val="both"/>
        <w:keepNext/>
        <w:spacing w:after="60"/>
        <w:tabs>
          <w:tab w:val="left" w:pos="708" w:leader="none"/>
          <w:tab w:val="center" w:pos="4961" w:leader="none"/>
        </w:tabs>
        <w:rPr>
          <w:sz w:val="30"/>
        </w:rPr>
        <w:outlineLvl w:val="1"/>
      </w:pPr>
      <w:r>
        <w:rPr>
          <w:sz w:val="30"/>
        </w:rPr>
      </w:r>
      <w:r/>
    </w:p>
    <w:p>
      <w:pPr>
        <w:jc w:val="both"/>
        <w:keepNext/>
        <w:spacing w:after="60"/>
        <w:rPr>
          <w:rFonts w:eastAsia="Calibri"/>
          <w:b/>
          <w:sz w:val="30"/>
          <w:lang w:eastAsia="en-US"/>
        </w:rPr>
        <w:outlineLvl w:val="1"/>
      </w:pPr>
      <w:r>
        <w:rPr>
          <w:rFonts w:eastAsia="Calibri"/>
          <w:b/>
          <w:sz w:val="30"/>
          <w:lang w:eastAsia="en-US"/>
        </w:rPr>
        <w:t xml:space="preserve">ФОРМА СОГЛАСИЯ УЧАСТНИКА ПРОЦЕДУРЫ ЗАКУПКИ – ФИЗИЧЕСКОГО ЛИЦА НА ОБРАБОТКУ ПЕРСОНАЛЬНЫХ ДАННЫХ</w:t>
      </w:r>
      <w:bookmarkEnd w:id="16"/>
      <w:r/>
      <w:r/>
    </w:p>
    <w:p>
      <w:pPr>
        <w:jc w:val="both"/>
        <w:spacing w:after="60"/>
        <w:rPr>
          <w:rFonts w:ascii="albany wt j" w:hAnsi="albany wt j" w:cs="albany wt j" w:eastAsia="albany wt j"/>
          <w:szCs w:val="24"/>
          <w:lang w:eastAsia="en-US"/>
        </w:rPr>
      </w:pPr>
      <w:r>
        <w:rPr>
          <w:rFonts w:ascii="albany wt j" w:hAnsi="albany wt j" w:cs="albany wt j" w:eastAsia="albany wt j"/>
          <w:szCs w:val="24"/>
          <w:lang w:eastAsia="en-US"/>
        </w:rPr>
      </w:r>
      <w:r/>
    </w:p>
    <w:p>
      <w:pPr>
        <w:jc w:val="right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«____» _____________ 202_ г. </w:t>
      </w:r>
      <w:r/>
    </w:p>
    <w:p>
      <w:pPr>
        <w:jc w:val="center"/>
        <w:widowControl w:val="off"/>
        <w:rPr>
          <w:rFonts w:ascii="Liberation Serif" w:hAnsi="Liberation Serif" w:eastAsia="Calibri"/>
          <w:b/>
          <w:sz w:val="22"/>
          <w:szCs w:val="22"/>
          <w:lang w:eastAsia="en-US"/>
        </w:rPr>
      </w:pPr>
      <w:r>
        <w:rPr>
          <w:rFonts w:ascii="Liberation Serif" w:hAnsi="Liberation Serif" w:eastAsia="Calibri"/>
          <w:b/>
          <w:sz w:val="22"/>
          <w:szCs w:val="22"/>
          <w:lang w:eastAsia="en-US"/>
        </w:rPr>
        <w:t xml:space="preserve">СОГЛАСИЕ</w:t>
      </w:r>
      <w:r>
        <w:rPr>
          <w:rFonts w:ascii="Liberation Serif" w:hAnsi="Liberation Serif" w:eastAsia="Calibri"/>
          <w:b/>
          <w:sz w:val="22"/>
          <w:szCs w:val="22"/>
          <w:lang w:eastAsia="en-US"/>
        </w:rPr>
        <w:br/>
        <w:t xml:space="preserve">на обработку персональных данных</w:t>
      </w:r>
      <w:r/>
    </w:p>
    <w:p>
      <w:pPr>
        <w:jc w:val="both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Я, нижеподписавшийся </w:t>
      </w:r>
      <w:r/>
    </w:p>
    <w:p>
      <w:pPr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__________________________________________________________________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_______</w:t>
      </w:r>
      <w:r/>
    </w:p>
    <w:p>
      <w:pPr>
        <w:jc w:val="center"/>
        <w:widowControl w:val="off"/>
        <w:rPr>
          <w:rFonts w:ascii="Liberation Serif" w:hAnsi="Liberation Serif" w:eastAsia="Calibri"/>
          <w:sz w:val="16"/>
          <w:szCs w:val="16"/>
          <w:lang w:eastAsia="en-US"/>
        </w:rPr>
      </w:pPr>
      <w:r>
        <w:rPr>
          <w:rFonts w:ascii="Liberation Serif" w:hAnsi="Liberation Serif" w:eastAsia="Calibri"/>
          <w:sz w:val="22"/>
          <w:szCs w:val="22"/>
          <w:vertAlign w:val="superscript"/>
          <w:lang w:eastAsia="en-US"/>
        </w:rPr>
        <w:t xml:space="preserve">(фамилия, имя, отчество)</w:t>
      </w:r>
      <w:r/>
    </w:p>
    <w:p>
      <w:pPr>
        <w:jc w:val="both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</w:r>
      <w:r/>
    </w:p>
    <w:p>
      <w:pPr>
        <w:jc w:val="both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паспорт_____________№__________________ дата выдачи______________________</w:t>
      </w:r>
      <w:r/>
    </w:p>
    <w:p>
      <w:pPr>
        <w:jc w:val="both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</w:r>
      <w:r/>
    </w:p>
    <w:p>
      <w:pPr>
        <w:jc w:val="both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название выдавшего органа _________________________________________________, </w:t>
      </w:r>
      <w:r/>
    </w:p>
    <w:p>
      <w:pPr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в соответствии с требованиями ст. 9 Федерального закона от 27.07.06</w:t>
      </w:r>
      <w:r>
        <w:rPr>
          <w:rFonts w:ascii="Liberation Serif" w:eastAsia="MS Gothic"/>
          <w:sz w:val="22"/>
          <w:szCs w:val="22"/>
          <w:lang w:eastAsia="en-US"/>
        </w:rPr>
        <w:t xml:space="preserve"> 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г. «О персональных данных» № 152-ФЗ, подтверждаю своё согласие на обработку ________________ (далее - Организа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_______________. В процессе ос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 осуществления Организатором закупочной деятельности. 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ие, блокирование, уничтожение. 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Организатор вправе обрабатывать мои персональные данные посредством внесения их в электронную базу данных, включения в списки (реестры).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Срок хранения моих персональных данных соответствует сроку хранения документов, связанн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ых с осуществлением Организатором закупочной деятельности и составляет три года.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Настоящее согласие дано мной и действует с «____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__»_________________ 20____г. бессрочно.</w:t>
      </w:r>
      <w:r/>
    </w:p>
    <w:p>
      <w:pPr>
        <w:ind w:firstLine="426"/>
        <w:jc w:val="both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ении либо вручен лично под расписку представителю Организатора.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  <w:r/>
    </w:p>
    <w:p>
      <w:pPr>
        <w:jc w:val="right"/>
        <w:spacing w:after="200"/>
        <w:widowControl w:val="off"/>
        <w:rPr>
          <w:rFonts w:ascii="Liberation Serif" w:hAnsi="Liberation Serif" w:eastAsia="Calibri"/>
          <w:sz w:val="22"/>
          <w:szCs w:val="22"/>
          <w:lang w:eastAsia="en-US"/>
        </w:rPr>
      </w:pPr>
      <w:r>
        <w:rPr>
          <w:rFonts w:ascii="Liberation Serif" w:hAnsi="Liberation Serif" w:eastAsia="Calibri"/>
          <w:sz w:val="22"/>
          <w:szCs w:val="22"/>
          <w:lang w:eastAsia="en-US"/>
        </w:rPr>
        <w:t xml:space="preserve">_____________________________________</w:t>
      </w:r>
      <w:r>
        <w:rPr>
          <w:rFonts w:ascii="Liberation Serif" w:hAnsi="Liberation Serif" w:eastAsia="Calibri"/>
          <w:sz w:val="22"/>
          <w:szCs w:val="22"/>
          <w:lang w:eastAsia="en-US"/>
        </w:rPr>
        <w:t xml:space="preserve">_____________</w:t>
      </w:r>
      <w:r/>
    </w:p>
    <w:p>
      <w:pPr>
        <w:jc w:val="right"/>
        <w:spacing w:after="200" w:line="276" w:lineRule="auto"/>
        <w:widowControl w:val="off"/>
        <w:rPr>
          <w:rFonts w:ascii="Liberation Serif" w:hAnsi="Liberation Serif" w:eastAsia="Calibri"/>
          <w:sz w:val="22"/>
          <w:szCs w:val="22"/>
          <w:vertAlign w:val="superscript"/>
          <w:lang w:eastAsia="en-US"/>
        </w:rPr>
      </w:pPr>
      <w:r>
        <w:rPr>
          <w:rFonts w:ascii="Liberation Serif" w:hAnsi="Liberation Serif" w:eastAsia="Calibri"/>
          <w:sz w:val="22"/>
          <w:szCs w:val="22"/>
          <w:vertAlign w:val="superscript"/>
          <w:lang w:eastAsia="en-US"/>
        </w:rPr>
        <w:t xml:space="preserve">(подпись субъекта персональных данных)</w:t>
      </w:r>
      <w:r/>
    </w:p>
    <w:p>
      <w:pPr>
        <w:jc w:val="both"/>
        <w:spacing w:after="60"/>
        <w:rPr>
          <w:rFonts w:ascii="albany wt j" w:hAnsi="albany wt j" w:cs="albany wt j" w:eastAsia="albany wt j"/>
          <w:sz w:val="4"/>
          <w:szCs w:val="4"/>
          <w:lang w:eastAsia="en-US"/>
        </w:rPr>
      </w:pPr>
      <w:r>
        <w:rPr>
          <w:rFonts w:ascii="albany wt j" w:hAnsi="albany wt j" w:cs="albany wt j" w:eastAsia="albany wt j"/>
          <w:sz w:val="4"/>
          <w:szCs w:val="4"/>
          <w:lang w:eastAsia="en-US"/>
        </w:rPr>
      </w:r>
      <w:r/>
    </w:p>
    <w:p>
      <w:pPr>
        <w:jc w:val="both"/>
        <w:spacing w:after="60"/>
        <w:rPr>
          <w:rFonts w:ascii="albany wt j" w:hAnsi="albany wt j" w:cs="albany wt j" w:eastAsia="albany wt j"/>
          <w:sz w:val="4"/>
          <w:szCs w:val="4"/>
          <w:lang w:eastAsia="en-US"/>
        </w:rPr>
      </w:pPr>
      <w:r>
        <w:rPr>
          <w:rFonts w:ascii="albany wt j" w:hAnsi="albany wt j" w:cs="albany wt j" w:eastAsia="albany wt j"/>
          <w:sz w:val="4"/>
          <w:szCs w:val="4"/>
          <w:lang w:eastAsia="en-US"/>
        </w:rPr>
      </w:r>
      <w:r/>
    </w:p>
    <w:p>
      <w:pPr>
        <w:ind w:firstLine="567"/>
        <w:jc w:val="center"/>
        <w:spacing w:before="120" w:after="60"/>
        <w:tabs>
          <w:tab w:val="left" w:pos="1418" w:leader="none"/>
        </w:tabs>
        <w:rPr>
          <w:bCs/>
        </w:rPr>
        <w:outlineLvl w:val="3"/>
      </w:pPr>
      <w:r>
        <w:rPr>
          <w:bCs/>
        </w:rPr>
      </w:r>
      <w:bookmarkEnd w:id="13"/>
      <w:r/>
    </w:p>
    <w:p>
      <w:pPr>
        <w:ind w:firstLine="567"/>
        <w:jc w:val="center"/>
        <w:spacing w:before="120" w:after="60"/>
        <w:tabs>
          <w:tab w:val="left" w:pos="1418" w:leader="none"/>
        </w:tabs>
        <w:rPr>
          <w:bCs/>
        </w:rPr>
        <w:outlineLvl w:val="3"/>
      </w:pPr>
      <w:r>
        <w:rPr>
          <w:bCs/>
        </w:rPr>
      </w:r>
      <w:r/>
    </w:p>
    <w:p>
      <w:r/>
      <w:r/>
    </w:p>
    <w:sectPr>
      <w:headerReference w:type="default" r:id="rId9"/>
      <w:footerReference w:type="default" r:id="rId10"/>
      <w:footnotePr>
        <w:numRestart w:val="eachSect"/>
      </w:footnotePr>
      <w:endnotePr/>
      <w:type w:val="nextPage"/>
      <w:pgSz w:w="11906" w:h="16838" w:orient="portrait"/>
      <w:pgMar w:top="709" w:right="707" w:bottom="426" w:left="1276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B0604030504040204"/>
  </w:font>
  <w:font w:name="Symbol">
    <w:panose1 w:val="05010000000000000000"/>
  </w:font>
  <w:font w:name="Wingdings">
    <w:panose1 w:val="05010000000000000000"/>
  </w:font>
  <w:font w:name="MS Gothic">
    <w:panose1 w:val="020B06060303040B0204"/>
  </w:font>
  <w:font w:name="Liberation Serif">
    <w:panose1 w:val="02020603050405020304"/>
  </w:font>
  <w:font w:name="Calibri Light">
    <w:panose1 w:val="020F0502020204030204"/>
  </w:font>
  <w:font w:name="Calibri">
    <w:panose1 w:val="020F0502020204030204"/>
  </w:font>
  <w:font w:name="gelvetsky 12pt">
    <w:panose1 w:val="020B0604030504040204"/>
  </w:font>
  <w:font w:name="Courier New">
    <w:panose1 w:val="02070309020205020404"/>
  </w:font>
  <w:font w:name="Mangal">
    <w:panose1 w:val="02020603050405020304"/>
  </w:font>
  <w:font w:name="Tahoma">
    <w:panose1 w:val="020B0604030504040204"/>
  </w:font>
  <w:font w:name="Cambria">
    <w:panose1 w:val="02020603050405020304"/>
  </w:font>
  <w:font w:name="Arial Unicode MS">
    <w:panose1 w:val="020B0604020202020204"/>
  </w:font>
  <w:font w:name="NSimSun">
    <w:panose1 w:val="02020603020101020101"/>
  </w:font>
  <w:font w:name="Arial">
    <w:panose1 w:val="020B0604020202020204"/>
  </w:font>
  <w:font w:name="SimSun">
    <w:panose1 w:val="02020603020101020101"/>
  </w:font>
  <w:font w:name="albany wt j">
    <w:panose1 w:val="020B0604030504040204"/>
  </w:font>
  <w:font w:name="Times New Roman">
    <w:panose1 w:val="02020603050405020304"/>
  </w:font>
  <w:font w:name="Microsoft YaHe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   \* MERGEFORMAT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2</w:t>
    </w:r>
    <w:r>
      <w:rPr>
        <w:sz w:val="16"/>
        <w:szCs w:val="16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left" w:pos="786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left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left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left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left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left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left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left" w:pos="3240" w:leader="none"/>
        </w:tabs>
      </w:pPr>
    </w:lvl>
  </w:abstractNum>
  <w:abstractNum w:abstractNumId="3">
    <w:multiLevelType w:val="hybridMultilevel"/>
    <w:lvl w:ilvl="0">
      <w:start w:val="10"/>
      <w:numFmt w:val="decimal"/>
      <w:isLgl w:val="false"/>
      <w:suff w:val="space"/>
      <w:lvlText w:val="%1."/>
      <w:lvlJc w:val="left"/>
      <w:pPr>
        <w:ind w:left="275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900"/>
        <w:tabs>
          <w:tab w:val="left" w:pos="130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left" w:pos="36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space"/>
      <w:lvlText w:val="%1)"/>
      <w:lvlJc w:val="left"/>
      <w:pPr/>
      <w:rPr>
        <w:rFonts w:hint="default"/>
        <w:i w:val="0"/>
        <w:i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6 Char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35">
    <w:name w:val="Subtitle Char"/>
    <w:basedOn w:val="682"/>
    <w:link w:val="695"/>
    <w:uiPriority w:val="11"/>
    <w:rPr>
      <w:sz w:val="24"/>
      <w:szCs w:val="24"/>
    </w:rPr>
  </w:style>
  <w:style w:type="character" w:styleId="37">
    <w:name w:val="Quote Char"/>
    <w:link w:val="697"/>
    <w:uiPriority w:val="29"/>
    <w:rPr>
      <w:i/>
    </w:rPr>
  </w:style>
  <w:style w:type="character" w:styleId="39">
    <w:name w:val="Intense Quote Char"/>
    <w:link w:val="699"/>
    <w:uiPriority w:val="30"/>
    <w:rPr>
      <w:i/>
    </w:rPr>
  </w:style>
  <w:style w:type="character" w:styleId="41">
    <w:name w:val="Header Char"/>
    <w:basedOn w:val="682"/>
    <w:link w:val="858"/>
    <w:uiPriority w:val="99"/>
  </w:style>
  <w:style w:type="character" w:styleId="45">
    <w:name w:val="Caption Char"/>
    <w:basedOn w:val="853"/>
    <w:link w:val="864"/>
    <w:uiPriority w:val="99"/>
  </w:style>
  <w:style w:type="character" w:styleId="174">
    <w:name w:val="Footnote Text Char"/>
    <w:link w:val="857"/>
    <w:uiPriority w:val="99"/>
    <w:rPr>
      <w:sz w:val="18"/>
    </w:rPr>
  </w:style>
  <w:style w:type="character" w:styleId="177">
    <w:name w:val="Endnote Text Char"/>
    <w:link w:val="852"/>
    <w:uiPriority w:val="99"/>
    <w:rPr>
      <w:sz w:val="20"/>
    </w:rPr>
  </w:style>
  <w:style w:type="paragraph" w:styleId="672" w:default="1">
    <w:name w:val="Normal"/>
    <w:qFormat/>
    <w:rPr>
      <w:rFonts w:eastAsia="Times New Roman"/>
    </w:rPr>
  </w:style>
  <w:style w:type="paragraph" w:styleId="673">
    <w:name w:val="Heading 1"/>
    <w:basedOn w:val="672"/>
    <w:next w:val="672"/>
    <w:link w:val="869"/>
    <w:uiPriority w:val="9"/>
    <w:qFormat/>
    <w:pPr>
      <w:jc w:val="center"/>
      <w:keepNext/>
      <w:spacing w:before="80"/>
      <w:outlineLvl w:val="0"/>
    </w:pPr>
    <w:rPr>
      <w:b/>
      <w:spacing w:val="20"/>
      <w:sz w:val="24"/>
    </w:rPr>
  </w:style>
  <w:style w:type="paragraph" w:styleId="674">
    <w:name w:val="Heading 2"/>
    <w:basedOn w:val="672"/>
    <w:next w:val="672"/>
    <w:link w:val="1141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75">
    <w:name w:val="Heading 3"/>
    <w:basedOn w:val="672"/>
    <w:next w:val="672"/>
    <w:link w:val="1110"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676">
    <w:name w:val="Heading 4"/>
    <w:basedOn w:val="672"/>
    <w:next w:val="672"/>
    <w:link w:val="1112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77">
    <w:name w:val="Heading 5"/>
    <w:basedOn w:val="672"/>
    <w:next w:val="672"/>
    <w:link w:val="886"/>
    <w:uiPriority w:val="9"/>
    <w:semiHidden/>
    <w:unhideWhenUsed/>
    <w:qFormat/>
    <w:pPr>
      <w:keepLines/>
      <w:keepNext/>
      <w:spacing w:before="200"/>
      <w:outlineLvl w:val="4"/>
    </w:pPr>
    <w:rPr>
      <w:rFonts w:ascii="Cambria" w:hAnsi="Cambria"/>
      <w:color w:val="243F60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672"/>
    <w:next w:val="672"/>
    <w:link w:val="889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cs="Arial" w:eastAsia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cs="Arial" w:eastAsia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paragraph" w:styleId="695">
    <w:name w:val="Subtitle"/>
    <w:basedOn w:val="672"/>
    <w:next w:val="672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82"/>
    <w:link w:val="695"/>
    <w:uiPriority w:val="11"/>
    <w:rPr>
      <w:sz w:val="24"/>
      <w:szCs w:val="24"/>
    </w:rPr>
  </w:style>
  <w:style w:type="paragraph" w:styleId="697">
    <w:name w:val="Quote"/>
    <w:basedOn w:val="672"/>
    <w:next w:val="672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2"/>
    <w:next w:val="672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Верхний колонтитул Знак2"/>
    <w:basedOn w:val="682"/>
    <w:link w:val="858"/>
    <w:uiPriority w:val="99"/>
  </w:style>
  <w:style w:type="character" w:styleId="702" w:customStyle="1">
    <w:name w:val="Footer Char"/>
    <w:basedOn w:val="682"/>
    <w:uiPriority w:val="99"/>
  </w:style>
  <w:style w:type="character" w:styleId="703" w:customStyle="1">
    <w:name w:val="Нижний колонтитул Знак1"/>
    <w:link w:val="864"/>
    <w:uiPriority w:val="99"/>
  </w:style>
  <w:style w:type="table" w:styleId="704" w:customStyle="1">
    <w:name w:val="Table Grid Light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8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8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8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8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8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8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8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8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8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8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1"/>
    <w:basedOn w:val="68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2"/>
    <w:basedOn w:val="68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3"/>
    <w:basedOn w:val="68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4"/>
    <w:basedOn w:val="68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5"/>
    <w:basedOn w:val="68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6"/>
    <w:basedOn w:val="68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>
    <w:name w:val="List Table 1 Light"/>
    <w:basedOn w:val="6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8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8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8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8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8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8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8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8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8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8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8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8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8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8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8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8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8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8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8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8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8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8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8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8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8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8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8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8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8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8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8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8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8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8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1"/>
    <w:basedOn w:val="68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2"/>
    <w:basedOn w:val="68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3"/>
    <w:basedOn w:val="68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4"/>
    <w:basedOn w:val="68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5"/>
    <w:basedOn w:val="68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6"/>
    <w:basedOn w:val="68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ned - Accent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8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8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8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8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8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8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8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 w:customStyle="1">
    <w:name w:val="Текст сноски Знак2"/>
    <w:link w:val="857"/>
    <w:uiPriority w:val="99"/>
    <w:rPr>
      <w:sz w:val="18"/>
    </w:rPr>
  </w:style>
  <w:style w:type="character" w:styleId="830" w:customStyle="1">
    <w:name w:val="Текст концевой сноски Знак1"/>
    <w:link w:val="852"/>
    <w:uiPriority w:val="99"/>
    <w:rPr>
      <w:sz w:val="20"/>
    </w:rPr>
  </w:style>
  <w:style w:type="paragraph" w:styleId="831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32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33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34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35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36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37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38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72"/>
    <w:next w:val="672"/>
    <w:uiPriority w:val="99"/>
    <w:unhideWhenUsed/>
  </w:style>
  <w:style w:type="character" w:styleId="841">
    <w:name w:val="FollowedHyperlink"/>
    <w:uiPriority w:val="99"/>
    <w:semiHidden/>
    <w:unhideWhenUsed/>
    <w:qFormat/>
    <w:rPr>
      <w:color w:val="800080"/>
      <w:u w:val="single"/>
    </w:rPr>
  </w:style>
  <w:style w:type="character" w:styleId="842">
    <w:name w:val="footnote reference"/>
    <w:basedOn w:val="682"/>
    <w:unhideWhenUsed/>
    <w:qFormat/>
    <w:rPr>
      <w:vertAlign w:val="superscript"/>
    </w:rPr>
  </w:style>
  <w:style w:type="character" w:styleId="843">
    <w:name w:val="annotation reference"/>
    <w:basedOn w:val="682"/>
    <w:uiPriority w:val="99"/>
    <w:semiHidden/>
    <w:unhideWhenUsed/>
    <w:qFormat/>
    <w:rPr>
      <w:sz w:val="16"/>
      <w:szCs w:val="16"/>
    </w:rPr>
  </w:style>
  <w:style w:type="character" w:styleId="844">
    <w:name w:val="endnote reference"/>
    <w:uiPriority w:val="99"/>
    <w:semiHidden/>
    <w:unhideWhenUsed/>
    <w:qFormat/>
    <w:rPr>
      <w:vertAlign w:val="superscript"/>
    </w:rPr>
  </w:style>
  <w:style w:type="character" w:styleId="845">
    <w:name w:val="Emphasis"/>
    <w:uiPriority w:val="20"/>
    <w:qFormat/>
    <w:rPr>
      <w:i/>
      <w:iCs/>
    </w:rPr>
  </w:style>
  <w:style w:type="character" w:styleId="846">
    <w:name w:val="Hyperlink"/>
    <w:basedOn w:val="682"/>
    <w:uiPriority w:val="99"/>
    <w:unhideWhenUsed/>
    <w:qFormat/>
    <w:rPr>
      <w:color w:val="0000FF" w:themeColor="hyperlink"/>
      <w:u w:val="single"/>
    </w:rPr>
  </w:style>
  <w:style w:type="character" w:styleId="847">
    <w:name w:val="page number"/>
    <w:basedOn w:val="682"/>
    <w:qFormat/>
  </w:style>
  <w:style w:type="character" w:styleId="848">
    <w:name w:val="Strong"/>
    <w:uiPriority w:val="22"/>
    <w:qFormat/>
    <w:rPr>
      <w:b/>
      <w:bCs/>
    </w:rPr>
  </w:style>
  <w:style w:type="paragraph" w:styleId="849">
    <w:name w:val="Balloon Text"/>
    <w:basedOn w:val="672"/>
    <w:link w:val="986"/>
    <w:uiPriority w:val="99"/>
    <w:unhideWhenUsed/>
    <w:qFormat/>
    <w:rPr>
      <w:rFonts w:ascii="Tahoma" w:hAnsi="Tahoma"/>
      <w:sz w:val="16"/>
      <w:szCs w:val="16"/>
    </w:rPr>
  </w:style>
  <w:style w:type="paragraph" w:styleId="850">
    <w:name w:val="Body Text 2"/>
    <w:basedOn w:val="672"/>
    <w:link w:val="876"/>
    <w:qFormat/>
    <w:pPr>
      <w:jc w:val="both"/>
      <w:widowControl w:val="off"/>
    </w:pPr>
    <w:rPr>
      <w:rFonts w:ascii="Arial" w:hAnsi="Arial"/>
      <w:sz w:val="22"/>
    </w:rPr>
  </w:style>
  <w:style w:type="paragraph" w:styleId="851">
    <w:name w:val="Body Text Indent 3"/>
    <w:basedOn w:val="672"/>
    <w:uiPriority w:val="99"/>
    <w:semiHidden/>
    <w:unhideWhenUsed/>
    <w:qFormat/>
    <w:pPr>
      <w:ind w:left="283"/>
      <w:spacing w:after="120"/>
    </w:pPr>
    <w:rPr>
      <w:sz w:val="16"/>
      <w:szCs w:val="16"/>
    </w:rPr>
  </w:style>
  <w:style w:type="paragraph" w:styleId="852">
    <w:name w:val="endnote text"/>
    <w:basedOn w:val="672"/>
    <w:link w:val="830"/>
    <w:uiPriority w:val="99"/>
    <w:semiHidden/>
    <w:unhideWhenUsed/>
    <w:qFormat/>
  </w:style>
  <w:style w:type="paragraph" w:styleId="853">
    <w:name w:val="Caption"/>
    <w:basedOn w:val="672"/>
    <w:next w:val="67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annotation text"/>
    <w:basedOn w:val="672"/>
    <w:link w:val="1102"/>
    <w:uiPriority w:val="99"/>
    <w:semiHidden/>
    <w:unhideWhenUsed/>
    <w:qFormat/>
  </w:style>
  <w:style w:type="paragraph" w:styleId="855">
    <w:name w:val="index 1"/>
    <w:basedOn w:val="672"/>
    <w:next w:val="672"/>
    <w:uiPriority w:val="99"/>
    <w:semiHidden/>
    <w:unhideWhenUsed/>
    <w:qFormat/>
    <w:pPr>
      <w:ind w:left="200" w:hanging="200"/>
    </w:pPr>
  </w:style>
  <w:style w:type="paragraph" w:styleId="856">
    <w:name w:val="annotation subject"/>
    <w:basedOn w:val="854"/>
    <w:next w:val="854"/>
    <w:link w:val="1103"/>
    <w:uiPriority w:val="99"/>
    <w:semiHidden/>
    <w:unhideWhenUsed/>
    <w:qFormat/>
    <w:rPr>
      <w:b/>
      <w:bCs/>
    </w:rPr>
  </w:style>
  <w:style w:type="paragraph" w:styleId="857">
    <w:name w:val="footnote text"/>
    <w:basedOn w:val="672"/>
    <w:link w:val="829"/>
    <w:unhideWhenUsed/>
    <w:qFormat/>
  </w:style>
  <w:style w:type="paragraph" w:styleId="858">
    <w:name w:val="Header"/>
    <w:basedOn w:val="672"/>
    <w:link w:val="7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59">
    <w:name w:val="Body Text"/>
    <w:basedOn w:val="672"/>
    <w:link w:val="981"/>
    <w:qFormat/>
    <w:pPr>
      <w:jc w:val="both"/>
      <w:tabs>
        <w:tab w:val="center" w:pos="1985" w:leader="none"/>
        <w:tab w:val="center" w:pos="2127" w:leader="none"/>
        <w:tab w:val="left" w:pos="6096" w:leader="none"/>
      </w:tabs>
    </w:pPr>
    <w:rPr>
      <w:sz w:val="28"/>
    </w:rPr>
  </w:style>
  <w:style w:type="paragraph" w:styleId="860">
    <w:name w:val="index heading"/>
    <w:basedOn w:val="672"/>
    <w:next w:val="855"/>
    <w:qFormat/>
    <w:pPr>
      <w:suppressLineNumbers/>
    </w:pPr>
    <w:rPr>
      <w:rFonts w:cs="Arial"/>
    </w:rPr>
  </w:style>
  <w:style w:type="paragraph" w:styleId="861">
    <w:name w:val="toc 1"/>
    <w:basedOn w:val="672"/>
    <w:next w:val="672"/>
    <w:uiPriority w:val="39"/>
    <w:qFormat/>
    <w:pPr>
      <w:spacing w:before="100"/>
      <w:tabs>
        <w:tab w:val="left" w:pos="1440" w:leader="none"/>
        <w:tab w:val="right" w:pos="10148" w:leader="dot"/>
      </w:tabs>
    </w:pPr>
    <w:rPr>
      <w:rFonts w:ascii="Arial" w:hAnsi="Arial" w:cs="Arial"/>
      <w:b/>
      <w:bCs/>
      <w:caps/>
      <w:sz w:val="24"/>
      <w:szCs w:val="24"/>
    </w:rPr>
  </w:style>
  <w:style w:type="paragraph" w:styleId="862">
    <w:name w:val="Body Text Indent"/>
    <w:basedOn w:val="672"/>
    <w:link w:val="982"/>
    <w:qFormat/>
    <w:pPr>
      <w:ind w:left="283"/>
      <w:spacing w:after="120"/>
    </w:pPr>
  </w:style>
  <w:style w:type="paragraph" w:styleId="863">
    <w:name w:val="Title"/>
    <w:basedOn w:val="672"/>
    <w:link w:val="983"/>
    <w:uiPriority w:val="10"/>
    <w:qFormat/>
    <w:pPr>
      <w:jc w:val="center"/>
      <w:spacing w:before="240" w:after="60"/>
      <w:outlineLvl w:val="0"/>
    </w:pPr>
    <w:rPr>
      <w:rFonts w:ascii="Arial" w:hAnsi="Arial"/>
      <w:b/>
      <w:sz w:val="32"/>
    </w:rPr>
  </w:style>
  <w:style w:type="paragraph" w:styleId="864">
    <w:name w:val="Footer"/>
    <w:basedOn w:val="672"/>
    <w:link w:val="70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65">
    <w:name w:val="List"/>
    <w:basedOn w:val="859"/>
    <w:qFormat/>
    <w:rPr>
      <w:rFonts w:cs="Arial"/>
    </w:rPr>
  </w:style>
  <w:style w:type="paragraph" w:styleId="866">
    <w:name w:val="Normal (Web)"/>
    <w:basedOn w:val="672"/>
    <w:uiPriority w:val="99"/>
    <w:qFormat/>
    <w:pPr>
      <w:spacing w:beforeAutospacing="1" w:afterAutospacing="1"/>
    </w:pPr>
    <w:rPr>
      <w:sz w:val="24"/>
      <w:szCs w:val="24"/>
    </w:rPr>
  </w:style>
  <w:style w:type="paragraph" w:styleId="867">
    <w:name w:val="Body Text 3"/>
    <w:basedOn w:val="672"/>
    <w:unhideWhenUsed/>
    <w:qFormat/>
    <w:pPr>
      <w:spacing w:after="120"/>
    </w:pPr>
    <w:rPr>
      <w:sz w:val="16"/>
      <w:szCs w:val="16"/>
    </w:rPr>
  </w:style>
  <w:style w:type="table" w:styleId="868">
    <w:name w:val="Table Grid"/>
    <w:basedOn w:val="683"/>
    <w:uiPriority w:val="3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9" w:customStyle="1">
    <w:name w:val="Заголовок 1 Знак"/>
    <w:link w:val="673"/>
    <w:uiPriority w:val="9"/>
    <w:qFormat/>
    <w:rPr>
      <w:rFonts w:ascii="Cambria" w:hAnsi="Cambria" w:cs="Times New Roman" w:eastAsia="Times New Roman"/>
      <w:b/>
      <w:bCs/>
      <w:color w:val="365F91"/>
      <w:sz w:val="28"/>
      <w:szCs w:val="28"/>
      <w:lang w:eastAsia="ru-RU"/>
    </w:rPr>
  </w:style>
  <w:style w:type="character" w:styleId="870" w:customStyle="1">
    <w:name w:val="Заголовок 1 Знак1"/>
    <w:qFormat/>
    <w:rPr>
      <w:rFonts w:eastAsia="Times New Roman"/>
      <w:b/>
      <w:spacing w:val="20"/>
      <w:sz w:val="24"/>
      <w:szCs w:val="20"/>
      <w:lang w:eastAsia="ru-RU"/>
    </w:rPr>
  </w:style>
  <w:style w:type="character" w:styleId="871" w:customStyle="1">
    <w:name w:val="Основной текст Знак"/>
    <w:qFormat/>
    <w:rPr>
      <w:rFonts w:eastAsia="Times New Roman"/>
      <w:sz w:val="28"/>
      <w:szCs w:val="20"/>
      <w:lang w:eastAsia="ru-RU"/>
    </w:rPr>
  </w:style>
  <w:style w:type="character" w:styleId="872" w:customStyle="1">
    <w:name w:val="Основной текст с отступом Знак"/>
    <w:qFormat/>
    <w:rPr>
      <w:rFonts w:eastAsia="Times New Roman"/>
      <w:sz w:val="20"/>
      <w:szCs w:val="20"/>
      <w:lang w:eastAsia="ru-RU"/>
    </w:rPr>
  </w:style>
  <w:style w:type="character" w:styleId="873" w:customStyle="1">
    <w:name w:val="Интернет-ссылка"/>
    <w:basedOn w:val="682"/>
    <w:uiPriority w:val="99"/>
    <w:semiHidden/>
    <w:unhideWhenUsed/>
    <w:qFormat/>
    <w:rPr>
      <w:color w:val="0000FF"/>
      <w:u w:val="single"/>
    </w:rPr>
  </w:style>
  <w:style w:type="character" w:styleId="874" w:customStyle="1">
    <w:name w:val="Название Знак"/>
    <w:uiPriority w:val="10"/>
    <w:qFormat/>
    <w:rPr>
      <w:rFonts w:ascii="Arial" w:hAnsi="Arial" w:eastAsia="Times New Roman"/>
      <w:b/>
      <w:sz w:val="32"/>
      <w:szCs w:val="20"/>
      <w:lang w:eastAsia="ru-RU"/>
    </w:rPr>
  </w:style>
  <w:style w:type="character" w:styleId="875" w:customStyle="1">
    <w:name w:val="Текст выноски Знак"/>
    <w:uiPriority w:val="99"/>
    <w:qFormat/>
    <w:rPr>
      <w:rFonts w:ascii="Tahoma" w:hAnsi="Tahoma" w:cs="Tahoma" w:eastAsia="Times New Roman"/>
      <w:sz w:val="16"/>
      <w:szCs w:val="16"/>
    </w:rPr>
  </w:style>
  <w:style w:type="character" w:styleId="876" w:customStyle="1">
    <w:name w:val="Основной текст 2 Знак2"/>
    <w:link w:val="850"/>
    <w:uiPriority w:val="9"/>
    <w:semiHidden/>
    <w:qFormat/>
    <w:rPr>
      <w:rFonts w:ascii="Cambria" w:hAnsi="Cambria" w:cs="Times New Roman" w:eastAsia="Times New Roman"/>
      <w:b/>
      <w:bCs/>
      <w:i/>
      <w:iCs/>
      <w:sz w:val="28"/>
      <w:szCs w:val="28"/>
    </w:rPr>
  </w:style>
  <w:style w:type="character" w:styleId="877" w:customStyle="1">
    <w:name w:val="Основной текст с отступом 3 Знак"/>
    <w:uiPriority w:val="99"/>
    <w:semiHidden/>
    <w:qFormat/>
    <w:rPr>
      <w:rFonts w:eastAsia="Times New Roman"/>
      <w:sz w:val="16"/>
      <w:szCs w:val="16"/>
    </w:rPr>
  </w:style>
  <w:style w:type="character" w:styleId="878" w:customStyle="1">
    <w:name w:val="Верхний колонтитул Знак"/>
    <w:uiPriority w:val="99"/>
    <w:qFormat/>
    <w:rPr>
      <w:rFonts w:eastAsia="Times New Roman"/>
    </w:rPr>
  </w:style>
  <w:style w:type="character" w:styleId="879" w:customStyle="1">
    <w:name w:val="Нижний колонтитул Знак"/>
    <w:uiPriority w:val="99"/>
    <w:qFormat/>
    <w:rPr>
      <w:rFonts w:eastAsia="Times New Roman"/>
    </w:rPr>
  </w:style>
  <w:style w:type="character" w:styleId="880" w:customStyle="1">
    <w:name w:val="Без интервала Знак"/>
    <w:uiPriority w:val="1"/>
    <w:qFormat/>
    <w:rPr>
      <w:rFonts w:eastAsia="Times New Roman"/>
      <w:lang w:val="ru-RU" w:bidi="ar-SA" w:eastAsia="ru-RU"/>
    </w:rPr>
  </w:style>
  <w:style w:type="character" w:styleId="881" w:customStyle="1">
    <w:name w:val="ConsPlusNormal Знак"/>
    <w:qFormat/>
    <w:rPr>
      <w:rFonts w:ascii="Arial" w:hAnsi="Arial" w:cs="Arial" w:eastAsia="Times New Roman"/>
      <w:lang w:val="ru-RU" w:bidi="ar-SA" w:eastAsia="ru-RU"/>
    </w:rPr>
  </w:style>
  <w:style w:type="character" w:styleId="882" w:customStyle="1">
    <w:name w:val="Обычный (веб) Знак"/>
    <w:qFormat/>
    <w:rPr>
      <w:rFonts w:eastAsia="Times New Roman"/>
      <w:sz w:val="24"/>
      <w:szCs w:val="24"/>
    </w:rPr>
  </w:style>
  <w:style w:type="character" w:styleId="883" w:customStyle="1">
    <w:name w:val="Font Style36"/>
    <w:qFormat/>
    <w:rPr>
      <w:rFonts w:ascii="Times New Roman" w:hAnsi="Times New Roman" w:cs="Times New Roman"/>
      <w:sz w:val="22"/>
      <w:szCs w:val="22"/>
    </w:rPr>
  </w:style>
  <w:style w:type="character" w:styleId="884" w:customStyle="1">
    <w:name w:val="Font Style35"/>
    <w:qFormat/>
    <w:rPr>
      <w:rFonts w:ascii="Times New Roman" w:hAnsi="Times New Roman" w:cs="Times New Roman"/>
      <w:b/>
      <w:bCs/>
      <w:sz w:val="22"/>
      <w:szCs w:val="22"/>
    </w:rPr>
  </w:style>
  <w:style w:type="character" w:styleId="885" w:customStyle="1">
    <w:name w:val="Основной текст 2 Знак"/>
    <w:qFormat/>
    <w:rPr>
      <w:rFonts w:ascii="Arial" w:hAnsi="Arial" w:eastAsia="Times New Roman"/>
      <w:sz w:val="22"/>
    </w:rPr>
  </w:style>
  <w:style w:type="character" w:styleId="886" w:customStyle="1">
    <w:name w:val="Заголовок 5 Знак"/>
    <w:link w:val="677"/>
    <w:uiPriority w:val="9"/>
    <w:semiHidden/>
    <w:qFormat/>
    <w:rPr>
      <w:rFonts w:ascii="Cambria" w:hAnsi="Cambria" w:cs="Times New Roman" w:eastAsia="Times New Roman"/>
      <w:color w:val="243F60"/>
    </w:rPr>
  </w:style>
  <w:style w:type="character" w:styleId="887">
    <w:name w:val="Placeholder Text"/>
    <w:uiPriority w:val="99"/>
    <w:semiHidden/>
    <w:qFormat/>
    <w:rPr>
      <w:color w:val="808080"/>
    </w:rPr>
  </w:style>
  <w:style w:type="character" w:styleId="888" w:customStyle="1">
    <w:name w:val="apple-converted-space"/>
    <w:basedOn w:val="682"/>
    <w:qFormat/>
  </w:style>
  <w:style w:type="character" w:styleId="889" w:customStyle="1">
    <w:name w:val="Заголовок 9 Знак"/>
    <w:link w:val="681"/>
    <w:qFormat/>
    <w:rPr>
      <w:rFonts w:ascii="Arial" w:hAnsi="Arial" w:eastAsia="Times New Roman"/>
      <w:sz w:val="22"/>
      <w:szCs w:val="22"/>
    </w:rPr>
  </w:style>
  <w:style w:type="character" w:styleId="890" w:customStyle="1">
    <w:name w:val="tz_txt Знак"/>
    <w:qFormat/>
    <w:rPr>
      <w:rFonts w:eastAsia="Times New Roman"/>
      <w:sz w:val="24"/>
      <w:szCs w:val="24"/>
    </w:rPr>
  </w:style>
  <w:style w:type="character" w:styleId="891" w:customStyle="1">
    <w:name w:val="Основной текст1"/>
    <w:qFormat/>
    <w:rPr>
      <w:rFonts w:ascii="Times New Roman" w:hAnsi="Times New Roman" w:cs="Times New Roman" w:eastAsia="Times New Roman"/>
      <w:color w:val="000000"/>
      <w:spacing w:val="0"/>
      <w:sz w:val="21"/>
      <w:szCs w:val="21"/>
      <w:shd w:val="clear" w:color="auto" w:fill="ffffff"/>
      <w:lang w:val="ru-RU" w:bidi="ru-RU" w:eastAsia="ru-RU"/>
    </w:rPr>
  </w:style>
  <w:style w:type="character" w:styleId="892" w:customStyle="1">
    <w:name w:val="Основной текст_"/>
    <w:qFormat/>
    <w:rPr>
      <w:rFonts w:eastAsia="Times New Roman"/>
      <w:sz w:val="21"/>
      <w:szCs w:val="21"/>
      <w:shd w:val="clear" w:color="auto" w:fill="ffffff"/>
    </w:rPr>
  </w:style>
  <w:style w:type="character" w:styleId="893" w:customStyle="1">
    <w:name w:val="ListLabel 1"/>
    <w:qFormat/>
    <w:rPr>
      <w:b/>
      <w:sz w:val="24"/>
      <w:szCs w:val="24"/>
    </w:rPr>
  </w:style>
  <w:style w:type="character" w:styleId="894" w:customStyle="1">
    <w:name w:val="ListLabel 2"/>
    <w:qFormat/>
  </w:style>
  <w:style w:type="character" w:styleId="895" w:customStyle="1">
    <w:name w:val="ListLabel 3"/>
    <w:qFormat/>
  </w:style>
  <w:style w:type="character" w:styleId="896" w:customStyle="1">
    <w:name w:val="ListLabel 4"/>
    <w:qFormat/>
  </w:style>
  <w:style w:type="character" w:styleId="897" w:customStyle="1">
    <w:name w:val="ListLabel 5"/>
    <w:qFormat/>
  </w:style>
  <w:style w:type="character" w:styleId="898" w:customStyle="1">
    <w:name w:val="ListLabel 6"/>
    <w:qFormat/>
  </w:style>
  <w:style w:type="character" w:styleId="899" w:customStyle="1">
    <w:name w:val="ListLabel 7"/>
    <w:qFormat/>
  </w:style>
  <w:style w:type="character" w:styleId="900" w:customStyle="1">
    <w:name w:val="ListLabel 8"/>
    <w:qFormat/>
  </w:style>
  <w:style w:type="character" w:styleId="901" w:customStyle="1">
    <w:name w:val="ListLabel 9"/>
    <w:qFormat/>
  </w:style>
  <w:style w:type="character" w:styleId="902" w:customStyle="1">
    <w:name w:val="ListLabel 10"/>
    <w:qFormat/>
  </w:style>
  <w:style w:type="character" w:styleId="903" w:customStyle="1">
    <w:name w:val="ListLabel 11"/>
    <w:qFormat/>
    <w:rPr>
      <w:b/>
    </w:rPr>
  </w:style>
  <w:style w:type="character" w:styleId="904" w:customStyle="1">
    <w:name w:val="ListLabel 12"/>
    <w:qFormat/>
    <w:rPr>
      <w:b/>
    </w:rPr>
  </w:style>
  <w:style w:type="character" w:styleId="905" w:customStyle="1">
    <w:name w:val="ListLabel 13"/>
    <w:qFormat/>
    <w:rPr>
      <w:sz w:val="18"/>
      <w:szCs w:val="18"/>
    </w:rPr>
  </w:style>
  <w:style w:type="character" w:styleId="906" w:customStyle="1">
    <w:name w:val="ListLabel 14"/>
    <w:qFormat/>
    <w:rPr>
      <w:rFonts w:cs="Courier New"/>
    </w:rPr>
  </w:style>
  <w:style w:type="character" w:styleId="907" w:customStyle="1">
    <w:name w:val="ListLabel 15"/>
    <w:qFormat/>
    <w:rPr>
      <w:rFonts w:cs="Courier New"/>
    </w:rPr>
  </w:style>
  <w:style w:type="character" w:styleId="908" w:customStyle="1">
    <w:name w:val="ListLabel 16"/>
    <w:qFormat/>
    <w:rPr>
      <w:rFonts w:cs="Courier New"/>
    </w:rPr>
  </w:style>
  <w:style w:type="character" w:styleId="909" w:customStyle="1">
    <w:name w:val="ListLabel 17"/>
    <w:qFormat/>
    <w:rPr>
      <w:rFonts w:cs="Courier New"/>
    </w:rPr>
  </w:style>
  <w:style w:type="character" w:styleId="910" w:customStyle="1">
    <w:name w:val="ListLabel 18"/>
    <w:qFormat/>
    <w:rPr>
      <w:rFonts w:cs="Courier New"/>
    </w:rPr>
  </w:style>
  <w:style w:type="character" w:styleId="911" w:customStyle="1">
    <w:name w:val="ListLabel 19"/>
    <w:qFormat/>
    <w:rPr>
      <w:rFonts w:cs="Courier New"/>
    </w:rPr>
  </w:style>
  <w:style w:type="character" w:styleId="912" w:customStyle="1">
    <w:name w:val="ListLabel 20"/>
    <w:qFormat/>
    <w:rPr>
      <w:rFonts w:cs="Courier New"/>
    </w:rPr>
  </w:style>
  <w:style w:type="character" w:styleId="913" w:customStyle="1">
    <w:name w:val="ListLabel 21"/>
    <w:qFormat/>
    <w:rPr>
      <w:rFonts w:cs="Courier New"/>
    </w:rPr>
  </w:style>
  <w:style w:type="character" w:styleId="914" w:customStyle="1">
    <w:name w:val="ListLabel 22"/>
    <w:qFormat/>
    <w:rPr>
      <w:rFonts w:cs="Courier New"/>
    </w:rPr>
  </w:style>
  <w:style w:type="character" w:styleId="915" w:customStyle="1">
    <w:name w:val="ListLabel 23"/>
    <w:qFormat/>
    <w:rPr>
      <w:rFonts w:cs="Courier New"/>
    </w:rPr>
  </w:style>
  <w:style w:type="character" w:styleId="916" w:customStyle="1">
    <w:name w:val="ListLabel 24"/>
    <w:qFormat/>
    <w:rPr>
      <w:rFonts w:cs="Courier New"/>
    </w:rPr>
  </w:style>
  <w:style w:type="character" w:styleId="917" w:customStyle="1">
    <w:name w:val="ListLabel 25"/>
    <w:qFormat/>
    <w:rPr>
      <w:rFonts w:cs="Courier New"/>
    </w:rPr>
  </w:style>
  <w:style w:type="character" w:styleId="918" w:customStyle="1">
    <w:name w:val="ListLabel 26"/>
    <w:qFormat/>
    <w:rPr>
      <w:rFonts w:cs="Courier New"/>
    </w:rPr>
  </w:style>
  <w:style w:type="character" w:styleId="919" w:customStyle="1">
    <w:name w:val="ListLabel 27"/>
    <w:qFormat/>
    <w:rPr>
      <w:rFonts w:cs="Courier New"/>
    </w:rPr>
  </w:style>
  <w:style w:type="character" w:styleId="920" w:customStyle="1">
    <w:name w:val="ListLabel 28"/>
    <w:qFormat/>
    <w:rPr>
      <w:rFonts w:cs="Courier New"/>
    </w:rPr>
  </w:style>
  <w:style w:type="character" w:styleId="921" w:customStyle="1">
    <w:name w:val="ListLabel 29"/>
    <w:qFormat/>
    <w:rPr>
      <w:sz w:val="20"/>
    </w:rPr>
  </w:style>
  <w:style w:type="character" w:styleId="922" w:customStyle="1">
    <w:name w:val="ListLabel 30"/>
    <w:qFormat/>
    <w:rPr>
      <w:sz w:val="20"/>
    </w:rPr>
  </w:style>
  <w:style w:type="character" w:styleId="923" w:customStyle="1">
    <w:name w:val="ListLabel 31"/>
    <w:qFormat/>
    <w:rPr>
      <w:sz w:val="20"/>
    </w:rPr>
  </w:style>
  <w:style w:type="character" w:styleId="924" w:customStyle="1">
    <w:name w:val="ListLabel 32"/>
    <w:qFormat/>
    <w:rPr>
      <w:sz w:val="20"/>
    </w:rPr>
  </w:style>
  <w:style w:type="character" w:styleId="925" w:customStyle="1">
    <w:name w:val="ListLabel 33"/>
    <w:qFormat/>
    <w:rPr>
      <w:sz w:val="20"/>
    </w:rPr>
  </w:style>
  <w:style w:type="character" w:styleId="926" w:customStyle="1">
    <w:name w:val="ListLabel 34"/>
    <w:qFormat/>
    <w:rPr>
      <w:sz w:val="20"/>
    </w:rPr>
  </w:style>
  <w:style w:type="character" w:styleId="927" w:customStyle="1">
    <w:name w:val="ListLabel 35"/>
    <w:qFormat/>
    <w:rPr>
      <w:sz w:val="20"/>
    </w:rPr>
  </w:style>
  <w:style w:type="character" w:styleId="928" w:customStyle="1">
    <w:name w:val="ListLabel 36"/>
    <w:qFormat/>
    <w:rPr>
      <w:sz w:val="20"/>
    </w:rPr>
  </w:style>
  <w:style w:type="character" w:styleId="929" w:customStyle="1">
    <w:name w:val="ListLabel 37"/>
    <w:qFormat/>
    <w:rPr>
      <w:sz w:val="20"/>
    </w:rPr>
  </w:style>
  <w:style w:type="character" w:styleId="930" w:customStyle="1">
    <w:name w:val="ListLabel 38"/>
    <w:qFormat/>
    <w:rPr>
      <w:sz w:val="20"/>
    </w:rPr>
  </w:style>
  <w:style w:type="character" w:styleId="931" w:customStyle="1">
    <w:name w:val="ListLabel 39"/>
    <w:qFormat/>
    <w:rPr>
      <w:sz w:val="20"/>
    </w:rPr>
  </w:style>
  <w:style w:type="character" w:styleId="932" w:customStyle="1">
    <w:name w:val="ListLabel 40"/>
    <w:qFormat/>
    <w:rPr>
      <w:sz w:val="20"/>
    </w:rPr>
  </w:style>
  <w:style w:type="character" w:styleId="933" w:customStyle="1">
    <w:name w:val="ListLabel 41"/>
    <w:qFormat/>
    <w:rPr>
      <w:sz w:val="20"/>
    </w:rPr>
  </w:style>
  <w:style w:type="character" w:styleId="934" w:customStyle="1">
    <w:name w:val="ListLabel 42"/>
    <w:qFormat/>
    <w:rPr>
      <w:sz w:val="20"/>
    </w:rPr>
  </w:style>
  <w:style w:type="character" w:styleId="935" w:customStyle="1">
    <w:name w:val="ListLabel 43"/>
    <w:qFormat/>
    <w:rPr>
      <w:sz w:val="20"/>
    </w:rPr>
  </w:style>
  <w:style w:type="character" w:styleId="936" w:customStyle="1">
    <w:name w:val="ListLabel 44"/>
    <w:qFormat/>
    <w:rPr>
      <w:sz w:val="20"/>
    </w:rPr>
  </w:style>
  <w:style w:type="character" w:styleId="937" w:customStyle="1">
    <w:name w:val="ListLabel 45"/>
    <w:qFormat/>
    <w:rPr>
      <w:sz w:val="20"/>
    </w:rPr>
  </w:style>
  <w:style w:type="character" w:styleId="938" w:customStyle="1">
    <w:name w:val="ListLabel 46"/>
    <w:qFormat/>
    <w:rPr>
      <w:sz w:val="20"/>
    </w:rPr>
  </w:style>
  <w:style w:type="character" w:styleId="939" w:customStyle="1">
    <w:name w:val="ListLabel 47"/>
    <w:qFormat/>
    <w:rPr>
      <w:sz w:val="20"/>
    </w:rPr>
  </w:style>
  <w:style w:type="character" w:styleId="940" w:customStyle="1">
    <w:name w:val="ListLabel 48"/>
    <w:qFormat/>
    <w:rPr>
      <w:sz w:val="20"/>
    </w:rPr>
  </w:style>
  <w:style w:type="character" w:styleId="941" w:customStyle="1">
    <w:name w:val="ListLabel 49"/>
    <w:qFormat/>
    <w:rPr>
      <w:sz w:val="20"/>
    </w:rPr>
  </w:style>
  <w:style w:type="character" w:styleId="942" w:customStyle="1">
    <w:name w:val="ListLabel 50"/>
    <w:qFormat/>
    <w:rPr>
      <w:sz w:val="20"/>
    </w:rPr>
  </w:style>
  <w:style w:type="character" w:styleId="943" w:customStyle="1">
    <w:name w:val="ListLabel 51"/>
    <w:qFormat/>
    <w:rPr>
      <w:sz w:val="20"/>
    </w:rPr>
  </w:style>
  <w:style w:type="character" w:styleId="944" w:customStyle="1">
    <w:name w:val="ListLabel 52"/>
    <w:qFormat/>
    <w:rPr>
      <w:sz w:val="20"/>
    </w:rPr>
  </w:style>
  <w:style w:type="character" w:styleId="945" w:customStyle="1">
    <w:name w:val="ListLabel 53"/>
    <w:qFormat/>
    <w:rPr>
      <w:sz w:val="20"/>
    </w:rPr>
  </w:style>
  <w:style w:type="character" w:styleId="946" w:customStyle="1">
    <w:name w:val="ListLabel 54"/>
    <w:qFormat/>
    <w:rPr>
      <w:sz w:val="20"/>
    </w:rPr>
  </w:style>
  <w:style w:type="character" w:styleId="947" w:customStyle="1">
    <w:name w:val="ListLabel 55"/>
    <w:qFormat/>
    <w:rPr>
      <w:sz w:val="20"/>
    </w:rPr>
  </w:style>
  <w:style w:type="character" w:styleId="948" w:customStyle="1">
    <w:name w:val="ListLabel 56"/>
    <w:qFormat/>
    <w:rPr>
      <w:sz w:val="20"/>
    </w:rPr>
  </w:style>
  <w:style w:type="character" w:styleId="949" w:customStyle="1">
    <w:name w:val="ListLabel 57"/>
    <w:qFormat/>
    <w:rPr>
      <w:sz w:val="20"/>
    </w:rPr>
  </w:style>
  <w:style w:type="character" w:styleId="950" w:customStyle="1">
    <w:name w:val="ListLabel 58"/>
    <w:qFormat/>
    <w:rPr>
      <w:sz w:val="20"/>
    </w:rPr>
  </w:style>
  <w:style w:type="character" w:styleId="951" w:customStyle="1">
    <w:name w:val="ListLabel 59"/>
    <w:qFormat/>
    <w:rPr>
      <w:sz w:val="20"/>
    </w:rPr>
  </w:style>
  <w:style w:type="character" w:styleId="952" w:customStyle="1">
    <w:name w:val="ListLabel 60"/>
    <w:qFormat/>
    <w:rPr>
      <w:sz w:val="20"/>
    </w:rPr>
  </w:style>
  <w:style w:type="character" w:styleId="953" w:customStyle="1">
    <w:name w:val="ListLabel 61"/>
    <w:qFormat/>
    <w:rPr>
      <w:sz w:val="20"/>
    </w:rPr>
  </w:style>
  <w:style w:type="character" w:styleId="954" w:customStyle="1">
    <w:name w:val="ListLabel 62"/>
    <w:qFormat/>
    <w:rPr>
      <w:sz w:val="20"/>
    </w:rPr>
  </w:style>
  <w:style w:type="character" w:styleId="955" w:customStyle="1">
    <w:name w:val="ListLabel 63"/>
    <w:qFormat/>
    <w:rPr>
      <w:sz w:val="20"/>
    </w:rPr>
  </w:style>
  <w:style w:type="character" w:styleId="956" w:customStyle="1">
    <w:name w:val="ListLabel 64"/>
    <w:qFormat/>
    <w:rPr>
      <w:sz w:val="20"/>
    </w:rPr>
  </w:style>
  <w:style w:type="character" w:styleId="957" w:customStyle="1">
    <w:name w:val="ListLabel 65"/>
    <w:qFormat/>
    <w:rPr>
      <w:color w:val="0000FF"/>
      <w:sz w:val="22"/>
      <w:szCs w:val="22"/>
      <w:u w:val="single"/>
      <w:lang w:val="en-US"/>
    </w:rPr>
  </w:style>
  <w:style w:type="character" w:styleId="958" w:customStyle="1">
    <w:name w:val="ListLabel 66"/>
    <w:qFormat/>
    <w:rPr>
      <w:color w:val="0000FF"/>
      <w:sz w:val="22"/>
      <w:szCs w:val="22"/>
      <w:u w:val="single"/>
    </w:rPr>
  </w:style>
  <w:style w:type="character" w:styleId="959" w:customStyle="1">
    <w:name w:val="ListLabel 67"/>
    <w:qFormat/>
    <w:rPr>
      <w:sz w:val="22"/>
      <w:szCs w:val="22"/>
    </w:rPr>
  </w:style>
  <w:style w:type="character" w:styleId="960" w:customStyle="1">
    <w:name w:val="Ссылка указателя"/>
    <w:qFormat/>
  </w:style>
  <w:style w:type="character" w:styleId="961" w:customStyle="1">
    <w:name w:val="ListLabel 68"/>
    <w:qFormat/>
    <w:rPr>
      <w:b/>
      <w:sz w:val="24"/>
      <w:szCs w:val="24"/>
    </w:rPr>
  </w:style>
  <w:style w:type="character" w:styleId="962" w:customStyle="1">
    <w:name w:val="ListLabel 69"/>
    <w:qFormat/>
    <w:rPr>
      <w:color w:val="0000FF"/>
      <w:sz w:val="22"/>
      <w:szCs w:val="22"/>
      <w:u w:val="single"/>
      <w:lang w:val="en-US"/>
    </w:rPr>
  </w:style>
  <w:style w:type="character" w:styleId="963" w:customStyle="1">
    <w:name w:val="ListLabel 70"/>
    <w:qFormat/>
    <w:rPr>
      <w:color w:val="0000FF"/>
      <w:sz w:val="22"/>
      <w:szCs w:val="22"/>
      <w:u w:val="single"/>
    </w:rPr>
  </w:style>
  <w:style w:type="character" w:styleId="964" w:customStyle="1">
    <w:name w:val="ListLabel 71"/>
    <w:qFormat/>
    <w:rPr>
      <w:color w:val="0000FF"/>
      <w:sz w:val="22"/>
      <w:szCs w:val="22"/>
      <w:u w:val="single"/>
      <w:lang w:val="en-US"/>
    </w:rPr>
  </w:style>
  <w:style w:type="character" w:styleId="965" w:customStyle="1">
    <w:name w:val="ListLabel 72"/>
    <w:qFormat/>
    <w:rPr>
      <w:sz w:val="22"/>
      <w:szCs w:val="22"/>
    </w:rPr>
  </w:style>
  <w:style w:type="character" w:styleId="966" w:customStyle="1">
    <w:name w:val="ListLabel 73"/>
    <w:qFormat/>
    <w:rPr>
      <w:b/>
      <w:sz w:val="24"/>
      <w:szCs w:val="24"/>
    </w:rPr>
  </w:style>
  <w:style w:type="character" w:styleId="967" w:customStyle="1">
    <w:name w:val="ListLabel 74"/>
    <w:qFormat/>
    <w:rPr>
      <w:color w:val="0000FF"/>
      <w:sz w:val="22"/>
      <w:szCs w:val="22"/>
      <w:u w:val="single"/>
      <w:lang w:val="en-US"/>
    </w:rPr>
  </w:style>
  <w:style w:type="character" w:styleId="968" w:customStyle="1">
    <w:name w:val="ListLabel 75"/>
    <w:qFormat/>
    <w:rPr>
      <w:color w:val="0000FF"/>
      <w:sz w:val="22"/>
      <w:szCs w:val="22"/>
      <w:u w:val="single"/>
    </w:rPr>
  </w:style>
  <w:style w:type="character" w:styleId="969" w:customStyle="1">
    <w:name w:val="ListLabel 76"/>
    <w:qFormat/>
    <w:rPr>
      <w:color w:val="0000FF"/>
      <w:sz w:val="22"/>
      <w:szCs w:val="22"/>
      <w:u w:val="single"/>
      <w:lang w:val="en-US"/>
    </w:rPr>
  </w:style>
  <w:style w:type="character" w:styleId="970" w:customStyle="1">
    <w:name w:val="ListLabel 77"/>
    <w:qFormat/>
    <w:rPr>
      <w:sz w:val="22"/>
      <w:szCs w:val="22"/>
    </w:rPr>
  </w:style>
  <w:style w:type="character" w:styleId="971" w:customStyle="1">
    <w:name w:val="Текст сноски Знак"/>
    <w:basedOn w:val="682"/>
    <w:qFormat/>
    <w:rPr>
      <w:rFonts w:eastAsia="Times New Roman"/>
    </w:rPr>
  </w:style>
  <w:style w:type="character" w:styleId="972" w:customStyle="1">
    <w:name w:val="Привязка сноски"/>
    <w:qFormat/>
    <w:rPr>
      <w:vertAlign w:val="superscript"/>
    </w:rPr>
  </w:style>
  <w:style w:type="character" w:styleId="973" w:customStyle="1">
    <w:name w:val="Footnote Characters"/>
    <w:basedOn w:val="682"/>
    <w:unhideWhenUsed/>
    <w:qFormat/>
    <w:rPr>
      <w:vertAlign w:val="superscript"/>
    </w:rPr>
  </w:style>
  <w:style w:type="character" w:styleId="974" w:customStyle="1">
    <w:name w:val="Текст концевой сноски Знак"/>
    <w:basedOn w:val="682"/>
    <w:uiPriority w:val="99"/>
    <w:semiHidden/>
    <w:qFormat/>
    <w:rPr>
      <w:rFonts w:eastAsia="Times New Roman"/>
    </w:rPr>
  </w:style>
  <w:style w:type="character" w:styleId="975" w:customStyle="1">
    <w:name w:val="Привязка концевой сноски"/>
    <w:qFormat/>
    <w:rPr>
      <w:vertAlign w:val="superscript"/>
    </w:rPr>
  </w:style>
  <w:style w:type="character" w:styleId="976" w:customStyle="1">
    <w:name w:val="Endnote Characters"/>
    <w:basedOn w:val="682"/>
    <w:uiPriority w:val="99"/>
    <w:semiHidden/>
    <w:unhideWhenUsed/>
    <w:qFormat/>
    <w:rPr>
      <w:vertAlign w:val="superscript"/>
    </w:rPr>
  </w:style>
  <w:style w:type="character" w:styleId="977" w:customStyle="1">
    <w:name w:val="Основной текст 3 Знак"/>
    <w:basedOn w:val="682"/>
    <w:link w:val="978"/>
    <w:qFormat/>
    <w:rPr>
      <w:rFonts w:eastAsia="Times New Roman"/>
      <w:sz w:val="16"/>
      <w:szCs w:val="16"/>
    </w:rPr>
  </w:style>
  <w:style w:type="paragraph" w:styleId="978" w:customStyle="1">
    <w:name w:val="Основной текст3"/>
    <w:basedOn w:val="672"/>
    <w:link w:val="977"/>
    <w:qFormat/>
    <w:pPr>
      <w:jc w:val="both"/>
      <w:shd w:val="clear" w:color="auto" w:fill="ffffff"/>
      <w:widowControl w:val="off"/>
    </w:pPr>
    <w:rPr>
      <w:sz w:val="21"/>
      <w:szCs w:val="21"/>
    </w:rPr>
  </w:style>
  <w:style w:type="character" w:styleId="979" w:customStyle="1">
    <w:name w:val="ConsNormal Знак"/>
    <w:qFormat/>
    <w:rPr>
      <w:rFonts w:ascii="Arial" w:hAnsi="Arial" w:eastAsia="Times New Roman"/>
      <w:sz w:val="22"/>
      <w:szCs w:val="22"/>
    </w:rPr>
  </w:style>
  <w:style w:type="character" w:styleId="980" w:customStyle="1">
    <w:name w:val="Основной текст Знак1"/>
    <w:basedOn w:val="682"/>
    <w:uiPriority w:val="99"/>
    <w:qFormat/>
    <w:rPr>
      <w:rFonts w:eastAsia="Times New Roman"/>
      <w:sz w:val="28"/>
    </w:rPr>
  </w:style>
  <w:style w:type="character" w:styleId="981" w:customStyle="1">
    <w:name w:val="Основной текст Знак2"/>
    <w:basedOn w:val="682"/>
    <w:link w:val="859"/>
    <w:uiPriority w:val="99"/>
    <w:qFormat/>
    <w:rPr>
      <w:rFonts w:eastAsia="Times New Roman"/>
    </w:rPr>
  </w:style>
  <w:style w:type="character" w:styleId="982" w:customStyle="1">
    <w:name w:val="Основной текст с отступом Знак1"/>
    <w:basedOn w:val="682"/>
    <w:link w:val="862"/>
    <w:qFormat/>
    <w:rPr>
      <w:rFonts w:eastAsia="Times New Roman"/>
    </w:rPr>
  </w:style>
  <w:style w:type="character" w:styleId="983" w:customStyle="1">
    <w:name w:val="Заголовок Знак1"/>
    <w:basedOn w:val="682"/>
    <w:link w:val="863"/>
    <w:qFormat/>
    <w:rPr>
      <w:rFonts w:ascii="Arial" w:hAnsi="Arial" w:eastAsia="Times New Roman"/>
      <w:b/>
      <w:sz w:val="32"/>
    </w:rPr>
  </w:style>
  <w:style w:type="character" w:styleId="984" w:customStyle="1">
    <w:name w:val="Текст выноски Знак1"/>
    <w:basedOn w:val="682"/>
    <w:uiPriority w:val="99"/>
    <w:semiHidden/>
    <w:qFormat/>
    <w:rPr>
      <w:rFonts w:ascii="Tahoma" w:hAnsi="Tahoma" w:eastAsia="Times New Roman"/>
      <w:sz w:val="16"/>
      <w:szCs w:val="16"/>
    </w:rPr>
  </w:style>
  <w:style w:type="character" w:styleId="985" w:customStyle="1">
    <w:name w:val="Основной текст с отступом 3 Знак1"/>
    <w:basedOn w:val="682"/>
    <w:uiPriority w:val="99"/>
    <w:semiHidden/>
    <w:qFormat/>
    <w:rPr>
      <w:rFonts w:eastAsia="Times New Roman"/>
      <w:sz w:val="16"/>
      <w:szCs w:val="16"/>
    </w:rPr>
  </w:style>
  <w:style w:type="character" w:styleId="986" w:customStyle="1">
    <w:name w:val="Текст выноски Знак2"/>
    <w:basedOn w:val="682"/>
    <w:link w:val="849"/>
    <w:uiPriority w:val="99"/>
    <w:qFormat/>
    <w:rPr>
      <w:rFonts w:eastAsia="Times New Roman"/>
    </w:rPr>
  </w:style>
  <w:style w:type="character" w:styleId="987" w:customStyle="1">
    <w:name w:val="Основной текст 2 Знак1"/>
    <w:basedOn w:val="682"/>
    <w:uiPriority w:val="99"/>
    <w:semiHidden/>
    <w:qFormat/>
    <w:rPr>
      <w:rFonts w:eastAsia="Times New Roman"/>
    </w:rPr>
  </w:style>
  <w:style w:type="character" w:styleId="988" w:customStyle="1">
    <w:name w:val="комментарий"/>
    <w:qFormat/>
    <w:rPr>
      <w:i/>
      <w:shd w:val="clear" w:color="auto" w:fill="ffff99"/>
    </w:rPr>
  </w:style>
  <w:style w:type="character" w:styleId="989" w:customStyle="1">
    <w:name w:val="Заголовок 1 Знак3"/>
    <w:qFormat/>
    <w:rPr>
      <w:rFonts w:eastAsia="Times New Roman"/>
      <w:b/>
      <w:spacing w:val="20"/>
      <w:sz w:val="24"/>
      <w:szCs w:val="20"/>
      <w:lang w:eastAsia="ru-RU"/>
    </w:rPr>
  </w:style>
  <w:style w:type="character" w:styleId="990" w:customStyle="1">
    <w:name w:val="ListLabel 78"/>
    <w:qFormat/>
    <w:rPr>
      <w:b/>
      <w:sz w:val="24"/>
      <w:szCs w:val="24"/>
    </w:rPr>
  </w:style>
  <w:style w:type="character" w:styleId="991" w:customStyle="1">
    <w:name w:val="ListLabel 79"/>
    <w:qFormat/>
    <w:rPr>
      <w:rFonts w:cs="Courier New"/>
    </w:rPr>
  </w:style>
  <w:style w:type="character" w:styleId="992" w:customStyle="1">
    <w:name w:val="ListLabel 80"/>
    <w:qFormat/>
    <w:rPr>
      <w:rFonts w:cs="Courier New"/>
    </w:rPr>
  </w:style>
  <w:style w:type="character" w:styleId="993" w:customStyle="1">
    <w:name w:val="ListLabel 81"/>
    <w:qFormat/>
    <w:rPr>
      <w:rFonts w:cs="Courier New"/>
    </w:rPr>
  </w:style>
  <w:style w:type="character" w:styleId="994" w:customStyle="1">
    <w:name w:val="ListLabel 82"/>
    <w:qFormat/>
    <w:rPr>
      <w:rFonts w:cs="Courier New"/>
    </w:rPr>
  </w:style>
  <w:style w:type="character" w:styleId="995" w:customStyle="1">
    <w:name w:val="ListLabel 83"/>
    <w:qFormat/>
    <w:rPr>
      <w:rFonts w:cs="Courier New"/>
    </w:rPr>
  </w:style>
  <w:style w:type="character" w:styleId="996" w:customStyle="1">
    <w:name w:val="ListLabel 84"/>
    <w:qFormat/>
    <w:rPr>
      <w:rFonts w:cs="Courier New"/>
    </w:rPr>
  </w:style>
  <w:style w:type="character" w:styleId="997" w:customStyle="1">
    <w:name w:val="ListLabel 85"/>
    <w:qFormat/>
    <w:rPr>
      <w:rFonts w:cs="Courier New"/>
    </w:rPr>
  </w:style>
  <w:style w:type="character" w:styleId="998" w:customStyle="1">
    <w:name w:val="ListLabel 86"/>
    <w:qFormat/>
    <w:rPr>
      <w:rFonts w:cs="Courier New"/>
    </w:rPr>
  </w:style>
  <w:style w:type="character" w:styleId="999" w:customStyle="1">
    <w:name w:val="ListLabel 87"/>
    <w:qFormat/>
    <w:rPr>
      <w:rFonts w:cs="Courier New"/>
    </w:rPr>
  </w:style>
  <w:style w:type="character" w:styleId="1000" w:customStyle="1">
    <w:name w:val="ListLabel 88"/>
    <w:qFormat/>
    <w:rPr>
      <w:rFonts w:cs="Courier New"/>
    </w:rPr>
  </w:style>
  <w:style w:type="character" w:styleId="1001" w:customStyle="1">
    <w:name w:val="ListLabel 89"/>
    <w:qFormat/>
    <w:rPr>
      <w:rFonts w:cs="Courier New"/>
    </w:rPr>
  </w:style>
  <w:style w:type="character" w:styleId="1002" w:customStyle="1">
    <w:name w:val="ListLabel 90"/>
    <w:qFormat/>
    <w:rPr>
      <w:rFonts w:cs="Courier New"/>
    </w:rPr>
  </w:style>
  <w:style w:type="character" w:styleId="1003" w:customStyle="1">
    <w:name w:val="ListLabel 91"/>
    <w:qFormat/>
    <w:rPr>
      <w:rFonts w:cs="Courier New"/>
    </w:rPr>
  </w:style>
  <w:style w:type="character" w:styleId="1004" w:customStyle="1">
    <w:name w:val="ListLabel 92"/>
    <w:qFormat/>
    <w:rPr>
      <w:rFonts w:cs="Courier New"/>
    </w:rPr>
  </w:style>
  <w:style w:type="character" w:styleId="1005" w:customStyle="1">
    <w:name w:val="ListLabel 93"/>
    <w:qFormat/>
    <w:rPr>
      <w:rFonts w:cs="Courier New"/>
    </w:rPr>
  </w:style>
  <w:style w:type="character" w:styleId="1006" w:customStyle="1">
    <w:name w:val="ListLabel 94"/>
    <w:qFormat/>
    <w:rPr>
      <w:rFonts w:cs="Courier New"/>
    </w:rPr>
  </w:style>
  <w:style w:type="character" w:styleId="1007" w:customStyle="1">
    <w:name w:val="ListLabel 95"/>
    <w:qFormat/>
    <w:rPr>
      <w:rFonts w:cs="Courier New"/>
    </w:rPr>
  </w:style>
  <w:style w:type="character" w:styleId="1008" w:customStyle="1">
    <w:name w:val="ListLabel 96"/>
    <w:qFormat/>
    <w:rPr>
      <w:rFonts w:cs="Courier New"/>
    </w:rPr>
  </w:style>
  <w:style w:type="character" w:styleId="1009" w:customStyle="1">
    <w:name w:val="ListLabel 97"/>
    <w:qFormat/>
    <w:rPr>
      <w:rFonts w:cs="Courier New"/>
    </w:rPr>
  </w:style>
  <w:style w:type="character" w:styleId="1010" w:customStyle="1">
    <w:name w:val="ListLabel 98"/>
    <w:qFormat/>
    <w:rPr>
      <w:rFonts w:cs="Courier New"/>
    </w:rPr>
  </w:style>
  <w:style w:type="character" w:styleId="1011" w:customStyle="1">
    <w:name w:val="ListLabel 99"/>
    <w:qFormat/>
    <w:rPr>
      <w:rFonts w:cs="Courier New"/>
    </w:rPr>
  </w:style>
  <w:style w:type="character" w:styleId="1012" w:customStyle="1">
    <w:name w:val="ListLabel 100"/>
    <w:qFormat/>
  </w:style>
  <w:style w:type="character" w:styleId="1013" w:customStyle="1">
    <w:name w:val="ListLabel 101"/>
    <w:qFormat/>
    <w:rPr>
      <w:rFonts w:cs="Courier New"/>
    </w:rPr>
  </w:style>
  <w:style w:type="character" w:styleId="1014" w:customStyle="1">
    <w:name w:val="ListLabel 102"/>
    <w:qFormat/>
    <w:rPr>
      <w:rFonts w:cs="Courier New"/>
    </w:rPr>
  </w:style>
  <w:style w:type="character" w:styleId="1015" w:customStyle="1">
    <w:name w:val="ListLabel 103"/>
    <w:qFormat/>
    <w:rPr>
      <w:rFonts w:cs="Courier New"/>
    </w:rPr>
  </w:style>
  <w:style w:type="character" w:styleId="1016" w:customStyle="1">
    <w:name w:val="ListLabel 104"/>
    <w:qFormat/>
    <w:rPr>
      <w:rFonts w:cs="Courier New"/>
    </w:rPr>
  </w:style>
  <w:style w:type="character" w:styleId="1017" w:customStyle="1">
    <w:name w:val="ListLabel 105"/>
    <w:qFormat/>
    <w:rPr>
      <w:rFonts w:cs="Courier New"/>
    </w:rPr>
  </w:style>
  <w:style w:type="character" w:styleId="1018" w:customStyle="1">
    <w:name w:val="ListLabel 106"/>
    <w:qFormat/>
    <w:rPr>
      <w:rFonts w:cs="Courier New"/>
    </w:rPr>
  </w:style>
  <w:style w:type="character" w:styleId="1019" w:customStyle="1">
    <w:name w:val="ListLabel 107"/>
    <w:qFormat/>
    <w:rPr>
      <w:color w:val="0000FF"/>
      <w:sz w:val="22"/>
      <w:szCs w:val="22"/>
      <w:u w:val="single"/>
      <w:lang w:val="en-US"/>
    </w:rPr>
  </w:style>
  <w:style w:type="character" w:styleId="1020" w:customStyle="1">
    <w:name w:val="ListLabel 108"/>
    <w:qFormat/>
    <w:rPr>
      <w:color w:val="0000FF"/>
      <w:sz w:val="22"/>
      <w:szCs w:val="22"/>
      <w:u w:val="single"/>
    </w:rPr>
  </w:style>
  <w:style w:type="character" w:styleId="1021" w:customStyle="1">
    <w:name w:val="Символ сноски"/>
    <w:qFormat/>
  </w:style>
  <w:style w:type="character" w:styleId="1022" w:customStyle="1">
    <w:name w:val="ListLabel 109"/>
    <w:qFormat/>
    <w:rPr>
      <w:sz w:val="22"/>
      <w:szCs w:val="22"/>
    </w:rPr>
  </w:style>
  <w:style w:type="character" w:styleId="1023" w:customStyle="1">
    <w:name w:val="Символ концевой сноски"/>
    <w:qFormat/>
  </w:style>
  <w:style w:type="character" w:styleId="1024" w:customStyle="1">
    <w:name w:val="ListLabel 110"/>
    <w:qFormat/>
    <w:rPr>
      <w:color w:val="0000FF"/>
      <w:sz w:val="22"/>
      <w:szCs w:val="22"/>
      <w:u w:val="single"/>
      <w:lang w:val="en-US"/>
    </w:rPr>
  </w:style>
  <w:style w:type="character" w:styleId="1025" w:customStyle="1">
    <w:name w:val="ListLabel 111"/>
    <w:qFormat/>
    <w:rPr>
      <w:color w:val="0000FF"/>
      <w:sz w:val="22"/>
      <w:szCs w:val="22"/>
      <w:u w:val="single"/>
    </w:rPr>
  </w:style>
  <w:style w:type="character" w:styleId="1026" w:customStyle="1">
    <w:name w:val="ListLabel 112"/>
    <w:qFormat/>
    <w:rPr>
      <w:color w:val="0000FF"/>
      <w:sz w:val="22"/>
      <w:szCs w:val="22"/>
      <w:u w:val="single"/>
      <w:lang w:val="en-US"/>
    </w:rPr>
  </w:style>
  <w:style w:type="character" w:styleId="1027" w:customStyle="1">
    <w:name w:val="ListLabel 113"/>
    <w:qFormat/>
    <w:rPr>
      <w:color w:val="0000FF"/>
      <w:sz w:val="22"/>
      <w:szCs w:val="22"/>
      <w:u w:val="single"/>
    </w:rPr>
  </w:style>
  <w:style w:type="character" w:styleId="1028" w:customStyle="1">
    <w:name w:val="ListLabel 114"/>
    <w:qFormat/>
    <w:rPr>
      <w:sz w:val="22"/>
      <w:szCs w:val="22"/>
    </w:rPr>
  </w:style>
  <w:style w:type="character" w:styleId="1029" w:customStyle="1">
    <w:name w:val="ListLabel 115"/>
    <w:qFormat/>
    <w:rPr>
      <w:color w:val="0000FF"/>
      <w:sz w:val="22"/>
      <w:szCs w:val="22"/>
      <w:u w:val="single"/>
      <w:lang w:val="en-US"/>
    </w:rPr>
  </w:style>
  <w:style w:type="character" w:styleId="1030" w:customStyle="1">
    <w:name w:val="ListLabel 116"/>
    <w:qFormat/>
    <w:rPr>
      <w:color w:val="0000FF"/>
      <w:sz w:val="22"/>
      <w:szCs w:val="22"/>
      <w:u w:val="single"/>
    </w:rPr>
  </w:style>
  <w:style w:type="character" w:styleId="1031" w:customStyle="1">
    <w:name w:val="ListLabel 117"/>
    <w:qFormat/>
    <w:rPr>
      <w:color w:val="0000FF"/>
      <w:sz w:val="22"/>
      <w:szCs w:val="22"/>
      <w:u w:val="single"/>
      <w:lang w:val="en-US"/>
    </w:rPr>
  </w:style>
  <w:style w:type="character" w:styleId="1032" w:customStyle="1">
    <w:name w:val="ListLabel 118"/>
    <w:qFormat/>
    <w:rPr>
      <w:color w:val="0000FF"/>
      <w:sz w:val="22"/>
      <w:szCs w:val="22"/>
      <w:u w:val="single"/>
    </w:rPr>
  </w:style>
  <w:style w:type="character" w:styleId="1033" w:customStyle="1">
    <w:name w:val="ListLabel 119"/>
    <w:qFormat/>
    <w:rPr>
      <w:sz w:val="22"/>
      <w:szCs w:val="22"/>
    </w:rPr>
  </w:style>
  <w:style w:type="paragraph" w:styleId="1034" w:customStyle="1">
    <w:name w:val="Заголовок1"/>
    <w:basedOn w:val="672"/>
    <w:next w:val="859"/>
    <w:qFormat/>
    <w:pPr>
      <w:keepNext/>
      <w:spacing w:before="240" w:after="120"/>
    </w:pPr>
    <w:rPr>
      <w:rFonts w:ascii="Arial" w:hAnsi="Arial" w:cs="Arial" w:eastAsia="Microsoft YaHei"/>
      <w:sz w:val="28"/>
      <w:szCs w:val="28"/>
    </w:rPr>
  </w:style>
  <w:style w:type="paragraph" w:styleId="1035" w:customStyle="1">
    <w:name w:val="Верхний колонтитул Знак1"/>
    <w:basedOn w:val="672"/>
    <w:next w:val="859"/>
    <w:qFormat/>
    <w:pPr>
      <w:keepNext/>
      <w:spacing w:before="240" w:after="120"/>
    </w:pPr>
    <w:rPr>
      <w:rFonts w:ascii="Arial" w:hAnsi="Arial" w:cs="Arial" w:eastAsia="Microsoft YaHei"/>
      <w:sz w:val="28"/>
      <w:szCs w:val="28"/>
    </w:rPr>
  </w:style>
  <w:style w:type="paragraph" w:styleId="1036" w:customStyle="1">
    <w:name w:val="Стиль Название + Times New Roman 14 пт не полужирный Черный Меж..."/>
    <w:basedOn w:val="672"/>
    <w:qFormat/>
    <w:pPr>
      <w:spacing w:line="300" w:lineRule="exact"/>
    </w:pPr>
    <w:rPr>
      <w:b/>
      <w:color w:val="000000"/>
      <w:spacing w:val="-2"/>
      <w:sz w:val="28"/>
      <w:szCs w:val="28"/>
    </w:rPr>
  </w:style>
  <w:style w:type="paragraph" w:styleId="1037" w:customStyle="1">
    <w:name w:val="ConsPlusNormal"/>
    <w:qFormat/>
    <w:pPr>
      <w:ind w:firstLine="720"/>
      <w:widowControl w:val="off"/>
    </w:pPr>
    <w:rPr>
      <w:rFonts w:ascii="Arial" w:hAnsi="Arial" w:cs="Arial" w:eastAsia="Times New Roman"/>
    </w:rPr>
  </w:style>
  <w:style w:type="paragraph" w:styleId="1038">
    <w:name w:val="No Spacing"/>
    <w:uiPriority w:val="1"/>
    <w:qFormat/>
    <w:rPr>
      <w:rFonts w:eastAsia="Times New Roman"/>
    </w:rPr>
  </w:style>
  <w:style w:type="paragraph" w:styleId="1039" w:customStyle="1">
    <w:name w:val="Default"/>
    <w:qFormat/>
    <w:rPr>
      <w:rFonts w:eastAsia="Calibri"/>
      <w:color w:val="000000"/>
      <w:sz w:val="24"/>
      <w:szCs w:val="24"/>
    </w:rPr>
  </w:style>
  <w:style w:type="paragraph" w:styleId="1040">
    <w:name w:val="List Paragraph"/>
    <w:basedOn w:val="672"/>
    <w:link w:val="11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41" w:customStyle="1">
    <w:name w:val="ConsPlusNonformat"/>
    <w:qFormat/>
    <w:pPr>
      <w:widowControl w:val="off"/>
    </w:pPr>
    <w:rPr>
      <w:rFonts w:ascii="Courier New" w:hAnsi="Courier New" w:cs="Courier New" w:eastAsia="Times New Roman"/>
    </w:rPr>
  </w:style>
  <w:style w:type="paragraph" w:styleId="1042" w:customStyle="1">
    <w:name w:val="Абзац списка1"/>
    <w:basedOn w:val="672"/>
    <w:qFormat/>
    <w:pPr>
      <w:ind w:left="720"/>
    </w:pPr>
    <w:rPr>
      <w:lang w:eastAsia="ar-SA"/>
    </w:rPr>
  </w:style>
  <w:style w:type="paragraph" w:styleId="1043" w:customStyle="1">
    <w:name w:val="Style23"/>
    <w:basedOn w:val="672"/>
    <w:qFormat/>
    <w:pPr>
      <w:spacing w:line="264" w:lineRule="exact"/>
      <w:widowControl w:val="off"/>
    </w:pPr>
    <w:rPr>
      <w:sz w:val="24"/>
      <w:szCs w:val="24"/>
      <w:lang w:eastAsia="ar-SA"/>
    </w:rPr>
  </w:style>
  <w:style w:type="paragraph" w:styleId="1044" w:customStyle="1">
    <w:name w:val="Style21"/>
    <w:basedOn w:val="672"/>
    <w:qFormat/>
    <w:pPr>
      <w:spacing w:line="274" w:lineRule="exact"/>
      <w:widowControl w:val="off"/>
    </w:pPr>
    <w:rPr>
      <w:sz w:val="24"/>
      <w:szCs w:val="24"/>
      <w:lang w:eastAsia="ar-SA"/>
    </w:rPr>
  </w:style>
  <w:style w:type="paragraph" w:styleId="1045" w:customStyle="1">
    <w:name w:val="font5"/>
    <w:basedOn w:val="672"/>
    <w:qFormat/>
    <w:pPr>
      <w:spacing w:beforeAutospacing="1" w:afterAutospacing="1"/>
    </w:pPr>
    <w:rPr>
      <w:rFonts w:ascii="Arial" w:hAnsi="Arial" w:cs="Arial"/>
      <w:i/>
      <w:iCs/>
    </w:rPr>
  </w:style>
  <w:style w:type="paragraph" w:styleId="1046" w:customStyle="1">
    <w:name w:val="xl65"/>
    <w:basedOn w:val="672"/>
    <w:qFormat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1047" w:customStyle="1">
    <w:name w:val="xl66"/>
    <w:basedOn w:val="672"/>
    <w:qFormat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1048" w:customStyle="1">
    <w:name w:val="xl67"/>
    <w:basedOn w:val="672"/>
    <w:qFormat/>
    <w:pPr>
      <w:jc w:val="center"/>
      <w:spacing w:beforeAutospacing="1" w:afterAutospacing="1"/>
    </w:pPr>
    <w:rPr>
      <w:rFonts w:ascii="Arial" w:hAnsi="Arial" w:cs="Arial"/>
      <w:sz w:val="24"/>
      <w:szCs w:val="24"/>
    </w:rPr>
  </w:style>
  <w:style w:type="paragraph" w:styleId="1049" w:customStyle="1">
    <w:name w:val="xl68"/>
    <w:basedOn w:val="672"/>
    <w:qFormat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1050" w:customStyle="1">
    <w:name w:val="xl69"/>
    <w:basedOn w:val="672"/>
    <w:qFormat/>
    <w:pPr>
      <w:jc w:val="center"/>
      <w:spacing w:beforeAutospacing="1" w:afterAutospacing="1"/>
    </w:pPr>
    <w:rPr>
      <w:rFonts w:ascii="Arial" w:hAnsi="Arial" w:cs="Arial"/>
      <w:sz w:val="24"/>
      <w:szCs w:val="24"/>
    </w:rPr>
  </w:style>
  <w:style w:type="paragraph" w:styleId="1051" w:customStyle="1">
    <w:name w:val="xl70"/>
    <w:basedOn w:val="672"/>
    <w:qFormat/>
    <w:pPr>
      <w:jc w:val="right"/>
      <w:spacing w:beforeAutospacing="1" w:afterAutospacing="1"/>
    </w:pPr>
    <w:rPr>
      <w:rFonts w:ascii="Arial" w:hAnsi="Arial" w:cs="Arial"/>
      <w:sz w:val="24"/>
      <w:szCs w:val="24"/>
    </w:rPr>
  </w:style>
  <w:style w:type="paragraph" w:styleId="1052" w:customStyle="1">
    <w:name w:val="xl71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3" w:customStyle="1">
    <w:name w:val="xl72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4" w:customStyle="1">
    <w:name w:val="xl73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5" w:customStyle="1">
    <w:name w:val="xl74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6" w:customStyle="1">
    <w:name w:val="xl75"/>
    <w:basedOn w:val="672"/>
    <w:qFormat/>
    <w:pPr>
      <w:jc w:val="right"/>
      <w:spacing w:beforeAutospacing="1" w:afterAutospacing="1"/>
    </w:pPr>
    <w:rPr>
      <w:rFonts w:ascii="Arial" w:hAnsi="Arial" w:cs="Arial"/>
      <w:sz w:val="24"/>
      <w:szCs w:val="24"/>
    </w:rPr>
  </w:style>
  <w:style w:type="paragraph" w:styleId="1057" w:customStyle="1">
    <w:name w:val="xl76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8" w:customStyle="1">
    <w:name w:val="xl77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59" w:customStyle="1">
    <w:name w:val="xl78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0" w:customStyle="1">
    <w:name w:val="xl79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1" w:customStyle="1">
    <w:name w:val="xl80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2" w:customStyle="1">
    <w:name w:val="xl81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3" w:customStyle="1">
    <w:name w:val="xl82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4" w:customStyle="1">
    <w:name w:val="xl83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5" w:customStyle="1">
    <w:name w:val="xl84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66" w:customStyle="1">
    <w:name w:val="xl85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b/>
      <w:bCs/>
      <w:sz w:val="22"/>
      <w:szCs w:val="22"/>
    </w:rPr>
  </w:style>
  <w:style w:type="paragraph" w:styleId="1067" w:customStyle="1">
    <w:name w:val="xl86"/>
    <w:basedOn w:val="672"/>
    <w:qFormat/>
    <w:pPr>
      <w:spacing w:beforeAutospacing="1" w:afterAutospacing="1"/>
      <w:pBdr>
        <w:top w:val="single" w:color="000000" w:sz="4" w:space="0"/>
        <w:bottom w:val="single" w:color="000000" w:sz="4" w:space="0"/>
      </w:pBdr>
    </w:pPr>
    <w:rPr>
      <w:rFonts w:ascii="Arial" w:hAnsi="Arial" w:cs="Arial"/>
      <w:b/>
      <w:bCs/>
      <w:sz w:val="22"/>
      <w:szCs w:val="22"/>
    </w:rPr>
  </w:style>
  <w:style w:type="paragraph" w:styleId="1068" w:customStyle="1">
    <w:name w:val="xl87"/>
    <w:basedOn w:val="672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22"/>
      <w:szCs w:val="22"/>
    </w:rPr>
  </w:style>
  <w:style w:type="paragraph" w:styleId="1069" w:customStyle="1">
    <w:name w:val="xl88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70" w:customStyle="1">
    <w:name w:val="xl89"/>
    <w:basedOn w:val="672"/>
    <w:qFormat/>
    <w:pPr>
      <w:spacing w:beforeAutospacing="1" w:afterAutospacing="1"/>
      <w:pBdr>
        <w:top w:val="single" w:color="000000" w:sz="4" w:space="0"/>
        <w:bottom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71" w:customStyle="1">
    <w:name w:val="xl90"/>
    <w:basedOn w:val="672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4"/>
      <w:szCs w:val="24"/>
    </w:rPr>
  </w:style>
  <w:style w:type="paragraph" w:styleId="1072" w:customStyle="1">
    <w:name w:val="font6"/>
    <w:basedOn w:val="672"/>
    <w:qFormat/>
    <w:pPr>
      <w:spacing w:beforeAutospacing="1" w:afterAutospacing="1"/>
    </w:pPr>
    <w:rPr>
      <w:rFonts w:ascii="Arial" w:hAnsi="Arial" w:cs="Arial"/>
      <w:i/>
      <w:iCs/>
      <w:sz w:val="14"/>
      <w:szCs w:val="14"/>
    </w:rPr>
  </w:style>
  <w:style w:type="paragraph" w:styleId="1073" w:customStyle="1">
    <w:name w:val="font7"/>
    <w:basedOn w:val="672"/>
    <w:qFormat/>
    <w:pPr>
      <w:spacing w:beforeAutospacing="1" w:afterAutospacing="1"/>
    </w:pPr>
    <w:rPr>
      <w:rFonts w:ascii="Arial" w:hAnsi="Arial" w:cs="Arial"/>
      <w:i/>
      <w:iCs/>
      <w:sz w:val="12"/>
      <w:szCs w:val="12"/>
    </w:rPr>
  </w:style>
  <w:style w:type="paragraph" w:styleId="1074" w:customStyle="1">
    <w:name w:val="xl64"/>
    <w:basedOn w:val="672"/>
    <w:qFormat/>
    <w:pPr>
      <w:spacing w:beforeAutospacing="1" w:afterAutospacing="1"/>
    </w:pPr>
    <w:rPr>
      <w:rFonts w:ascii="Arial" w:hAnsi="Arial" w:cs="Arial"/>
      <w:sz w:val="18"/>
      <w:szCs w:val="18"/>
    </w:rPr>
  </w:style>
  <w:style w:type="paragraph" w:styleId="1075" w:customStyle="1">
    <w:name w:val="tz_txt"/>
    <w:basedOn w:val="672"/>
    <w:qFormat/>
    <w:pPr>
      <w:ind w:firstLine="709"/>
      <w:jc w:val="both"/>
      <w:spacing w:after="120"/>
    </w:pPr>
    <w:rPr>
      <w:sz w:val="24"/>
      <w:szCs w:val="24"/>
    </w:rPr>
  </w:style>
  <w:style w:type="paragraph" w:styleId="1076" w:customStyle="1">
    <w:name w:val="Содержимое таблицы"/>
    <w:basedOn w:val="672"/>
    <w:qFormat/>
    <w:pPr>
      <w:suppressLineNumbers/>
    </w:pPr>
  </w:style>
  <w:style w:type="paragraph" w:styleId="1077" w:customStyle="1">
    <w:name w:val="Заголовок таблицы"/>
    <w:basedOn w:val="1076"/>
    <w:qFormat/>
    <w:pPr>
      <w:jc w:val="center"/>
    </w:pPr>
    <w:rPr>
      <w:b/>
      <w:bCs/>
    </w:rPr>
  </w:style>
  <w:style w:type="paragraph" w:styleId="1078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sz w:val="22"/>
      <w:szCs w:val="22"/>
    </w:rPr>
  </w:style>
  <w:style w:type="paragraph" w:styleId="1079" w:customStyle="1">
    <w:name w:val="E_основной"/>
    <w:basedOn w:val="672"/>
    <w:qFormat/>
    <w:pPr>
      <w:ind w:firstLine="567"/>
      <w:jc w:val="both"/>
      <w:spacing w:after="40"/>
    </w:pPr>
    <w:rPr>
      <w:color w:val="000000"/>
      <w:sz w:val="24"/>
      <w:szCs w:val="24"/>
      <w:lang w:eastAsia="en-US"/>
    </w:rPr>
  </w:style>
  <w:style w:type="paragraph" w:styleId="1080" w:customStyle="1">
    <w:name w:val="xl91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1081" w:customStyle="1">
    <w:name w:val="xl92"/>
    <w:basedOn w:val="672"/>
    <w:qFormat/>
    <w:pPr>
      <w:jc w:val="center"/>
      <w:spacing w:beforeAutospacing="1" w:afterAutospacing="1"/>
    </w:pPr>
    <w:rPr>
      <w:rFonts w:ascii="Arial" w:hAnsi="Arial" w:cs="Arial"/>
    </w:rPr>
  </w:style>
  <w:style w:type="paragraph" w:styleId="1082" w:customStyle="1">
    <w:name w:val="xl93"/>
    <w:basedOn w:val="672"/>
    <w:qFormat/>
    <w:pPr>
      <w:jc w:val="center"/>
      <w:spacing w:beforeAutospacing="1" w:afterAutospacing="1"/>
    </w:pPr>
    <w:rPr>
      <w:rFonts w:ascii="Arial" w:hAnsi="Arial" w:cs="Arial"/>
      <w:i/>
      <w:iCs/>
    </w:rPr>
  </w:style>
  <w:style w:type="paragraph" w:styleId="1083" w:customStyle="1">
    <w:name w:val="xl94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1084" w:customStyle="1">
    <w:name w:val="xl95"/>
    <w:basedOn w:val="672"/>
    <w:qFormat/>
    <w:pPr>
      <w:jc w:val="center"/>
      <w:spacing w:beforeAutospacing="1" w:afterAutospacing="1"/>
    </w:pPr>
    <w:rPr>
      <w:rFonts w:ascii="Arial" w:hAnsi="Arial" w:cs="Arial"/>
      <w:sz w:val="18"/>
      <w:szCs w:val="18"/>
    </w:rPr>
  </w:style>
  <w:style w:type="paragraph" w:styleId="1085" w:customStyle="1">
    <w:name w:val="xl96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18"/>
      <w:szCs w:val="18"/>
    </w:rPr>
  </w:style>
  <w:style w:type="paragraph" w:styleId="1086" w:customStyle="1">
    <w:name w:val="xl97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1087" w:customStyle="1">
    <w:name w:val="xl98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6"/>
      <w:szCs w:val="16"/>
    </w:rPr>
  </w:style>
  <w:style w:type="paragraph" w:styleId="1088" w:customStyle="1">
    <w:name w:val="xl99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4"/>
      <w:szCs w:val="14"/>
    </w:rPr>
  </w:style>
  <w:style w:type="paragraph" w:styleId="1089" w:customStyle="1">
    <w:name w:val="xl100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4"/>
      <w:szCs w:val="14"/>
    </w:rPr>
  </w:style>
  <w:style w:type="paragraph" w:styleId="1090" w:customStyle="1">
    <w:name w:val="xl101"/>
    <w:basedOn w:val="67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14"/>
      <w:szCs w:val="14"/>
    </w:rPr>
  </w:style>
  <w:style w:type="paragraph" w:styleId="1091" w:customStyle="1">
    <w:name w:val="xl102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1092" w:customStyle="1">
    <w:name w:val="xl103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104"/>
    <w:basedOn w:val="672"/>
    <w:qFormat/>
    <w:pPr>
      <w:jc w:val="right"/>
      <w:spacing w:beforeAutospacing="1" w:afterAutospacing="1"/>
    </w:pPr>
    <w:rPr>
      <w:rFonts w:ascii="Arial" w:hAnsi="Arial" w:cs="Arial"/>
    </w:rPr>
  </w:style>
  <w:style w:type="paragraph" w:styleId="1094" w:customStyle="1">
    <w:name w:val="xl105"/>
    <w:basedOn w:val="672"/>
    <w:qFormat/>
    <w:pPr>
      <w:jc w:val="right"/>
      <w:spacing w:beforeAutospacing="1" w:afterAutospacing="1"/>
    </w:pPr>
    <w:rPr>
      <w:sz w:val="24"/>
      <w:szCs w:val="24"/>
    </w:rPr>
  </w:style>
  <w:style w:type="paragraph" w:styleId="1095" w:customStyle="1">
    <w:name w:val="xl106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096" w:customStyle="1">
    <w:name w:val="xl107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18"/>
      <w:szCs w:val="18"/>
    </w:rPr>
  </w:style>
  <w:style w:type="paragraph" w:styleId="1097" w:customStyle="1">
    <w:name w:val="xl108"/>
    <w:basedOn w:val="67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8" w:customStyle="1">
    <w:name w:val="xl109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1099" w:customStyle="1">
    <w:name w:val="xl110"/>
    <w:basedOn w:val="67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00" w:customStyle="1">
    <w:name w:val="ConsNonformat"/>
    <w:qFormat/>
    <w:pPr>
      <w:ind w:right="19772"/>
      <w:widowControl w:val="off"/>
    </w:pPr>
    <w:rPr>
      <w:rFonts w:ascii="Courier New" w:hAnsi="Courier New" w:cs="Courier New" w:eastAsia="Times New Roman"/>
      <w:sz w:val="22"/>
      <w:szCs w:val="22"/>
    </w:rPr>
  </w:style>
  <w:style w:type="table" w:styleId="1101" w:customStyle="1">
    <w:name w:val="Сетка таблицы светлая1"/>
    <w:basedOn w:val="683"/>
    <w:uiPriority w:val="40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character" w:styleId="1102" w:customStyle="1">
    <w:name w:val="Текст примечания Знак"/>
    <w:basedOn w:val="682"/>
    <w:link w:val="854"/>
    <w:uiPriority w:val="99"/>
    <w:semiHidden/>
    <w:qFormat/>
    <w:rPr>
      <w:rFonts w:eastAsia="Times New Roman"/>
    </w:rPr>
  </w:style>
  <w:style w:type="character" w:styleId="1103" w:customStyle="1">
    <w:name w:val="Тема примечания Знак"/>
    <w:basedOn w:val="1102"/>
    <w:link w:val="856"/>
    <w:uiPriority w:val="99"/>
    <w:semiHidden/>
    <w:qFormat/>
    <w:rPr>
      <w:rFonts w:eastAsia="Times New Roman"/>
      <w:b/>
      <w:bCs/>
    </w:rPr>
  </w:style>
  <w:style w:type="paragraph" w:styleId="1104" w:customStyle="1">
    <w:name w:val="Рецензия1"/>
    <w:hidden/>
    <w:uiPriority w:val="99"/>
    <w:semiHidden/>
    <w:qFormat/>
    <w:rPr>
      <w:rFonts w:eastAsia="Times New Roman"/>
    </w:rPr>
  </w:style>
  <w:style w:type="character" w:styleId="1105" w:customStyle="1">
    <w:name w:val="Заголовок 3 Знак"/>
    <w:qFormat/>
    <w:rPr>
      <w:b/>
      <w:sz w:val="18"/>
      <w:lang w:val="ru-RU" w:eastAsia="ru-RU"/>
    </w:rPr>
  </w:style>
  <w:style w:type="table" w:styleId="1106" w:customStyle="1">
    <w:name w:val="Сетка таблицы1"/>
    <w:basedOn w:val="683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7" w:customStyle="1">
    <w:name w:val="Сетка таблицы3"/>
    <w:basedOn w:val="683"/>
    <w:uiPriority w:val="3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8" w:customStyle="1">
    <w:name w:val="Style1"/>
    <w:basedOn w:val="672"/>
    <w:qFormat/>
    <w:pPr>
      <w:jc w:val="center"/>
      <w:spacing w:before="480" w:after="240"/>
    </w:pPr>
    <w:rPr>
      <w:rFonts w:ascii="Arial" w:hAnsi="Arial"/>
      <w:b/>
      <w:sz w:val="24"/>
      <w:szCs w:val="24"/>
    </w:rPr>
  </w:style>
  <w:style w:type="paragraph" w:styleId="1109" w:customStyle="1">
    <w:name w:val="Обычный (Web)"/>
    <w:basedOn w:val="672"/>
    <w:qFormat/>
    <w:pPr>
      <w:spacing w:before="100" w:after="100"/>
    </w:pPr>
    <w:rPr>
      <w:rFonts w:ascii="Arial" w:hAnsi="Arial"/>
      <w:sz w:val="16"/>
      <w:szCs w:val="24"/>
    </w:rPr>
  </w:style>
  <w:style w:type="character" w:styleId="1110" w:customStyle="1">
    <w:name w:val="Заголовок 3 Знак1"/>
    <w:basedOn w:val="682"/>
    <w:link w:val="675"/>
    <w:uiPriority w:val="9"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1111" w:customStyle="1">
    <w:name w:val="Обычный1"/>
    <w:link w:val="1115"/>
    <w:uiPriority w:val="99"/>
    <w:qFormat/>
    <w:pPr>
      <w:ind w:firstLine="720"/>
      <w:jc w:val="both"/>
    </w:pPr>
    <w:rPr>
      <w:rFonts w:eastAsia="Times New Roman"/>
      <w:sz w:val="28"/>
    </w:rPr>
  </w:style>
  <w:style w:type="character" w:styleId="1112" w:customStyle="1">
    <w:name w:val="Заголовок 4 Знак"/>
    <w:basedOn w:val="682"/>
    <w:link w:val="676"/>
    <w:uiPriority w:val="9"/>
    <w:semiHidden/>
    <w:qFormat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113" w:customStyle="1">
    <w:name w:val="Абзац"/>
    <w:basedOn w:val="672"/>
    <w:link w:val="1114"/>
    <w:qFormat/>
    <w:pPr>
      <w:ind w:firstLine="567"/>
      <w:jc w:val="both"/>
      <w:spacing w:before="120" w:after="60"/>
    </w:pPr>
    <w:rPr>
      <w:sz w:val="24"/>
      <w:szCs w:val="24"/>
    </w:rPr>
  </w:style>
  <w:style w:type="character" w:styleId="1114" w:customStyle="1">
    <w:name w:val="Абзац Знак"/>
    <w:link w:val="1113"/>
    <w:uiPriority w:val="99"/>
    <w:qFormat/>
    <w:rPr>
      <w:rFonts w:eastAsia="Times New Roman"/>
      <w:sz w:val="24"/>
      <w:szCs w:val="24"/>
    </w:rPr>
  </w:style>
  <w:style w:type="character" w:styleId="1115" w:customStyle="1">
    <w:name w:val="Normal Знак"/>
    <w:link w:val="1111"/>
    <w:uiPriority w:val="99"/>
    <w:qFormat/>
    <w:rPr>
      <w:rFonts w:eastAsia="Times New Roman"/>
      <w:sz w:val="28"/>
    </w:rPr>
  </w:style>
  <w:style w:type="paragraph" w:styleId="1116" w:customStyle="1">
    <w:name w:val="Таблица шапка"/>
    <w:basedOn w:val="672"/>
    <w:qFormat/>
    <w:pPr>
      <w:ind w:left="57" w:right="57"/>
      <w:keepNext/>
      <w:spacing w:before="40" w:after="40"/>
    </w:pPr>
    <w:rPr>
      <w:sz w:val="18"/>
      <w:szCs w:val="18"/>
    </w:rPr>
  </w:style>
  <w:style w:type="paragraph" w:styleId="1117" w:customStyle="1">
    <w:name w:val="Таблица текст"/>
    <w:basedOn w:val="672"/>
    <w:qFormat/>
    <w:pPr>
      <w:ind w:left="57" w:right="57"/>
      <w:spacing w:before="40" w:after="40"/>
    </w:pPr>
    <w:rPr>
      <w:sz w:val="24"/>
    </w:rPr>
  </w:style>
  <w:style w:type="paragraph" w:styleId="1118" w:customStyle="1">
    <w:name w:val="САГ_Абзац"/>
    <w:basedOn w:val="672"/>
    <w:qFormat/>
    <w:pPr>
      <w:ind w:firstLine="567"/>
      <w:jc w:val="both"/>
      <w:tabs>
        <w:tab w:val="left" w:pos="0" w:leader="none"/>
      </w:tabs>
    </w:pPr>
    <w:rPr>
      <w:sz w:val="24"/>
      <w:szCs w:val="24"/>
    </w:rPr>
  </w:style>
  <w:style w:type="character" w:styleId="1119" w:customStyle="1">
    <w:name w:val="Font Style37"/>
    <w:qFormat/>
    <w:rPr>
      <w:rFonts w:ascii="Times New Roman" w:hAnsi="Times New Roman" w:cs="Times New Roman"/>
      <w:sz w:val="20"/>
      <w:szCs w:val="20"/>
    </w:rPr>
  </w:style>
  <w:style w:type="paragraph" w:styleId="1120" w:customStyle="1">
    <w:name w:val="Style5"/>
    <w:basedOn w:val="672"/>
    <w:qFormat/>
    <w:pPr>
      <w:widowControl w:val="off"/>
    </w:pPr>
    <w:rPr>
      <w:sz w:val="24"/>
      <w:szCs w:val="24"/>
    </w:rPr>
  </w:style>
  <w:style w:type="character" w:styleId="1121" w:customStyle="1">
    <w:name w:val="Font Style67"/>
    <w:qFormat/>
    <w:rPr>
      <w:rFonts w:ascii="Times New Roman" w:hAnsi="Times New Roman" w:cs="Times New Roman"/>
      <w:sz w:val="20"/>
      <w:szCs w:val="20"/>
    </w:rPr>
  </w:style>
  <w:style w:type="paragraph" w:styleId="1122" w:customStyle="1">
    <w:name w:val="Standard"/>
    <w:qFormat/>
    <w:rPr>
      <w:rFonts w:eastAsia="Times New Roman"/>
      <w:sz w:val="24"/>
      <w:szCs w:val="24"/>
    </w:rPr>
  </w:style>
  <w:style w:type="paragraph" w:styleId="1123" w:customStyle="1">
    <w:name w:val="Heading"/>
    <w:basedOn w:val="672"/>
    <w:next w:val="672"/>
    <w:qFormat/>
    <w:pPr>
      <w:widowControl w:val="off"/>
    </w:pPr>
    <w:rPr>
      <w:rFonts w:ascii="Calibri Light" w:hAnsi="Calibri Light"/>
      <w:spacing w:val="-10"/>
      <w:sz w:val="56"/>
      <w:szCs w:val="56"/>
      <w:lang w:eastAsia="en-US"/>
    </w:rPr>
  </w:style>
  <w:style w:type="paragraph" w:styleId="1124" w:customStyle="1">
    <w:name w:val="Text body"/>
    <w:basedOn w:val="1122"/>
    <w:qFormat/>
    <w:pPr>
      <w:spacing w:after="120"/>
    </w:pPr>
  </w:style>
  <w:style w:type="paragraph" w:styleId="1125" w:customStyle="1">
    <w:name w:val="Index"/>
    <w:basedOn w:val="1122"/>
    <w:qFormat/>
    <w:pPr>
      <w:suppressLineNumbers/>
    </w:pPr>
    <w:rPr>
      <w:rFonts w:cs="Mangal"/>
    </w:rPr>
  </w:style>
  <w:style w:type="paragraph" w:styleId="1126" w:customStyle="1">
    <w:name w:val="Название1"/>
    <w:basedOn w:val="1122"/>
    <w:qFormat/>
    <w:pPr>
      <w:jc w:val="center"/>
    </w:pPr>
    <w:rPr>
      <w:b/>
      <w:bCs/>
      <w:lang w:eastAsia="en-US"/>
    </w:rPr>
  </w:style>
  <w:style w:type="paragraph" w:styleId="1127" w:customStyle="1">
    <w:name w:val="Text body indent"/>
    <w:basedOn w:val="1122"/>
    <w:qFormat/>
    <w:pPr>
      <w:ind w:left="283" w:firstLine="708"/>
      <w:jc w:val="both"/>
    </w:pPr>
  </w:style>
  <w:style w:type="paragraph" w:styleId="1128" w:customStyle="1">
    <w:name w:val="Обычный + по ширине"/>
    <w:basedOn w:val="1122"/>
    <w:qFormat/>
    <w:pPr>
      <w:jc w:val="both"/>
    </w:pPr>
  </w:style>
  <w:style w:type="paragraph" w:styleId="1129" w:customStyle="1">
    <w:name w:val="ConsPlusTitle"/>
    <w:qFormat/>
    <w:pPr>
      <w:widowControl w:val="off"/>
    </w:pPr>
    <w:rPr>
      <w:rFonts w:ascii="Arial" w:hAnsi="Arial" w:cs="Arial" w:eastAsia="Times New Roman"/>
      <w:b/>
      <w:bCs/>
    </w:rPr>
  </w:style>
  <w:style w:type="paragraph" w:styleId="1130" w:customStyle="1">
    <w:name w:val="VL_Основной текст"/>
    <w:basedOn w:val="1122"/>
    <w:qFormat/>
    <w:pPr>
      <w:jc w:val="both"/>
      <w:spacing w:before="240" w:after="200"/>
    </w:pPr>
    <w:rPr>
      <w:rFonts w:cs="Calibri"/>
      <w:color w:val="141618"/>
      <w:sz w:val="22"/>
      <w:szCs w:val="22"/>
      <w:lang w:eastAsia="en-US"/>
    </w:rPr>
  </w:style>
  <w:style w:type="paragraph" w:styleId="1131" w:customStyle="1">
    <w:name w:val="Table Contents"/>
    <w:basedOn w:val="1122"/>
    <w:qFormat/>
    <w:pPr>
      <w:suppressLineNumbers/>
    </w:pPr>
  </w:style>
  <w:style w:type="paragraph" w:styleId="1132" w:customStyle="1">
    <w:name w:val="Table Heading"/>
    <w:basedOn w:val="1131"/>
    <w:qFormat/>
    <w:pPr>
      <w:jc w:val="center"/>
    </w:pPr>
    <w:rPr>
      <w:b/>
      <w:bCs/>
    </w:rPr>
  </w:style>
  <w:style w:type="paragraph" w:styleId="1133" w:customStyle="1">
    <w:name w:val="Header and Footer"/>
    <w:basedOn w:val="1122"/>
    <w:qFormat/>
    <w:pPr>
      <w:tabs>
        <w:tab w:val="center" w:pos="4819" w:leader="none"/>
        <w:tab w:val="right" w:pos="9638" w:leader="none"/>
      </w:tabs>
      <w:suppressLineNumbers/>
    </w:pPr>
  </w:style>
  <w:style w:type="character" w:styleId="1134" w:customStyle="1">
    <w:name w:val="Текст сноски Знак1"/>
    <w:basedOn w:val="682"/>
    <w:qFormat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1135" w:customStyle="1">
    <w:name w:val="VL_Основной текст Знак"/>
    <w:qFormat/>
    <w:rPr>
      <w:rFonts w:ascii="Times New Roman" w:hAnsi="Times New Roman" w:cs="Times New Roman" w:eastAsia="Times New Roman"/>
      <w:color w:val="141618"/>
    </w:rPr>
  </w:style>
  <w:style w:type="character" w:styleId="1136" w:customStyle="1">
    <w:name w:val="Numbering Symbols"/>
    <w:qFormat/>
  </w:style>
  <w:style w:type="character" w:styleId="1137" w:customStyle="1">
    <w:name w:val="Internet link"/>
    <w:qFormat/>
    <w:rPr>
      <w:color w:val="000080"/>
      <w:u w:val="single"/>
    </w:rPr>
  </w:style>
  <w:style w:type="character" w:styleId="1138" w:customStyle="1">
    <w:name w:val="Заголовок Знак"/>
    <w:basedOn w:val="682"/>
    <w:qFormat/>
    <w:rPr>
      <w:rFonts w:ascii="Calibri Light" w:hAnsi="Calibri Light" w:cs="Times New Roman" w:eastAsia="Times New Roman"/>
      <w:spacing w:val="-10"/>
      <w:sz w:val="56"/>
      <w:szCs w:val="56"/>
    </w:rPr>
  </w:style>
  <w:style w:type="character" w:styleId="1139" w:customStyle="1">
    <w:name w:val="Footnote anchor"/>
    <w:qFormat/>
    <w:rPr>
      <w:position w:val="0"/>
      <w:vertAlign w:val="superscript"/>
    </w:rPr>
  </w:style>
  <w:style w:type="character" w:styleId="1140" w:customStyle="1">
    <w:name w:val="Footnote Symbol"/>
    <w:qFormat/>
  </w:style>
  <w:style w:type="character" w:styleId="1141" w:customStyle="1">
    <w:name w:val="Заголовок 2 Знак"/>
    <w:link w:val="674"/>
    <w:uiPriority w:val="9"/>
    <w:qFormat/>
    <w:rPr>
      <w:rFonts w:ascii="Cambria" w:hAnsi="Cambria" w:eastAsia="Times New Roman"/>
      <w:b/>
      <w:bCs/>
      <w:i/>
      <w:iCs/>
      <w:sz w:val="28"/>
      <w:szCs w:val="28"/>
    </w:rPr>
  </w:style>
  <w:style w:type="paragraph" w:styleId="1142" w:customStyle="1">
    <w:name w:val="текст сноски"/>
    <w:basedOn w:val="672"/>
    <w:qFormat/>
    <w:pPr>
      <w:widowControl w:val="off"/>
    </w:pPr>
    <w:rPr>
      <w:rFonts w:ascii="Gelvetsky 12pt" w:hAnsi="Gelvetsky 12pt"/>
      <w:sz w:val="24"/>
      <w:szCs w:val="24"/>
      <w:lang w:val="en-US"/>
    </w:rPr>
  </w:style>
  <w:style w:type="character" w:styleId="1143" w:customStyle="1">
    <w:name w:val="Абзац списка Знак"/>
    <w:link w:val="1040"/>
    <w:qFormat/>
    <w:rPr>
      <w:rFonts w:ascii="Calibri" w:hAnsi="Calibri"/>
      <w:sz w:val="22"/>
      <w:szCs w:val="22"/>
      <w:lang w:eastAsia="en-US"/>
    </w:rPr>
  </w:style>
  <w:style w:type="paragraph" w:styleId="1144" w:customStyle="1">
    <w:name w:val="western"/>
    <w:basedOn w:val="672"/>
    <w:qFormat/>
    <w:pPr>
      <w:spacing w:before="100" w:beforeAutospacing="1" w:after="100" w:afterAutospacing="1"/>
    </w:pPr>
    <w:rPr>
      <w:sz w:val="24"/>
      <w:szCs w:val="24"/>
    </w:rPr>
  </w:style>
  <w:style w:type="paragraph" w:styleId="1145" w:customStyle="1">
    <w:name w:val="Нормальный (таблица)"/>
    <w:basedOn w:val="672"/>
    <w:next w:val="672"/>
    <w:uiPriority w:val="99"/>
    <w:qFormat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1146" w:customStyle="1">
    <w:name w:val="Прижатый влево"/>
    <w:basedOn w:val="672"/>
    <w:next w:val="672"/>
    <w:uiPriority w:val="99"/>
    <w:qFormat/>
    <w:pPr>
      <w:widowControl w:val="off"/>
    </w:pPr>
    <w:rPr>
      <w:rFonts w:ascii="Arial" w:hAnsi="Arial" w:cs="Arial"/>
      <w:sz w:val="24"/>
      <w:szCs w:val="24"/>
    </w:rPr>
  </w:style>
  <w:style w:type="character" w:styleId="1147" w:customStyle="1">
    <w:name w:val="Гипертекстовая ссылка"/>
    <w:uiPriority w:val="99"/>
    <w:qFormat/>
    <w:rPr>
      <w:color w:val="106BBE"/>
    </w:rPr>
  </w:style>
  <w:style w:type="paragraph" w:styleId="1148" w:customStyle="1">
    <w:name w:val="s_1"/>
    <w:basedOn w:val="672"/>
    <w:qFormat/>
    <w:pPr>
      <w:spacing w:before="100" w:beforeAutospacing="1" w:after="100" w:afterAutospacing="1"/>
    </w:pPr>
    <w:rPr>
      <w:sz w:val="24"/>
      <w:szCs w:val="24"/>
    </w:rPr>
  </w:style>
  <w:style w:type="paragraph" w:styleId="1149" w:customStyle="1">
    <w:name w:val="s_22"/>
    <w:basedOn w:val="672"/>
    <w:qFormat/>
    <w:pPr>
      <w:spacing w:before="100" w:beforeAutospacing="1" w:after="100" w:afterAutospacing="1"/>
    </w:pPr>
    <w:rPr>
      <w:sz w:val="24"/>
      <w:szCs w:val="24"/>
    </w:rPr>
  </w:style>
  <w:style w:type="character" w:styleId="1150" w:customStyle="1">
    <w:name w:val="blk"/>
    <w:qFormat/>
  </w:style>
  <w:style w:type="paragraph" w:styleId="1151" w:customStyle="1">
    <w:name w:val="msonormal"/>
    <w:basedOn w:val="672"/>
    <w:qFormat/>
    <w:pPr>
      <w:spacing w:before="100" w:beforeAutospacing="1" w:after="100" w:afterAutospacing="1"/>
    </w:pPr>
    <w:rPr>
      <w:sz w:val="24"/>
      <w:szCs w:val="24"/>
    </w:rPr>
  </w:style>
  <w:style w:type="paragraph" w:styleId="1152" w:customStyle="1">
    <w:name w:val="font8"/>
    <w:basedOn w:val="672"/>
    <w:qFormat/>
    <w:pPr>
      <w:spacing w:before="100" w:beforeAutospacing="1" w:after="100" w:afterAutospacing="1"/>
    </w:pPr>
    <w:rPr>
      <w:i/>
      <w:iCs/>
      <w:color w:val="000000"/>
    </w:rPr>
  </w:style>
  <w:style w:type="paragraph" w:styleId="1153" w:customStyle="1">
    <w:name w:val="font9"/>
    <w:basedOn w:val="672"/>
    <w:qFormat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styleId="1154" w:customStyle="1">
    <w:name w:val="font10"/>
    <w:basedOn w:val="672"/>
    <w:qFormat/>
    <w:pPr>
      <w:spacing w:before="100" w:beforeAutospacing="1" w:after="100" w:afterAutospacing="1"/>
    </w:pPr>
    <w:rPr>
      <w:color w:val="000000"/>
      <w:sz w:val="16"/>
      <w:szCs w:val="16"/>
    </w:rPr>
  </w:style>
  <w:style w:type="paragraph" w:styleId="1155" w:customStyle="1">
    <w:name w:val="font11"/>
    <w:basedOn w:val="672"/>
    <w:qFormat/>
    <w:pPr>
      <w:spacing w:before="100" w:beforeAutospacing="1" w:after="100" w:afterAutospacing="1"/>
    </w:pPr>
    <w:rPr>
      <w:i/>
      <w:iCs/>
      <w:color w:val="000000"/>
    </w:rPr>
  </w:style>
  <w:style w:type="paragraph" w:styleId="1156" w:customStyle="1">
    <w:name w:val="xl111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FFFFFF" w:sz="4" w:space="0"/>
      </w:pBdr>
    </w:pPr>
    <w:rPr>
      <w:b/>
      <w:bCs/>
      <w:color w:val="000000"/>
    </w:rPr>
  </w:style>
  <w:style w:type="paragraph" w:styleId="1157" w:customStyle="1">
    <w:name w:val="xl112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FFFFFF" w:sz="4" w:space="0"/>
      </w:pBdr>
    </w:pPr>
    <w:rPr>
      <w:b/>
      <w:bCs/>
      <w:color w:val="000000"/>
    </w:rPr>
  </w:style>
  <w:style w:type="paragraph" w:styleId="1158" w:customStyle="1">
    <w:name w:val="xl113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FFFFFF" w:sz="4" w:space="0"/>
        <w:right w:val="single" w:color="auto" w:sz="4" w:space="0"/>
      </w:pBdr>
    </w:pPr>
    <w:rPr>
      <w:b/>
      <w:bCs/>
      <w:color w:val="000000"/>
    </w:rPr>
  </w:style>
  <w:style w:type="paragraph" w:styleId="1159" w:customStyle="1">
    <w:name w:val="xl114"/>
    <w:basedOn w:val="672"/>
    <w:qFormat/>
    <w:pPr>
      <w:jc w:val="center"/>
      <w:spacing w:before="100" w:beforeAutospacing="1" w:after="100" w:afterAutospacing="1"/>
      <w:pBdr>
        <w:top w:val="single" w:color="FFFFFF" w:sz="4" w:space="0"/>
        <w:left w:val="single" w:color="auto" w:sz="4" w:space="0"/>
        <w:bottom w:val="single" w:color="auto" w:sz="4" w:space="0"/>
      </w:pBdr>
    </w:pPr>
    <w:rPr>
      <w:color w:val="000000"/>
    </w:rPr>
  </w:style>
  <w:style w:type="paragraph" w:styleId="1160" w:customStyle="1">
    <w:name w:val="xl115"/>
    <w:basedOn w:val="672"/>
    <w:qFormat/>
    <w:pPr>
      <w:jc w:val="center"/>
      <w:spacing w:before="100" w:beforeAutospacing="1" w:after="100" w:afterAutospacing="1"/>
      <w:pBdr>
        <w:top w:val="single" w:color="FFFFFF" w:sz="4" w:space="0"/>
        <w:bottom w:val="single" w:color="auto" w:sz="4" w:space="0"/>
      </w:pBdr>
    </w:pPr>
    <w:rPr>
      <w:color w:val="000000"/>
    </w:rPr>
  </w:style>
  <w:style w:type="paragraph" w:styleId="1161" w:customStyle="1">
    <w:name w:val="xl116"/>
    <w:basedOn w:val="672"/>
    <w:qFormat/>
    <w:pPr>
      <w:jc w:val="center"/>
      <w:spacing w:before="100" w:beforeAutospacing="1" w:after="100" w:afterAutospacing="1"/>
      <w:pBdr>
        <w:top w:val="single" w:color="FFFFFF" w:sz="4" w:space="0"/>
        <w:bottom w:val="single" w:color="auto" w:sz="4" w:space="0"/>
        <w:right w:val="single" w:color="auto" w:sz="4" w:space="0"/>
      </w:pBdr>
    </w:pPr>
    <w:rPr>
      <w:color w:val="000000"/>
    </w:rPr>
  </w:style>
  <w:style w:type="paragraph" w:styleId="1162" w:customStyle="1">
    <w:name w:val="xl117"/>
    <w:basedOn w:val="672"/>
    <w:qFormat/>
    <w:pPr>
      <w:spacing w:before="100" w:beforeAutospacing="1" w:after="100" w:afterAutospacing="1"/>
      <w:pBdr>
        <w:top w:val="single" w:color="FFFFFF" w:sz="4" w:space="0"/>
        <w:bottom w:val="single" w:color="FFFFFF" w:sz="4" w:space="0"/>
      </w:pBdr>
    </w:pPr>
    <w:rPr>
      <w:b/>
      <w:bCs/>
      <w:color w:val="000000"/>
      <w:sz w:val="24"/>
      <w:szCs w:val="24"/>
    </w:rPr>
  </w:style>
  <w:style w:type="paragraph" w:styleId="1163" w:customStyle="1">
    <w:name w:val="xl118"/>
    <w:basedOn w:val="672"/>
    <w:qFormat/>
    <w:pPr>
      <w:spacing w:before="100" w:beforeAutospacing="1" w:after="100" w:afterAutospacing="1"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000000"/>
      <w:sz w:val="24"/>
      <w:szCs w:val="24"/>
    </w:rPr>
  </w:style>
  <w:style w:type="paragraph" w:styleId="1164" w:customStyle="1">
    <w:name w:val="xl119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  <w:color w:val="000000"/>
    </w:rPr>
  </w:style>
  <w:style w:type="paragraph" w:styleId="1165" w:customStyle="1">
    <w:name w:val="xl120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  <w:color w:val="000000"/>
    </w:rPr>
  </w:style>
  <w:style w:type="paragraph" w:styleId="1166" w:customStyle="1">
    <w:name w:val="xl121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  <w:color w:val="000000"/>
    </w:rPr>
  </w:style>
  <w:style w:type="paragraph" w:styleId="1167" w:customStyle="1">
    <w:name w:val="xl122"/>
    <w:basedOn w:val="672"/>
    <w:qFormat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b/>
      <w:bCs/>
      <w:color w:val="000000"/>
    </w:rPr>
  </w:style>
  <w:style w:type="paragraph" w:styleId="1168" w:customStyle="1">
    <w:name w:val="xl123"/>
    <w:basedOn w:val="672"/>
    <w:qFormat/>
    <w:pPr>
      <w:spacing w:before="100" w:beforeAutospacing="1" w:after="100" w:afterAutospacing="1"/>
      <w:pBdr>
        <w:top w:val="single" w:color="FFFFFF" w:sz="4" w:space="0"/>
      </w:pBdr>
    </w:pPr>
    <w:rPr>
      <w:color w:val="000000"/>
    </w:rPr>
  </w:style>
  <w:style w:type="paragraph" w:styleId="1169" w:customStyle="1">
    <w:name w:val="xl124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</w:rPr>
  </w:style>
  <w:style w:type="paragraph" w:styleId="1170" w:customStyle="1">
    <w:name w:val="xl125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</w:rPr>
  </w:style>
  <w:style w:type="paragraph" w:styleId="1171" w:customStyle="1">
    <w:name w:val="xl126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1172" w:customStyle="1">
    <w:name w:val="xl127"/>
    <w:basedOn w:val="672"/>
    <w:qFormat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1173" w:customStyle="1">
    <w:name w:val="xl128"/>
    <w:basedOn w:val="672"/>
    <w:qFormat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</w:rPr>
  </w:style>
  <w:style w:type="paragraph" w:styleId="1174" w:customStyle="1">
    <w:name w:val="xl129"/>
    <w:basedOn w:val="672"/>
    <w:qFormat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1175" w:customStyle="1">
    <w:name w:val="xl130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</w:rPr>
  </w:style>
  <w:style w:type="paragraph" w:styleId="1176" w:customStyle="1">
    <w:name w:val="xl131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1177" w:customStyle="1">
    <w:name w:val="xl132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</w:rPr>
  </w:style>
  <w:style w:type="paragraph" w:styleId="1178" w:customStyle="1">
    <w:name w:val="xl133"/>
    <w:basedOn w:val="672"/>
    <w:qFormat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1179" w:customStyle="1">
    <w:name w:val="formattext"/>
    <w:basedOn w:val="672"/>
    <w:qFormat/>
    <w:pPr>
      <w:spacing w:before="100" w:beforeAutospacing="1" w:after="100" w:afterAutospacing="1"/>
    </w:pPr>
    <w:rPr>
      <w:sz w:val="24"/>
      <w:szCs w:val="24"/>
    </w:rPr>
  </w:style>
  <w:style w:type="paragraph" w:styleId="1180" w:customStyle="1">
    <w:name w:val="headertext"/>
    <w:basedOn w:val="672"/>
    <w:qFormat/>
    <w:pPr>
      <w:spacing w:before="100" w:beforeAutospacing="1" w:after="100" w:afterAutospacing="1"/>
    </w:pPr>
    <w:rPr>
      <w:sz w:val="24"/>
      <w:szCs w:val="24"/>
    </w:rPr>
  </w:style>
  <w:style w:type="table" w:styleId="1181" w:customStyle="1">
    <w:name w:val="Сетка таблицы2"/>
    <w:basedOn w:val="683"/>
    <w:uiPriority w:val="59"/>
    <w:qFormat/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82" w:customStyle="1">
    <w:name w:val="Основной текст с отступом 23"/>
    <w:basedOn w:val="672"/>
    <w:qFormat/>
    <w:pPr>
      <w:ind w:left="283"/>
      <w:spacing w:after="120" w:line="480" w:lineRule="auto"/>
    </w:pPr>
    <w:rPr>
      <w:lang w:eastAsia="ar-SA"/>
    </w:rPr>
  </w:style>
  <w:style w:type="paragraph" w:styleId="1183" w:customStyle="1">
    <w:name w:val="ConsPlusCell"/>
    <w:uiPriority w:val="99"/>
    <w:qFormat/>
    <w:rPr>
      <w:rFonts w:ascii="Courier New" w:hAnsi="Courier New" w:cs="Courier New" w:eastAsia="Calibri"/>
      <w:lang w:eastAsia="en-US"/>
    </w:rPr>
  </w:style>
  <w:style w:type="paragraph" w:styleId="1184" w:customStyle="1">
    <w:name w:val="rvps46"/>
    <w:basedOn w:val="672"/>
    <w:qFormat/>
    <w:pPr>
      <w:spacing w:before="120" w:after="120"/>
      <w:widowControl w:val="off"/>
    </w:pPr>
    <w:rPr>
      <w:rFonts w:eastAsia="Arial Unicode MS"/>
      <w:sz w:val="24"/>
      <w:szCs w:val="24"/>
    </w:rPr>
  </w:style>
  <w:style w:type="character" w:styleId="1185" w:customStyle="1">
    <w:name w:val="rvts30"/>
    <w:qFormat/>
    <w:rPr>
      <w:rFonts w:ascii="Times New Roman" w:hAnsi="Times New Roman" w:cs="Times New Roman" w:hint="default"/>
      <w:sz w:val="22"/>
      <w:szCs w:val="22"/>
    </w:rPr>
  </w:style>
  <w:style w:type="character" w:styleId="1186">
    <w:name w:val="Unresolved Mention"/>
    <w:basedOn w:val="68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etp-region.ru" TargetMode="External"/><Relationship Id="rId13" Type="http://schemas.openxmlformats.org/officeDocument/2006/relationships/hyperlink" Target="http://www.zakupki.gov.ru" TargetMode="External"/><Relationship Id="rId14" Type="http://schemas.openxmlformats.org/officeDocument/2006/relationships/hyperlink" Target="https://etp-region.ru" TargetMode="External"/><Relationship Id="rId15" Type="http://schemas.openxmlformats.org/officeDocument/2006/relationships/hyperlink" Target="mailto:ooo.elektrobyt@mail.ru" TargetMode="External"/><Relationship Id="rId16" Type="http://schemas.openxmlformats.org/officeDocument/2006/relationships/hyperlink" Target="http://zakupki.gov.ru" TargetMode="External"/><Relationship Id="rId17" Type="http://schemas.openxmlformats.org/officeDocument/2006/relationships/hyperlink" Target="https://etp-region.ru" TargetMode="External"/><Relationship Id="rId18" Type="http://schemas.openxmlformats.org/officeDocument/2006/relationships/hyperlink" Target="https://etp-region.ru" TargetMode="External"/><Relationship Id="rId19" Type="http://schemas.openxmlformats.org/officeDocument/2006/relationships/hyperlink" Target="https://etp-region.ru" TargetMode="External"/><Relationship Id="rId20" Type="http://schemas.openxmlformats.org/officeDocument/2006/relationships/image" Target="media/image1.png"/><Relationship Id="rId21" Type="http://schemas.openxmlformats.org/officeDocument/2006/relationships/hyperlink" Target="http://www.pandia.ru/text/category/russkij_yazik/" TargetMode="External"/><Relationship Id="rId22" Type="http://schemas.openxmlformats.org/officeDocument/2006/relationships/hyperlink" Target="consultantplus://offline/ref=959A9ECFC9EB69AD12EFA622092AE75572FA62806D92C0A0CBBDEE74563BF0E3FF465582AB5C0725F4CAE1DFl8p8F" TargetMode="External"/><Relationship Id="rId23" Type="http://schemas.openxmlformats.org/officeDocument/2006/relationships/hyperlink" Target="consultantplus://offline/ref=959A9ECFC9EB69AD12EFA622092AE75575FD6A8F64CFCAA892B1EC735964F5F6EE1E5984B242023EE8C8E3lDpFF" TargetMode="External"/><Relationship Id="rId24" Type="http://schemas.openxmlformats.org/officeDocument/2006/relationships/hyperlink" Target="consultantplus://offline/ref=959A9ECFC9EB69AD12EFA622092AE75576F1698864CFCAA892B1EC735964F5F6EE1E5984B242023EE8C8E3lDpFF" TargetMode="External"/><Relationship Id="rId25" Type="http://schemas.openxmlformats.org/officeDocument/2006/relationships/hyperlink" Target="consultantplus://offline/ref=61C4E752C2BF038BC9C676D1331699A710F6ABB7A7C24D88AAC3143179FE8175D7ED6E348554520523BD833Dm7pEF" TargetMode="External"/><Relationship Id="rId26" Type="http://schemas.openxmlformats.org/officeDocument/2006/relationships/hyperlink" Target="consultantplus://offline/ref=61C4E752C2BF038BC9C66AD1341699A715F5A1B9A2CC1082A29A18337EF1DE70D0FC6E36874A59546CFBD6327D58ADA98E5A0770B8m1pEF" TargetMode="External"/><Relationship Id="rId27" Type="http://schemas.openxmlformats.org/officeDocument/2006/relationships/hyperlink" Target="consultantplus://offline/ref=61C4E752C2BF038BC9C676D1331699A710F6ABB7A5C24D88AAC3143179FE8175D7ED6E348554520523BD833Dm7pEF" TargetMode="External"/><Relationship Id="rId28" Type="http://schemas.openxmlformats.org/officeDocument/2006/relationships/hyperlink" Target="consultantplus://offline/ref=61C4E752C2BF038BC9C676D1331699A710F6ABB7A7C24D88AAC3143179FE8175D7ED6E348554520523BD833Dm7p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6A50F71-8375-44EF-8C30-654451AF4F6F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Айнур Муратович</cp:lastModifiedBy>
  <cp:revision>11</cp:revision>
  <dcterms:created xsi:type="dcterms:W3CDTF">2022-01-31T05:06:00Z</dcterms:created>
  <dcterms:modified xsi:type="dcterms:W3CDTF">2022-10-27T07:24:15Z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ОМТС УГАТУ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1049-11.2.0.11341</vt:lpwstr>
  </property>
  <property fmtid="{D5CDD505-2E9C-101B-9397-08002B2CF9AE}" pid="10" name="ICV">
    <vt:lpwstr>AE48A563D33443F8ADCD0B0570CABEC2</vt:lpwstr>
  </property>
</Properties>
</file>