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881" w:type="dxa"/>
        <w:jc w:val="center"/>
        <w:tblInd w:w="0" w:type="dxa"/>
        <w:tblCellMar>
          <w:top w:w="0" w:type="dxa"/>
          <w:left w:w="108" w:type="dxa"/>
          <w:bottom w:w="0" w:type="dxa"/>
          <w:right w:w="108" w:type="dxa"/>
        </w:tblCellMar>
      </w:tblPr>
      <w:tblGrid>
        <w:gridCol w:w="5921"/>
        <w:gridCol w:w="4959"/>
      </w:tblGrid>
      <w:tr>
        <w:trPr>
          <w:trHeight w:val="426" w:hRule="atLeast"/>
        </w:trPr>
        <w:tc>
          <w:tcPr>
            <w:tcW w:w="5921" w:type="dxa"/>
            <w:tcBorders/>
            <w:shd w:fill="auto" w:val="clear"/>
          </w:tcPr>
          <w:p>
            <w:pPr>
              <w:pStyle w:val="Normal"/>
              <w:widowControl w:val="false"/>
              <w:spacing w:before="0" w:after="0"/>
              <w:contextualSpacing/>
              <w:jc w:val="center"/>
              <w:rPr>
                <w:rStyle w:val="Strong"/>
                <w:lang w:val="ru-RU"/>
              </w:rPr>
            </w:pPr>
            <w:r>
              <w:rPr>
                <w:lang w:val="ru-RU"/>
              </w:rPr>
            </w:r>
          </w:p>
        </w:tc>
        <w:tc>
          <w:tcPr>
            <w:tcW w:w="4959" w:type="dxa"/>
            <w:tcBorders/>
            <w:shd w:fill="auto" w:val="clear"/>
          </w:tcPr>
          <w:p>
            <w:pPr>
              <w:pStyle w:val="Normal"/>
              <w:widowControl w:val="false"/>
              <w:tabs>
                <w:tab w:val="clear" w:pos="709"/>
                <w:tab w:val="left" w:pos="10425" w:leader="none"/>
              </w:tabs>
              <w:spacing w:lineRule="auto" w:line="240" w:before="0" w:after="0"/>
              <w:jc w:val="right"/>
              <w:rPr/>
            </w:pPr>
            <w:r>
              <w:rPr>
                <w:rStyle w:val="Strong"/>
                <w:rFonts w:cs="Times New Roman"/>
              </w:rPr>
              <w:t>«УТВЕРЖДЕНО»</w:t>
            </w:r>
          </w:p>
        </w:tc>
      </w:tr>
      <w:tr>
        <w:trPr/>
        <w:tc>
          <w:tcPr>
            <w:tcW w:w="5921" w:type="dxa"/>
            <w:tcBorders/>
            <w:shd w:fill="auto" w:val="clear"/>
          </w:tcPr>
          <w:p>
            <w:pPr>
              <w:pStyle w:val="Normal"/>
              <w:widowControl w:val="false"/>
              <w:spacing w:before="0" w:after="0"/>
              <w:contextualSpacing/>
              <w:jc w:val="center"/>
              <w:rPr>
                <w:b/>
                <w:b/>
                <w:lang w:val="ru-RU"/>
              </w:rPr>
            </w:pPr>
            <w:r>
              <w:rPr>
                <w:b/>
                <w:lang w:val="ru-RU"/>
              </w:rPr>
            </w:r>
          </w:p>
        </w:tc>
        <w:tc>
          <w:tcPr>
            <w:tcW w:w="4959" w:type="dxa"/>
            <w:tcBorders/>
            <w:shd w:fill="auto" w:val="clear"/>
          </w:tcPr>
          <w:p>
            <w:pPr>
              <w:pStyle w:val="Normal"/>
              <w:widowControl w:val="false"/>
              <w:spacing w:lineRule="auto" w:line="240" w:before="0" w:after="0"/>
              <w:jc w:val="right"/>
              <w:rPr>
                <w:rFonts w:ascii="Times New Roman" w:hAnsi="Times New Roman" w:cs="Times New Roman"/>
                <w:b/>
                <w:b/>
                <w:bCs/>
              </w:rPr>
            </w:pPr>
            <w:r>
              <w:rPr>
                <w:rFonts w:cs="Times New Roman"/>
                <w:b/>
                <w:bCs/>
              </w:rPr>
              <w:t>Генеральный директор</w:t>
            </w:r>
          </w:p>
          <w:p>
            <w:pPr>
              <w:pStyle w:val="Normal"/>
              <w:widowControl w:val="false"/>
              <w:spacing w:lineRule="auto" w:line="240" w:before="0" w:after="0"/>
              <w:jc w:val="right"/>
              <w:rPr/>
            </w:pPr>
            <w:r>
              <w:rPr>
                <w:rFonts w:cs="Times New Roman"/>
                <w:b/>
                <w:bCs/>
              </w:rPr>
              <w:t>Акционерного общества «</w:t>
            </w:r>
            <w:r>
              <w:rPr>
                <w:rFonts w:eastAsia="Times New Roman" w:cs="Times New Roman"/>
                <w:b/>
                <w:bCs/>
                <w:color w:val="auto"/>
                <w:sz w:val="22"/>
                <w:szCs w:val="22"/>
                <w:lang w:val="ru-RU" w:eastAsia="zh-CN" w:bidi="ar-SA"/>
              </w:rPr>
              <w:t>ГОРЭЛЕКТРОСЕТЬ</w:t>
            </w:r>
            <w:r>
              <w:rPr>
                <w:rFonts w:cs="Times New Roman"/>
                <w:b/>
                <w:bCs/>
              </w:rPr>
              <w:t>»</w:t>
            </w:r>
          </w:p>
        </w:tc>
      </w:tr>
      <w:tr>
        <w:trPr/>
        <w:tc>
          <w:tcPr>
            <w:tcW w:w="5921" w:type="dxa"/>
            <w:tcBorders/>
            <w:shd w:fill="auto" w:val="clear"/>
          </w:tcPr>
          <w:p>
            <w:pPr>
              <w:pStyle w:val="Normal"/>
              <w:widowControl w:val="false"/>
              <w:spacing w:before="0" w:after="0"/>
              <w:contextualSpacing/>
              <w:jc w:val="center"/>
              <w:rPr>
                <w:rStyle w:val="31"/>
                <w:lang w:val="ru-RU"/>
              </w:rPr>
            </w:pPr>
            <w:r>
              <w:rPr>
                <w:lang w:val="ru-RU"/>
              </w:rPr>
            </w:r>
          </w:p>
        </w:tc>
        <w:tc>
          <w:tcPr>
            <w:tcW w:w="4959" w:type="dxa"/>
            <w:tcBorders/>
            <w:shd w:fill="auto" w:val="clear"/>
          </w:tcPr>
          <w:p>
            <w:pPr>
              <w:pStyle w:val="Normal"/>
              <w:widowControl w:val="false"/>
              <w:snapToGrid w:val="false"/>
              <w:spacing w:lineRule="auto" w:line="240" w:before="0" w:after="0"/>
              <w:jc w:val="center"/>
              <w:rPr>
                <w:rFonts w:ascii="Times New Roman" w:hAnsi="Times New Roman" w:cs="Times New Roman"/>
              </w:rPr>
            </w:pPr>
            <w:r>
              <w:rPr>
                <w:rFonts w:cs="Times New Roman"/>
              </w:rPr>
            </w:r>
          </w:p>
          <w:p>
            <w:pPr>
              <w:pStyle w:val="Normal"/>
              <w:widowControl w:val="false"/>
              <w:spacing w:lineRule="auto" w:line="240" w:before="0" w:after="0"/>
              <w:jc w:val="right"/>
              <w:rPr/>
            </w:pPr>
            <w:r>
              <w:rPr>
                <w:rStyle w:val="Strong"/>
                <w:rFonts w:cs="Times New Roman"/>
              </w:rPr>
              <w:t>____________________ /</w:t>
            </w:r>
            <w:r>
              <w:rPr>
                <w:rFonts w:cs="Times New Roman"/>
                <w:b/>
              </w:rPr>
              <w:t xml:space="preserve"> Г.Г. Гарипов/</w:t>
            </w:r>
          </w:p>
        </w:tc>
      </w:tr>
      <w:tr>
        <w:trPr/>
        <w:tc>
          <w:tcPr>
            <w:tcW w:w="5921" w:type="dxa"/>
            <w:tcBorders/>
            <w:shd w:fill="auto" w:val="clear"/>
          </w:tcPr>
          <w:p>
            <w:pPr>
              <w:pStyle w:val="Normal"/>
              <w:widowControl w:val="false"/>
              <w:spacing w:before="0" w:after="0"/>
              <w:contextualSpacing/>
              <w:jc w:val="center"/>
              <w:rPr>
                <w:rStyle w:val="Strong"/>
                <w:lang w:val="ru-RU"/>
              </w:rPr>
            </w:pPr>
            <w:r>
              <w:rPr>
                <w:lang w:val="ru-RU"/>
              </w:rPr>
            </w:r>
          </w:p>
        </w:tc>
        <w:tc>
          <w:tcPr>
            <w:tcW w:w="4959" w:type="dxa"/>
            <w:tcBorders/>
            <w:shd w:fill="auto" w:val="clear"/>
          </w:tcPr>
          <w:p>
            <w:pPr>
              <w:pStyle w:val="Normal"/>
              <w:widowControl w:val="false"/>
              <w:spacing w:lineRule="auto" w:line="240" w:before="0" w:after="0"/>
              <w:jc w:val="right"/>
              <w:rPr/>
            </w:pPr>
            <w:r>
              <w:rPr>
                <w:rStyle w:val="Strong"/>
                <w:rFonts w:cs="Times New Roman"/>
                <w:b/>
                <w:bCs/>
              </w:rPr>
              <w:t>«</w:t>
            </w:r>
            <w:r>
              <w:rPr>
                <w:rStyle w:val="Strong"/>
                <w:rFonts w:eastAsia="Times New Roman" w:cs="Times New Roman"/>
                <w:b/>
                <w:bCs/>
                <w:color w:val="auto"/>
                <w:kern w:val="0"/>
                <w:sz w:val="24"/>
                <w:szCs w:val="22"/>
                <w:lang w:val="en-US" w:eastAsia="en-US" w:bidi="en-US"/>
              </w:rPr>
              <w:t>14</w:t>
            </w:r>
            <w:r>
              <w:rPr>
                <w:rStyle w:val="Strong"/>
                <w:rFonts w:cs="Times New Roman"/>
                <w:b/>
                <w:bCs/>
              </w:rPr>
              <w:t>»</w:t>
            </w:r>
            <w:r>
              <w:rPr>
                <w:rStyle w:val="Strong"/>
                <w:rFonts w:eastAsia="Times New Roman" w:cs="Times New Roman"/>
                <w:b/>
                <w:bCs/>
                <w:color w:val="auto"/>
                <w:sz w:val="22"/>
                <w:szCs w:val="22"/>
                <w:lang w:val="ru-RU" w:eastAsia="zh-CN" w:bidi="ar-SA"/>
              </w:rPr>
              <w:t xml:space="preserve"> </w:t>
            </w:r>
            <w:r>
              <w:rPr>
                <w:rStyle w:val="Strong"/>
                <w:rFonts w:eastAsia="Times New Roman" w:cs="Times New Roman"/>
                <w:b/>
                <w:bCs/>
                <w:color w:val="auto"/>
                <w:sz w:val="22"/>
                <w:szCs w:val="22"/>
                <w:lang w:val="ru-RU" w:eastAsia="zh-CN" w:bidi="ar-SA"/>
              </w:rPr>
              <w:t>февраля</w:t>
            </w:r>
            <w:r>
              <w:rPr>
                <w:rStyle w:val="Strong"/>
                <w:rFonts w:eastAsia="Times New Roman" w:cs="Times New Roman"/>
                <w:b/>
                <w:bCs/>
                <w:color w:val="auto"/>
                <w:sz w:val="22"/>
                <w:szCs w:val="22"/>
                <w:lang w:val="ru-RU" w:eastAsia="zh-CN" w:bidi="ar-SA"/>
              </w:rPr>
              <w:t xml:space="preserve"> </w:t>
            </w:r>
            <w:r>
              <w:rPr>
                <w:rStyle w:val="Strong"/>
                <w:rFonts w:cs="Times New Roman"/>
                <w:b/>
                <w:bCs/>
              </w:rPr>
              <w:t>202</w:t>
            </w:r>
            <w:r>
              <w:rPr>
                <w:rStyle w:val="Strong"/>
                <w:rFonts w:eastAsia="Times New Roman" w:cs="Times New Roman"/>
                <w:b/>
                <w:bCs/>
                <w:color w:val="auto"/>
                <w:kern w:val="0"/>
                <w:sz w:val="24"/>
                <w:szCs w:val="22"/>
                <w:lang w:val="en-US" w:eastAsia="en-US" w:bidi="en-US"/>
              </w:rPr>
              <w:t>3</w:t>
            </w:r>
            <w:r>
              <w:rPr>
                <w:rStyle w:val="31"/>
                <w:b/>
                <w:bCs/>
              </w:rPr>
              <w:t xml:space="preserve"> г.</w:t>
            </w:r>
          </w:p>
          <w:p>
            <w:pPr>
              <w:pStyle w:val="Normal"/>
              <w:widowControl w:val="false"/>
              <w:spacing w:lineRule="auto" w:line="240" w:before="0" w:after="0"/>
              <w:jc w:val="center"/>
              <w:rPr>
                <w:rFonts w:ascii="Times New Roman" w:hAnsi="Times New Roman" w:cs="Times New Roman"/>
                <w:b/>
                <w:b/>
                <w:bCs/>
              </w:rPr>
            </w:pPr>
            <w:r>
              <w:rPr>
                <w:rFonts w:cs="Times New Roman"/>
                <w:b/>
                <w:bCs/>
              </w:rPr>
            </w:r>
          </w:p>
        </w:tc>
      </w:tr>
    </w:tbl>
    <w:p>
      <w:pPr>
        <w:pStyle w:val="Normal"/>
        <w:ind w:left="0" w:right="0" w:hanging="0"/>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keepNext w:val="true"/>
        <w:keepLines/>
        <w:widowControl w:val="false"/>
        <w:suppressLineNumbers/>
        <w:ind w:left="0" w:right="-258" w:hanging="0"/>
        <w:jc w:val="center"/>
        <w:rPr/>
      </w:pPr>
      <w:r>
        <w:rPr>
          <w:b/>
          <w:bCs/>
          <w:sz w:val="32"/>
          <w:szCs w:val="32"/>
          <w:lang w:val="ru-RU"/>
        </w:rPr>
        <w:t xml:space="preserve">ДОКУМЕНТАЦИЯ ОБ ОТКРЫТОМ АУКЦИОНЕ </w:t>
      </w:r>
      <w:r>
        <w:rPr>
          <w:b/>
          <w:sz w:val="32"/>
          <w:szCs w:val="32"/>
          <w:lang w:val="ru-RU"/>
        </w:rPr>
        <w:t>В ЭЛЕКТРОННОЙ ФОРМЕ</w:t>
      </w:r>
    </w:p>
    <w:p>
      <w:pPr>
        <w:pStyle w:val="Normal"/>
        <w:widowControl w:val="false"/>
        <w:suppressLineNumbers/>
        <w:ind w:left="0" w:right="-258" w:hanging="0"/>
        <w:jc w:val="center"/>
        <w:rPr>
          <w:b/>
          <w:b/>
          <w:sz w:val="32"/>
          <w:szCs w:val="32"/>
          <w:lang w:val="ru-RU"/>
        </w:rPr>
      </w:pPr>
      <w:r>
        <w:rPr>
          <w:b/>
          <w:sz w:val="32"/>
          <w:szCs w:val="32"/>
          <w:lang w:val="ru-RU"/>
        </w:rPr>
        <w:t xml:space="preserve"> </w:t>
      </w:r>
      <w:r>
        <w:rPr>
          <w:b/>
          <w:sz w:val="32"/>
          <w:szCs w:val="32"/>
          <w:lang w:val="ru-RU"/>
        </w:rPr>
        <w:t>(заявка в 2-х частях)</w:t>
      </w:r>
    </w:p>
    <w:p>
      <w:pPr>
        <w:pStyle w:val="Style40"/>
        <w:ind w:left="0" w:right="-258" w:hanging="0"/>
        <w:rPr>
          <w:sz w:val="24"/>
          <w:szCs w:val="24"/>
        </w:rPr>
      </w:pPr>
      <w:r>
        <w:rPr>
          <w:sz w:val="24"/>
          <w:szCs w:val="24"/>
        </w:rPr>
      </w:r>
    </w:p>
    <w:p>
      <w:pPr>
        <w:pStyle w:val="Style40"/>
        <w:ind w:left="0" w:right="-258" w:hanging="0"/>
        <w:rPr>
          <w:sz w:val="24"/>
          <w:szCs w:val="24"/>
        </w:rPr>
      </w:pPr>
      <w:r>
        <w:rPr>
          <w:sz w:val="24"/>
          <w:szCs w:val="24"/>
        </w:rPr>
        <w:t xml:space="preserve">на право заключения договора </w:t>
      </w:r>
    </w:p>
    <w:p>
      <w:pPr>
        <w:pStyle w:val="Style40"/>
        <w:ind w:left="0" w:right="-258" w:hanging="0"/>
        <w:jc w:val="center"/>
        <w:rPr/>
      </w:pPr>
      <w:r>
        <w:rPr>
          <w:rStyle w:val="3Cambria"/>
          <w:rFonts w:cs="Times New Roman"/>
          <w:b/>
          <w:bCs/>
          <w:i/>
          <w:iCs/>
          <w:color w:val="000000"/>
          <w:sz w:val="28"/>
          <w:szCs w:val="28"/>
          <w:u w:val="none"/>
        </w:rPr>
        <w:t>«</w:t>
      </w:r>
      <w:r>
        <w:rPr>
          <w:rStyle w:val="3Cambria"/>
          <w:rFonts w:eastAsia="Times New Roman" w:cs="Times New Roman"/>
          <w:b/>
          <w:bCs/>
          <w:i w:val="false"/>
          <w:iCs/>
          <w:strike w:val="false"/>
          <w:dstrike w:val="false"/>
          <w:outline w:val="false"/>
          <w:shadow w:val="false"/>
          <w:color w:val="000000"/>
          <w:spacing w:val="0"/>
          <w:w w:val="100"/>
          <w:kern w:val="0"/>
          <w:sz w:val="24"/>
          <w:szCs w:val="24"/>
          <w:u w:val="none"/>
          <w:em w:val="none"/>
          <w:lang w:val="ru-RU" w:eastAsia="en-US" w:bidi="ar-SA"/>
        </w:rPr>
        <w:t>О</w:t>
      </w:r>
      <w:r>
        <w:rPr>
          <w:rStyle w:val="3Cambria"/>
          <w:rFonts w:eastAsia="Calibri" w:cs="Times New Roman"/>
          <w:b/>
          <w:bCs/>
          <w:i w:val="false"/>
          <w:iCs/>
          <w:strike w:val="false"/>
          <w:dstrike w:val="false"/>
          <w:outline w:val="false"/>
          <w:shadow w:val="false"/>
          <w:color w:val="000000"/>
          <w:spacing w:val="0"/>
          <w:w w:val="100"/>
          <w:kern w:val="2"/>
          <w:sz w:val="24"/>
          <w:szCs w:val="24"/>
          <w:u w:val="none"/>
          <w:em w:val="none"/>
          <w:lang w:val="ru-RU" w:eastAsia="en-US" w:bidi="ru-RU"/>
        </w:rPr>
        <w:t>казание образовательных услуг  по обучению и проверке знаний (повышение квалификации) работников</w:t>
      </w:r>
      <w:r>
        <w:rPr>
          <w:rStyle w:val="3Cambria"/>
          <w:rFonts w:cs="Times New Roman"/>
          <w:b/>
          <w:bCs/>
          <w:i/>
          <w:iCs/>
          <w:color w:val="000000"/>
          <w:kern w:val="0"/>
          <w:sz w:val="24"/>
          <w:szCs w:val="24"/>
          <w:u w:val="none"/>
          <w:lang w:eastAsia="en-US"/>
        </w:rPr>
        <w:t xml:space="preserve"> для нужд </w:t>
      </w:r>
      <w:r>
        <w:rPr>
          <w:rStyle w:val="3Cambria"/>
          <w:rFonts w:eastAsia="Calibri" w:cs="Times New Roman"/>
          <w:b/>
          <w:bCs/>
          <w:i/>
          <w:iCs/>
          <w:color w:val="000000"/>
          <w:kern w:val="2"/>
          <w:sz w:val="24"/>
          <w:szCs w:val="24"/>
          <w:u w:val="none"/>
          <w:lang w:val="ru-RU" w:eastAsia="zh-CN" w:bidi="hi-IN"/>
        </w:rPr>
        <w:t>АО «Горэлектросеть»</w:t>
      </w:r>
      <w:r>
        <w:rPr>
          <w:rStyle w:val="3Cambria"/>
          <w:rFonts w:cs="Times New Roman"/>
          <w:b/>
          <w:bCs/>
          <w:i/>
          <w:iCs/>
          <w:color w:val="000000"/>
          <w:kern w:val="0"/>
          <w:sz w:val="24"/>
          <w:szCs w:val="24"/>
          <w:u w:val="none"/>
          <w:lang w:eastAsia="en-US"/>
        </w:rPr>
        <w:t>.</w:t>
      </w:r>
    </w:p>
    <w:p>
      <w:pPr>
        <w:pStyle w:val="Normal"/>
        <w:bidi w:val="0"/>
        <w:ind w:left="0" w:right="0" w:firstLine="635"/>
        <w:jc w:val="both"/>
        <w:rPr>
          <w:rStyle w:val="3Cambria"/>
          <w:rFonts w:cs="Times New Roman"/>
          <w:b w:val="false"/>
          <w:b w:val="false"/>
          <w:bCs w:val="false"/>
          <w:i/>
          <w:i/>
          <w:iCs/>
          <w:color w:val="000000"/>
          <w:sz w:val="24"/>
          <w:szCs w:val="24"/>
          <w:u w:val="none"/>
        </w:rPr>
      </w:pPr>
      <w:r>
        <w:rPr>
          <w:rFonts w:cs="Times New Roman"/>
          <w:b w:val="false"/>
          <w:bCs w:val="false"/>
          <w:i/>
          <w:iCs/>
          <w:color w:val="000000"/>
          <w:sz w:val="24"/>
          <w:szCs w:val="24"/>
          <w:u w:val="none"/>
        </w:rPr>
      </w:r>
    </w:p>
    <w:p>
      <w:pPr>
        <w:pStyle w:val="Style36"/>
        <w:rPr>
          <w:lang w:val="ru-RU"/>
        </w:rPr>
      </w:pPr>
      <w:r>
        <w:rPr>
          <w:lang w:val="ru-RU"/>
        </w:rPr>
      </w:r>
    </w:p>
    <w:p>
      <w:pPr>
        <w:pStyle w:val="Style40"/>
        <w:ind w:left="0" w:right="-258" w:hanging="0"/>
        <w:rPr>
          <w:sz w:val="24"/>
          <w:szCs w:val="24"/>
        </w:rPr>
      </w:pPr>
      <w:bookmarkStart w:id="0" w:name="__DdeLink__1734_2147031356"/>
      <w:r>
        <w:rPr>
          <w:sz w:val="24"/>
          <w:szCs w:val="24"/>
        </w:rPr>
        <w:t xml:space="preserve"> </w:t>
      </w:r>
      <w:bookmarkEnd w:id="0"/>
    </w:p>
    <w:p>
      <w:pPr>
        <w:pStyle w:val="Style40"/>
        <w:ind w:left="0" w:right="-258" w:hanging="0"/>
        <w:rPr>
          <w:sz w:val="24"/>
          <w:szCs w:val="24"/>
        </w:rPr>
      </w:pPr>
      <w:r>
        <w:rPr>
          <w:sz w:val="24"/>
          <w:szCs w:val="24"/>
        </w:rPr>
      </w:r>
    </w:p>
    <w:p>
      <w:pPr>
        <w:pStyle w:val="Style40"/>
        <w:ind w:left="0" w:right="-258" w:hanging="0"/>
        <w:rPr>
          <w:sz w:val="24"/>
          <w:szCs w:val="24"/>
        </w:rPr>
      </w:pPr>
      <w:r>
        <w:rPr>
          <w:sz w:val="24"/>
          <w:szCs w:val="24"/>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ind w:left="0" w:right="0" w:hanging="0"/>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ind w:left="0" w:right="0" w:hanging="0"/>
        <w:jc w:val="center"/>
        <w:rPr/>
      </w:pPr>
      <w:r>
        <w:rPr>
          <w:rStyle w:val="Strong"/>
          <w:lang w:val="ru-RU"/>
        </w:rPr>
        <w:t xml:space="preserve">г. </w:t>
      </w:r>
      <w:r>
        <w:rPr>
          <w:rStyle w:val="Strong"/>
          <w:rFonts w:eastAsia="Times New Roman" w:cs="Times New Roman"/>
          <w:b/>
          <w:bCs/>
          <w:color w:val="auto"/>
          <w:kern w:val="0"/>
          <w:sz w:val="24"/>
          <w:szCs w:val="22"/>
          <w:lang w:val="ru-RU" w:eastAsia="en-US" w:bidi="en-US"/>
        </w:rPr>
        <w:t>Первоуральск</w:t>
      </w:r>
    </w:p>
    <w:p>
      <w:pPr>
        <w:pStyle w:val="Normal"/>
        <w:ind w:left="0" w:right="0" w:hanging="0"/>
        <w:jc w:val="center"/>
        <w:rPr/>
      </w:pPr>
      <w:r>
        <w:rPr>
          <w:rStyle w:val="Strong"/>
          <w:lang w:val="ru-RU"/>
        </w:rPr>
        <w:t>202</w:t>
      </w:r>
      <w:r>
        <w:rPr>
          <w:rStyle w:val="Strong"/>
          <w:rFonts w:eastAsia="Times New Roman" w:cs="Times New Roman"/>
          <w:b/>
          <w:bCs/>
          <w:color w:val="auto"/>
          <w:kern w:val="0"/>
          <w:sz w:val="24"/>
          <w:szCs w:val="22"/>
          <w:lang w:val="ru-RU" w:eastAsia="en-US" w:bidi="en-US"/>
        </w:rPr>
        <w:t>3</w:t>
      </w:r>
      <w:r>
        <w:rPr>
          <w:rStyle w:val="Strong"/>
          <w:lang w:val="ru-RU"/>
        </w:rPr>
        <w:t xml:space="preserve"> г</w:t>
      </w:r>
    </w:p>
    <w:sdt>
      <w:sdtPr>
        <w:docPartObj>
          <w:docPartGallery w:val="Table of Contents"/>
          <w:docPartUnique w:val="true"/>
        </w:docPartObj>
      </w:sdtPr>
      <w:sdtContent>
        <w:p>
          <w:pPr>
            <w:pStyle w:val="TOAHeading1"/>
            <w:suppressLineNumbers/>
            <w:ind w:left="0" w:right="0" w:hanging="0"/>
            <w:rPr>
              <w:b/>
              <w:b/>
              <w:bCs/>
              <w:sz w:val="32"/>
              <w:szCs w:val="32"/>
            </w:rPr>
          </w:pPr>
          <w:r>
            <w:rPr>
              <w:b/>
              <w:bCs/>
              <w:sz w:val="32"/>
              <w:szCs w:val="32"/>
            </w:rPr>
            <w:t>Оглавление</w:t>
          </w:r>
        </w:p>
        <w:p>
          <w:pPr>
            <w:pStyle w:val="37"/>
            <w:tabs>
              <w:tab w:val="clear" w:pos="709"/>
              <w:tab w:val="right" w:pos="10066" w:leader="dot"/>
            </w:tabs>
            <w:rPr/>
          </w:pPr>
          <w:r>
            <w:fldChar w:fldCharType="begin"/>
          </w:r>
          <w:r>
            <w:rPr>
              <w:rStyle w:val="Style32"/>
            </w:rPr>
            <w:instrText> TOC \o "1-3" \h</w:instrText>
          </w:r>
          <w:r>
            <w:rPr>
              <w:rStyle w:val="Style32"/>
            </w:rPr>
            <w:fldChar w:fldCharType="separate"/>
          </w:r>
          <w:hyperlink w:anchor="__RefHeading___Toc5749_1322379191">
            <w:r>
              <w:rPr>
                <w:rStyle w:val="Style32"/>
              </w:rPr>
              <w:t>РАЗДЕЛ 1. УСЛОВИЯ ПРОВЕДЕНИЯ АУКЦИОНА</w:t>
              <w:tab/>
              <w:t>3</w:t>
            </w:r>
          </w:hyperlink>
        </w:p>
        <w:p>
          <w:pPr>
            <w:pStyle w:val="37"/>
            <w:tabs>
              <w:tab w:val="clear" w:pos="709"/>
              <w:tab w:val="right" w:pos="10066" w:leader="dot"/>
            </w:tabs>
            <w:rPr/>
          </w:pPr>
          <w:hyperlink w:anchor="__RefHeading___Toc10245_953328800">
            <w:r>
              <w:rPr>
                <w:rStyle w:val="Style32"/>
              </w:rPr>
              <w:t>ТЕРМИНЫ И ОПРЕДЕЛЕНИЯ</w:t>
              <w:tab/>
              <w:t>3</w:t>
            </w:r>
          </w:hyperlink>
        </w:p>
        <w:p>
          <w:pPr>
            <w:pStyle w:val="37"/>
            <w:tabs>
              <w:tab w:val="clear" w:pos="709"/>
              <w:tab w:val="right" w:pos="10066" w:leader="dot"/>
            </w:tabs>
            <w:rPr/>
          </w:pPr>
          <w:hyperlink w:anchor="__RefHeading___Toc10247_953328800">
            <w:r>
              <w:rPr>
                <w:rStyle w:val="Style32"/>
              </w:rPr>
              <w:t>1. ОБЩИЕ СВЕДЕНИЯ</w:t>
              <w:tab/>
              <w:t>4</w:t>
            </w:r>
          </w:hyperlink>
        </w:p>
        <w:p>
          <w:pPr>
            <w:pStyle w:val="37"/>
            <w:tabs>
              <w:tab w:val="clear" w:pos="709"/>
              <w:tab w:val="right" w:pos="10066" w:leader="dot"/>
            </w:tabs>
            <w:rPr/>
          </w:pPr>
          <w:hyperlink w:anchor="__RefHeading___Toc10249_953328800">
            <w:r>
              <w:rPr>
                <w:rStyle w:val="Style32"/>
              </w:rPr>
              <w:t>2.  ДОКУМЕНТАЦИЯ О ЗАКУПКЕ</w:t>
              <w:tab/>
              <w:t>5</w:t>
            </w:r>
          </w:hyperlink>
        </w:p>
        <w:p>
          <w:pPr>
            <w:pStyle w:val="37"/>
            <w:tabs>
              <w:tab w:val="clear" w:pos="709"/>
              <w:tab w:val="right" w:pos="10066" w:leader="dot"/>
            </w:tabs>
            <w:rPr/>
          </w:pPr>
          <w:hyperlink w:anchor="__RefHeading___Toc10251_953328800">
            <w:r>
              <w:rPr>
                <w:rStyle w:val="Style32"/>
              </w:rPr>
              <w:t>3. УЧАСТНИКИ ЗАКУПКИ</w:t>
              <w:tab/>
              <w:t>6</w:t>
            </w:r>
          </w:hyperlink>
        </w:p>
        <w:p>
          <w:pPr>
            <w:pStyle w:val="37"/>
            <w:tabs>
              <w:tab w:val="clear" w:pos="709"/>
              <w:tab w:val="right" w:pos="10066" w:leader="dot"/>
            </w:tabs>
            <w:rPr/>
          </w:pPr>
          <w:hyperlink w:anchor="__RefHeading___Toc10253_953328800">
            <w:r>
              <w:rPr>
                <w:rStyle w:val="Style32"/>
              </w:rPr>
              <w:t>4. ТРЕБОВАНИЯ К СОДЕРЖАНИЮ, ФОРМЕ, ОФОРМЛЕНИЮ И СОСТАВУ ЗАЯВКИ НА УЧАСТИЕ В АУКЦИОНЕ В ЭЛЕКТРОННОЙ ФОРМЕ</w:t>
              <w:tab/>
              <w:t>9</w:t>
            </w:r>
          </w:hyperlink>
        </w:p>
        <w:p>
          <w:pPr>
            <w:pStyle w:val="37"/>
            <w:tabs>
              <w:tab w:val="clear" w:pos="709"/>
              <w:tab w:val="right" w:pos="10066" w:leader="dot"/>
            </w:tabs>
            <w:rPr/>
          </w:pPr>
          <w:hyperlink w:anchor="__RefHeading___Toc10255_953328800">
            <w:r>
              <w:rPr>
                <w:rStyle w:val="Style32"/>
              </w:rPr>
              <w:t>5. ПОРЯДОК РАССМОТРЕНИЯ ЗАЯВОК И ОПРЕДЕЛЕНИЯ УЧАСТНИКОВ АУКЦИОНА И (ИЛИ) ОЦЕНКИ ЗАЯВОК УЧАСТНИКОВ АУКЦИОНА И ОСОБЕННОСТИ ПРОВЕДЕНИЕ АУКЦИОНА</w:t>
              <w:tab/>
              <w:t>12</w:t>
            </w:r>
          </w:hyperlink>
        </w:p>
        <w:p>
          <w:pPr>
            <w:pStyle w:val="37"/>
            <w:tabs>
              <w:tab w:val="clear" w:pos="709"/>
              <w:tab w:val="right" w:pos="10066" w:leader="dot"/>
            </w:tabs>
            <w:rPr/>
          </w:pPr>
          <w:hyperlink w:anchor="__RefHeading___Toc10257_953328800">
            <w:r>
              <w:rPr>
                <w:rStyle w:val="Style32"/>
              </w:rPr>
              <w:t>6. УСЛОВИЯ ДОПУСКА К УЧАСТИЮ В АУКЦИОНЕ</w:t>
              <w:tab/>
              <w:t>12</w:t>
            </w:r>
          </w:hyperlink>
        </w:p>
        <w:p>
          <w:pPr>
            <w:pStyle w:val="37"/>
            <w:tabs>
              <w:tab w:val="clear" w:pos="709"/>
              <w:tab w:val="right" w:pos="10066" w:leader="dot"/>
            </w:tabs>
            <w:rPr/>
          </w:pPr>
          <w:hyperlink w:anchor="__RefHeading___Toc10259_953328800">
            <w:r>
              <w:rPr>
                <w:rStyle w:val="Style32"/>
              </w:rPr>
              <w:t>7. РАЗМЕР И ПОРЯДОК ВНЕСЕНИЯ ОБЕСПЕЧЕНИЯ ЗАЯВКИ НА УЧАСТИЕ В ОТКРЫТОМ АУКЦИОНЕ В ЭЛЕКТРОННОЙ ФОРМЕ</w:t>
              <w:tab/>
              <w:t>13</w:t>
            </w:r>
          </w:hyperlink>
        </w:p>
        <w:p>
          <w:pPr>
            <w:pStyle w:val="37"/>
            <w:tabs>
              <w:tab w:val="clear" w:pos="709"/>
              <w:tab w:val="right" w:pos="10066" w:leader="dot"/>
            </w:tabs>
            <w:rPr/>
          </w:pPr>
          <w:hyperlink w:anchor="__RefHeading___Toc10261_953328800">
            <w:r>
              <w:rPr>
                <w:rStyle w:val="Style32"/>
              </w:rPr>
              <w:t>8. ОБЕСПЕЧЕНИЕ ИСПОЛНЕНИЯ ДОГОВОРА И ГАРАНТИЙНЫХ ОБЯЗАТЕЛЬСТВ</w:t>
              <w:tab/>
              <w:t>14</w:t>
            </w:r>
          </w:hyperlink>
        </w:p>
        <w:p>
          <w:pPr>
            <w:pStyle w:val="37"/>
            <w:tabs>
              <w:tab w:val="clear" w:pos="709"/>
              <w:tab w:val="right" w:pos="10066" w:leader="dot"/>
            </w:tabs>
            <w:rPr/>
          </w:pPr>
          <w:hyperlink w:anchor="__RefHeading___Toc10263_953328800">
            <w:r>
              <w:rPr>
                <w:rStyle w:val="Style32"/>
              </w:rPr>
              <w:t>9. РАСХОДЫ НА УЧАСТИЕ В АУКЦИОНЕ И ПРИ ЗАКЛЮЧЕНИИ ДОГОВОРА</w:t>
              <w:tab/>
              <w:t>15</w:t>
            </w:r>
          </w:hyperlink>
        </w:p>
        <w:p>
          <w:pPr>
            <w:pStyle w:val="37"/>
            <w:tabs>
              <w:tab w:val="clear" w:pos="709"/>
              <w:tab w:val="right" w:pos="10066" w:leader="dot"/>
            </w:tabs>
            <w:rPr/>
          </w:pPr>
          <w:hyperlink w:anchor="__RefHeading___Toc10265_953328800">
            <w:r>
              <w:rPr>
                <w:rStyle w:val="Style32"/>
              </w:rPr>
              <w:t>10. ЗАКЛЮЧЕНИЕ И ИСПОЛНЕНИЕ ДОГОВОРА</w:t>
              <w:tab/>
              <w:t>15</w:t>
            </w:r>
          </w:hyperlink>
        </w:p>
        <w:p>
          <w:pPr>
            <w:pStyle w:val="37"/>
            <w:tabs>
              <w:tab w:val="clear" w:pos="709"/>
              <w:tab w:val="right" w:pos="10066" w:leader="dot"/>
            </w:tabs>
            <w:rPr/>
          </w:pPr>
          <w:hyperlink w:anchor="__RefHeading___Toc10267_953328800">
            <w:r>
              <w:rPr>
                <w:rStyle w:val="Style32"/>
              </w:rPr>
              <w:t>11. ПРИЗНАНИЕ АУКЦИОНА НЕСОСТОЯВШИМСЯ</w:t>
              <w:tab/>
              <w:t>17</w:t>
            </w:r>
          </w:hyperlink>
        </w:p>
        <w:p>
          <w:pPr>
            <w:pStyle w:val="37"/>
            <w:tabs>
              <w:tab w:val="clear" w:pos="709"/>
              <w:tab w:val="right" w:pos="10066" w:leader="dot"/>
            </w:tabs>
            <w:rPr/>
          </w:pPr>
          <w:hyperlink w:anchor="__RefHeading___Toc5751_1322379191">
            <w:r>
              <w:rPr>
                <w:rStyle w:val="Style32"/>
              </w:rPr>
              <w:t>РАЗДЕЛ 2. ИНФОРМАЦИОННАЯ КАРТА АУКЦИОНА</w:t>
              <w:tab/>
              <w:t>18</w:t>
            </w:r>
          </w:hyperlink>
        </w:p>
        <w:p>
          <w:pPr>
            <w:pStyle w:val="37"/>
            <w:tabs>
              <w:tab w:val="clear" w:pos="709"/>
              <w:tab w:val="right" w:pos="10066" w:leader="dot"/>
            </w:tabs>
            <w:rPr/>
          </w:pPr>
          <w:hyperlink w:anchor="__RefHeading___Toc5755_1322379191">
            <w:r>
              <w:rPr>
                <w:rStyle w:val="Style32"/>
              </w:rPr>
              <w:t>РАЗДЕЛ 3. ТЕХНИЧЕСКОЕ ЗАДАНИЕ</w:t>
              <w:tab/>
              <w:t>25</w:t>
            </w:r>
          </w:hyperlink>
        </w:p>
        <w:p>
          <w:pPr>
            <w:pStyle w:val="37"/>
            <w:tabs>
              <w:tab w:val="clear" w:pos="709"/>
              <w:tab w:val="right" w:pos="10066" w:leader="dot"/>
            </w:tabs>
            <w:rPr/>
          </w:pPr>
          <w:hyperlink w:anchor="__RefHeading___Toc5757_1322379191">
            <w:r>
              <w:rPr>
                <w:rStyle w:val="Style32"/>
                <w:i w:val="false"/>
                <w:iCs w:val="false"/>
              </w:rPr>
              <w:t>РАЗДЕЛ 4. ПРОЕКТ ДОГОВОРА</w:t>
            </w:r>
            <w:r>
              <w:rPr>
                <w:rStyle w:val="Style32"/>
              </w:rPr>
              <w:tab/>
              <w:t>25</w:t>
            </w:r>
          </w:hyperlink>
        </w:p>
        <w:p>
          <w:pPr>
            <w:pStyle w:val="37"/>
            <w:tabs>
              <w:tab w:val="clear" w:pos="709"/>
              <w:tab w:val="right" w:pos="10066" w:leader="dot"/>
            </w:tabs>
            <w:rPr/>
          </w:pPr>
          <w:hyperlink w:anchor="__RefHeading___Toc5759_1322379191">
            <w:r>
              <w:rPr>
                <w:rStyle w:val="Style32"/>
              </w:rPr>
              <w:t>РАЗДЕЛ 5. ОБОСНОВАНИЕ НАЧАЛЬНОЙ (МАКСИМАЛЬНОЙ) ЦЕНЫ ДОГОВОРА</w:t>
              <w:tab/>
              <w:t>25</w:t>
            </w:r>
          </w:hyperlink>
        </w:p>
        <w:p>
          <w:pPr>
            <w:pStyle w:val="37"/>
            <w:tabs>
              <w:tab w:val="clear" w:pos="709"/>
              <w:tab w:val="right" w:pos="10066" w:leader="dot"/>
            </w:tabs>
            <w:rPr/>
          </w:pPr>
          <w:hyperlink w:anchor="__RefHeading___Toc5753_1322379191">
            <w:r>
              <w:rPr>
                <w:rStyle w:val="Style32"/>
              </w:rPr>
              <w:t>РАЗДЕЛ 6. ОБРАЗЦЫ ФОРМ ДОКУМЕНТОВ,</w:t>
              <w:tab/>
              <w:t>26</w:t>
            </w:r>
          </w:hyperlink>
        </w:p>
        <w:p>
          <w:pPr>
            <w:pStyle w:val="37"/>
            <w:tabs>
              <w:tab w:val="clear" w:pos="709"/>
              <w:tab w:val="right" w:pos="10066" w:leader="dot"/>
            </w:tabs>
            <w:rPr/>
          </w:pPr>
          <w:hyperlink w:anchor="__RefHeading___Toc5182_1815835872">
            <w:r>
              <w:rPr>
                <w:rStyle w:val="Style32"/>
              </w:rPr>
              <w:t>ВКЛЮЧАЕМЫХ В ЗАЯВКУ НА УЧАСТИЕ В АУКЦИОНЕ В ЭЛЕКТРОННОЙ ФОРМЕ</w:t>
              <w:tab/>
              <w:t>26</w:t>
            </w:r>
          </w:hyperlink>
          <w:r>
            <w:rPr>
              <w:rStyle w:val="Style32"/>
            </w:rPr>
            <w:fldChar w:fldCharType="end"/>
          </w:r>
        </w:p>
      </w:sdtContent>
    </w:sdt>
    <w:p>
      <w:pPr>
        <w:pStyle w:val="Normal"/>
        <w:ind w:left="0" w:right="0" w:hanging="0"/>
        <w:jc w:val="center"/>
        <w:rPr>
          <w:b/>
          <w:b/>
          <w:sz w:val="20"/>
          <w:szCs w:val="20"/>
          <w:lang w:val="ru-RU"/>
        </w:rPr>
      </w:pPr>
      <w:r>
        <w:rPr>
          <w:b/>
          <w:sz w:val="20"/>
          <w:szCs w:val="20"/>
          <w:lang w:val="ru-RU"/>
        </w:rPr>
      </w:r>
    </w:p>
    <w:p>
      <w:pPr>
        <w:pStyle w:val="Normal"/>
        <w:ind w:left="0" w:right="0" w:hanging="0"/>
        <w:jc w:val="center"/>
        <w:rPr>
          <w:b/>
          <w:b/>
          <w:sz w:val="20"/>
          <w:szCs w:val="20"/>
          <w:lang w:val="ru-RU"/>
        </w:rPr>
      </w:pPr>
      <w:r>
        <w:rPr>
          <w:b/>
          <w:sz w:val="20"/>
          <w:szCs w:val="20"/>
          <w:lang w:val="ru-RU"/>
        </w:rPr>
      </w:r>
    </w:p>
    <w:p>
      <w:pPr>
        <w:pStyle w:val="Normal"/>
        <w:ind w:left="0" w:right="0" w:hanging="0"/>
        <w:jc w:val="center"/>
        <w:rPr>
          <w:b/>
          <w:b/>
          <w:szCs w:val="24"/>
          <w:lang w:val="ru-RU"/>
        </w:rPr>
      </w:pPr>
      <w:r>
        <w:rPr>
          <w:b/>
          <w:szCs w:val="24"/>
          <w:lang w:val="ru-RU"/>
        </w:rPr>
      </w:r>
    </w:p>
    <w:p>
      <w:pPr>
        <w:pStyle w:val="Normal"/>
        <w:ind w:left="0" w:right="0" w:hanging="0"/>
        <w:jc w:val="center"/>
        <w:rPr>
          <w:szCs w:val="24"/>
          <w:lang w:val="ru-RU"/>
        </w:rPr>
      </w:pPr>
      <w:r>
        <w:rPr>
          <w:szCs w:val="24"/>
          <w:lang w:val="ru-RU"/>
        </w:rPr>
      </w:r>
    </w:p>
    <w:p>
      <w:pPr>
        <w:pStyle w:val="Normal"/>
        <w:ind w:left="0" w:right="0" w:hanging="0"/>
        <w:jc w:val="center"/>
        <w:rPr>
          <w:szCs w:val="24"/>
          <w:lang w:val="ru-RU"/>
        </w:rPr>
      </w:pPr>
      <w:r>
        <w:rPr>
          <w:szCs w:val="24"/>
          <w:lang w:val="ru-RU"/>
        </w:rPr>
      </w:r>
    </w:p>
    <w:p>
      <w:pPr>
        <w:pStyle w:val="Normal"/>
        <w:ind w:left="0" w:right="0" w:hanging="0"/>
        <w:jc w:val="center"/>
        <w:rPr>
          <w:szCs w:val="24"/>
          <w:lang w:val="ru-RU"/>
        </w:rPr>
      </w:pPr>
      <w:r>
        <w:rPr>
          <w:szCs w:val="24"/>
          <w:lang w:val="ru-RU"/>
        </w:rPr>
      </w:r>
    </w:p>
    <w:p>
      <w:pPr>
        <w:pStyle w:val="Normal"/>
        <w:ind w:left="0" w:right="0" w:hanging="0"/>
        <w:jc w:val="center"/>
        <w:rPr>
          <w:szCs w:val="24"/>
          <w:lang w:val="ru-RU"/>
        </w:rPr>
      </w:pPr>
      <w:r>
        <w:rPr>
          <w:szCs w:val="24"/>
          <w:lang w:val="ru-RU"/>
        </w:rPr>
      </w:r>
    </w:p>
    <w:p>
      <w:pPr>
        <w:pStyle w:val="Normal"/>
        <w:ind w:left="0" w:right="0" w:hanging="0"/>
        <w:jc w:val="center"/>
        <w:rPr>
          <w:szCs w:val="24"/>
          <w:lang w:val="ru-RU"/>
        </w:rPr>
      </w:pPr>
      <w:r>
        <w:rPr>
          <w:szCs w:val="24"/>
          <w:lang w:val="ru-RU"/>
        </w:rPr>
      </w:r>
      <w:bookmarkStart w:id="1" w:name="__RefHeading___Toc10243_953328800"/>
      <w:bookmarkStart w:id="2" w:name="__RefHeading___Toc10243_953328800"/>
      <w:bookmarkEnd w:id="2"/>
      <w:r>
        <w:br w:type="page"/>
      </w:r>
    </w:p>
    <w:p>
      <w:pPr>
        <w:pStyle w:val="3"/>
        <w:rPr/>
      </w:pPr>
      <w:bookmarkStart w:id="3" w:name="__RefHeading___Toc5749_1322379191"/>
      <w:bookmarkStart w:id="4" w:name="_Toc520982930"/>
      <w:bookmarkStart w:id="5" w:name="_Toc412532376"/>
      <w:bookmarkEnd w:id="3"/>
      <w:r>
        <w:rPr>
          <w:rFonts w:eastAsia="Times New Roman" w:cs="Times New Roman"/>
          <w:b/>
          <w:bCs/>
          <w:color w:val="auto"/>
          <w:kern w:val="0"/>
          <w:sz w:val="22"/>
          <w:szCs w:val="22"/>
          <w:u w:val="single"/>
          <w:lang w:val="ru-RU" w:eastAsia="en-US" w:bidi="en-US"/>
        </w:rPr>
        <w:t>Р</w:t>
      </w:r>
      <w:bookmarkEnd w:id="4"/>
      <w:bookmarkEnd w:id="5"/>
      <w:r>
        <w:rPr>
          <w:rFonts w:eastAsia="Times New Roman" w:cs="Times New Roman"/>
          <w:b/>
          <w:bCs/>
          <w:color w:val="auto"/>
          <w:kern w:val="0"/>
          <w:sz w:val="22"/>
          <w:szCs w:val="22"/>
          <w:u w:val="single"/>
          <w:lang w:val="ru-RU" w:eastAsia="en-US" w:bidi="en-US"/>
        </w:rPr>
        <w:t>АЗДЕЛ 1</w:t>
      </w:r>
      <w:r>
        <w:rPr>
          <w:rFonts w:eastAsia="Times New Roman" w:cs="Times New Roman"/>
          <w:b/>
          <w:bCs/>
          <w:color w:val="auto"/>
          <w:kern w:val="0"/>
          <w:sz w:val="22"/>
          <w:szCs w:val="22"/>
          <w:lang w:val="ru-RU" w:eastAsia="en-US" w:bidi="en-US"/>
        </w:rPr>
        <w:t xml:space="preserve">. </w:t>
      </w:r>
      <w:r>
        <w:rPr>
          <w:sz w:val="22"/>
        </w:rPr>
        <w:t>УСЛОВИЯ ПРОВЕДЕНИЯ АУКЦИОНА</w:t>
      </w:r>
    </w:p>
    <w:p>
      <w:pPr>
        <w:pStyle w:val="Normal"/>
        <w:rPr>
          <w:sz w:val="22"/>
          <w:lang w:val="ru-RU"/>
        </w:rPr>
      </w:pPr>
      <w:r>
        <w:rPr>
          <w:sz w:val="22"/>
          <w:lang w:val="ru-RU"/>
        </w:rPr>
      </w:r>
    </w:p>
    <w:p>
      <w:pPr>
        <w:pStyle w:val="3"/>
        <w:ind w:left="360" w:right="0" w:hanging="0"/>
        <w:rPr>
          <w:sz w:val="22"/>
        </w:rPr>
      </w:pPr>
      <w:bookmarkStart w:id="6" w:name="__RefHeading___Toc10245_953328800"/>
      <w:bookmarkStart w:id="7" w:name="_Toc520982931"/>
      <w:bookmarkStart w:id="8" w:name="_Toc412532377"/>
      <w:bookmarkEnd w:id="6"/>
      <w:r>
        <w:rPr>
          <w:sz w:val="22"/>
        </w:rPr>
        <w:t>ТЕРМИНЫ И ОПРЕДЕЛЕНИЯ</w:t>
      </w:r>
      <w:bookmarkEnd w:id="7"/>
      <w:bookmarkEnd w:id="8"/>
    </w:p>
    <w:p>
      <w:pPr>
        <w:pStyle w:val="Normal"/>
        <w:rPr/>
      </w:pPr>
      <w:r>
        <w:rPr>
          <w:rFonts w:eastAsia="Calibri"/>
          <w:b/>
          <w:bCs/>
          <w:sz w:val="22"/>
          <w:lang w:val="ru-RU" w:bidi="ar-SA"/>
        </w:rPr>
        <w:t>Аукцион –</w:t>
      </w:r>
      <w:r>
        <w:rPr>
          <w:sz w:val="22"/>
          <w:lang w:val="ru-RU" w:eastAsia="ru-RU"/>
        </w:rPr>
        <w:t xml:space="preserve"> </w:t>
      </w:r>
      <w:r>
        <w:rPr>
          <w:rFonts w:eastAsia="Calibri"/>
          <w:color w:val="000000"/>
          <w:sz w:val="22"/>
          <w:lang w:val="ru-RU" w:bidi="ar-SA"/>
        </w:rPr>
        <w:t>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pPr>
        <w:pStyle w:val="Default"/>
        <w:spacing w:before="0" w:after="0"/>
        <w:ind w:left="0" w:right="0" w:firstLine="567"/>
        <w:contextualSpacing/>
        <w:jc w:val="both"/>
        <w:rPr/>
      </w:pPr>
      <w:r>
        <w:rPr>
          <w:b/>
          <w:bCs/>
          <w:color w:val="auto"/>
          <w:sz w:val="22"/>
          <w:szCs w:val="22"/>
        </w:rPr>
        <w:t>Документация о закупке</w:t>
      </w:r>
      <w:r>
        <w:rPr>
          <w:b/>
          <w:bCs/>
          <w:sz w:val="22"/>
          <w:szCs w:val="22"/>
        </w:rPr>
        <w:t xml:space="preserve"> </w:t>
      </w:r>
      <w:r>
        <w:rPr>
          <w:sz w:val="22"/>
          <w:szCs w:val="22"/>
        </w:rPr>
        <w:t>– комплект документов, содержащий сведения и информацию о предмете, условиях участия и правилах проведения конкурентной закупки, правилах подготовки, оформления и подачи предложения участником, правилах выбора победителя, а также об условиях заключаемого по результатам конкурентной закупки договора.</w:t>
      </w:r>
    </w:p>
    <w:p>
      <w:pPr>
        <w:pStyle w:val="Normal"/>
        <w:rPr/>
      </w:pPr>
      <w:r>
        <w:rPr>
          <w:b/>
          <w:sz w:val="22"/>
          <w:lang w:val="ru-RU"/>
        </w:rPr>
        <w:t>Единая информационная система в сфере закупок</w:t>
      </w:r>
      <w:r>
        <w:rPr>
          <w:sz w:val="22"/>
          <w:lang w:val="ru-RU"/>
        </w:rPr>
        <w:t xml:space="preserve">  (ЕИС единая информационная система)-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(далее – официальный сайт) </w:t>
      </w:r>
      <w:hyperlink r:id="rId2">
        <w:r>
          <w:rPr>
            <w:rStyle w:val="Style"/>
            <w:sz w:val="22"/>
            <w:lang w:val="ru-RU"/>
          </w:rPr>
          <w:t>www.zakupki.gov.ru</w:t>
        </w:r>
      </w:hyperlink>
    </w:p>
    <w:p>
      <w:pPr>
        <w:pStyle w:val="Default"/>
        <w:ind w:left="0" w:right="0" w:firstLine="567"/>
        <w:jc w:val="both"/>
        <w:rPr/>
      </w:pPr>
      <w:r>
        <w:rPr>
          <w:b/>
          <w:bCs/>
          <w:sz w:val="22"/>
          <w:szCs w:val="22"/>
        </w:rPr>
        <w:t xml:space="preserve">Единая комиссия по закупке товаров, работ и услуг (далее – Единая комиссия) </w:t>
      </w:r>
      <w:r>
        <w:rPr>
          <w:sz w:val="22"/>
          <w:szCs w:val="22"/>
        </w:rPr>
        <w:t xml:space="preserve">– коллегиальный орган, создаваемый на постоянной основе Заказчиком для выбора поставщика (исполнителя, подрядчика) путем проведения процедур закупки, предусмотренных Положением о закупке, с целью заключения договора. </w:t>
      </w:r>
    </w:p>
    <w:p>
      <w:pPr>
        <w:pStyle w:val="Default"/>
        <w:ind w:left="0" w:right="0" w:firstLine="567"/>
        <w:jc w:val="both"/>
        <w:rPr/>
      </w:pPr>
      <w:r>
        <w:rPr>
          <w:b/>
          <w:bCs/>
          <w:color w:val="auto"/>
          <w:sz w:val="22"/>
          <w:szCs w:val="22"/>
        </w:rPr>
        <w:t xml:space="preserve">Заказчик </w:t>
      </w:r>
      <w:r>
        <w:rPr>
          <w:color w:val="auto"/>
          <w:sz w:val="22"/>
          <w:szCs w:val="22"/>
        </w:rPr>
        <w:t xml:space="preserve">– </w:t>
      </w:r>
      <w:r>
        <w:rPr>
          <w:rFonts w:eastAsia="" w:cs="Times New Roman"/>
          <w:b w:val="false"/>
          <w:bCs w:val="false"/>
          <w:color w:val="000000"/>
          <w:sz w:val="24"/>
          <w:szCs w:val="24"/>
          <w:lang w:val="ru-RU"/>
        </w:rPr>
        <w:t>акционерное</w:t>
      </w:r>
      <w:r>
        <w:rPr>
          <w:rFonts w:eastAsia="" w:cs="Times New Roman"/>
          <w:b/>
          <w:color w:val="000000"/>
          <w:sz w:val="24"/>
          <w:szCs w:val="24"/>
          <w:lang w:val="ru-RU"/>
        </w:rPr>
        <w:t xml:space="preserve"> </w:t>
      </w:r>
      <w:r>
        <w:rPr>
          <w:rFonts w:eastAsia="" w:cs="Times New Roman"/>
          <w:b w:val="false"/>
          <w:bCs w:val="false"/>
          <w:color w:val="000000"/>
          <w:sz w:val="24"/>
          <w:szCs w:val="24"/>
          <w:lang w:val="ru-RU"/>
        </w:rPr>
        <w:t xml:space="preserve">общество  «Горэлектросеть», </w:t>
      </w:r>
      <w:r>
        <w:rPr>
          <w:rFonts w:eastAsia="" w:cs="Times New Roman"/>
          <w:b/>
          <w:color w:val="000000"/>
          <w:sz w:val="24"/>
          <w:szCs w:val="24"/>
          <w:lang w:val="ru-RU"/>
        </w:rPr>
        <w:t>сокращенное наименование</w:t>
      </w:r>
      <w:r>
        <w:rPr>
          <w:rFonts w:eastAsia="" w:cs="Times New Roman"/>
          <w:color w:val="000000"/>
          <w:sz w:val="24"/>
          <w:szCs w:val="24"/>
          <w:lang w:val="ru-RU"/>
        </w:rPr>
        <w:t xml:space="preserve"> </w:t>
      </w:r>
      <w:r>
        <w:rPr>
          <w:rFonts w:eastAsia="Times New Roman" w:cs="Times New Roman"/>
          <w:color w:val="000000"/>
          <w:kern w:val="0"/>
          <w:sz w:val="24"/>
          <w:szCs w:val="24"/>
          <w:lang w:val="ru-RU" w:eastAsia="en-US" w:bidi="en-US"/>
        </w:rPr>
        <w:t>АО «Горэлектросеть»</w:t>
      </w:r>
      <w:r>
        <w:rPr>
          <w:rFonts w:eastAsia="Times New Roman" w:cs="Times New Roman"/>
          <w:b/>
          <w:color w:val="000000"/>
          <w:kern w:val="0"/>
          <w:sz w:val="24"/>
          <w:szCs w:val="24"/>
          <w:lang w:val="ru-RU" w:eastAsia="en-US" w:bidi="en-US"/>
        </w:rPr>
        <w:t xml:space="preserve">, </w:t>
      </w:r>
      <w:r>
        <w:rPr>
          <w:rFonts w:eastAsia="Times New Roman" w:cs="Times New Roman"/>
          <w:b w:val="false"/>
          <w:i w:val="false"/>
          <w:caps w:val="false"/>
          <w:smallCaps w:val="false"/>
          <w:color w:val="000000"/>
          <w:spacing w:val="0"/>
          <w:kern w:val="0"/>
          <w:sz w:val="24"/>
          <w:szCs w:val="24"/>
          <w:lang w:val="ru-RU" w:eastAsia="en-US" w:bidi="en-US"/>
        </w:rPr>
        <w:t>623113  г. Первоуральск, Свердловская обл.,</w:t>
      </w:r>
      <w:r>
        <w:rPr>
          <w:rFonts w:eastAsia="Times New Roman" w:cs="Times New Roman"/>
          <w:b/>
          <w:i w:val="false"/>
          <w:caps w:val="false"/>
          <w:smallCaps w:val="false"/>
          <w:color w:val="000000"/>
          <w:spacing w:val="0"/>
          <w:kern w:val="0"/>
          <w:sz w:val="24"/>
          <w:szCs w:val="24"/>
          <w:lang w:val="ru-RU" w:eastAsia="en-US" w:bidi="en-US"/>
        </w:rPr>
        <w:t>ул. Стахова, 2А</w:t>
      </w:r>
    </w:p>
    <w:p>
      <w:pPr>
        <w:pStyle w:val="Default"/>
        <w:ind w:left="0" w:right="0" w:firstLine="567"/>
        <w:jc w:val="both"/>
        <w:rPr/>
      </w:pPr>
      <w:r>
        <w:rPr>
          <w:b/>
          <w:sz w:val="22"/>
          <w:szCs w:val="22"/>
        </w:rPr>
        <w:t xml:space="preserve">Закон о закупках, </w:t>
      </w:r>
      <w:hyperlink r:id="rId3">
        <w:r>
          <w:rPr>
            <w:rStyle w:val="Style"/>
            <w:sz w:val="22"/>
            <w:szCs w:val="22"/>
          </w:rPr>
          <w:t>Закон</w:t>
        </w:r>
      </w:hyperlink>
      <w:r>
        <w:rPr>
          <w:b/>
          <w:sz w:val="22"/>
          <w:szCs w:val="22"/>
        </w:rPr>
        <w:t xml:space="preserve"> № 223-ФЗ </w:t>
      </w:r>
      <w:r>
        <w:rPr>
          <w:color w:val="auto"/>
          <w:sz w:val="22"/>
          <w:szCs w:val="22"/>
        </w:rPr>
        <w:t>– Федеральный закон</w:t>
      </w:r>
      <w:r>
        <w:rPr>
          <w:sz w:val="22"/>
          <w:szCs w:val="22"/>
        </w:rPr>
        <w:t xml:space="preserve"> от 18.07.2011 № 223-ФЗ «О закупках товаров, работ, услуг отдельными видами юридических лиц». </w:t>
      </w:r>
    </w:p>
    <w:p>
      <w:pPr>
        <w:pStyle w:val="Normal"/>
        <w:rPr/>
      </w:pPr>
      <w:r>
        <w:rPr>
          <w:b/>
          <w:bCs/>
          <w:sz w:val="22"/>
          <w:lang w:val="ru-RU"/>
        </w:rPr>
        <w:t xml:space="preserve">Закупка </w:t>
      </w:r>
      <w:r>
        <w:rPr>
          <w:sz w:val="22"/>
          <w:lang w:val="ru-RU"/>
        </w:rPr>
        <w:t>– процесс определения поставщика (подрядчика, исполнителя), с целью заключения с ним договора для удовлетворения нужд Заказчика.</w:t>
      </w:r>
    </w:p>
    <w:p>
      <w:pPr>
        <w:pStyle w:val="Default"/>
        <w:ind w:left="0" w:right="0" w:firstLine="567"/>
        <w:jc w:val="both"/>
        <w:rPr/>
      </w:pPr>
      <w:r>
        <w:rPr>
          <w:b/>
          <w:bCs/>
          <w:color w:val="auto"/>
          <w:sz w:val="22"/>
          <w:szCs w:val="22"/>
        </w:rPr>
        <w:t xml:space="preserve">Предмет закупки – </w:t>
      </w:r>
      <w:r>
        <w:rPr>
          <w:color w:val="auto"/>
          <w:sz w:val="22"/>
          <w:szCs w:val="22"/>
        </w:rPr>
        <w:t xml:space="preserve">конкретные товары, работы или услуги, которые предполагается поставить (выполнить, оказать) </w:t>
      </w:r>
      <w:r>
        <w:rPr>
          <w:bCs/>
          <w:color w:val="auto"/>
          <w:sz w:val="22"/>
          <w:szCs w:val="22"/>
        </w:rPr>
        <w:t xml:space="preserve">заказчику </w:t>
      </w:r>
      <w:r>
        <w:rPr>
          <w:color w:val="auto"/>
          <w:sz w:val="22"/>
          <w:szCs w:val="22"/>
        </w:rPr>
        <w:t>на условиях, определённых в</w:t>
      </w:r>
      <w:r>
        <w:rPr>
          <w:bCs/>
          <w:color w:val="auto"/>
          <w:sz w:val="22"/>
          <w:szCs w:val="22"/>
        </w:rPr>
        <w:t> документации о закупке, извещении.</w:t>
      </w:r>
    </w:p>
    <w:p>
      <w:pPr>
        <w:pStyle w:val="Default"/>
        <w:ind w:left="0" w:right="0" w:firstLine="567"/>
        <w:jc w:val="both"/>
        <w:rPr/>
      </w:pPr>
      <w:r>
        <w:rPr>
          <w:b/>
          <w:bCs/>
          <w:sz w:val="22"/>
          <w:szCs w:val="22"/>
        </w:rPr>
        <w:t xml:space="preserve">Заявка на участие в процедуре закупки </w:t>
      </w:r>
      <w:r>
        <w:rPr>
          <w:sz w:val="22"/>
          <w:szCs w:val="22"/>
        </w:rPr>
        <w:t xml:space="preserve">– комплект документов, содержащий предложение Участника процедуры закупки, направленный Заказчику по форме и в порядке, установленном документацией о закупке. </w:t>
      </w:r>
    </w:p>
    <w:p>
      <w:pPr>
        <w:pStyle w:val="Normal"/>
        <w:rPr/>
      </w:pPr>
      <w:r>
        <w:rPr>
          <w:b/>
          <w:sz w:val="22"/>
          <w:lang w:val="ru-RU" w:eastAsia="ru-RU"/>
        </w:rPr>
        <w:t xml:space="preserve">Квалифицированный сертификат ключа проверки электронной подписи (далее - </w:t>
      </w:r>
      <w:hyperlink r:id="rId4">
        <w:r>
          <w:rPr>
            <w:rStyle w:val="Style"/>
            <w:sz w:val="22"/>
            <w:lang w:val="ru-RU"/>
          </w:rPr>
          <w:t>квалифицированный сертификат</w:t>
        </w:r>
      </w:hyperlink>
      <w:r>
        <w:rPr>
          <w:b/>
          <w:sz w:val="22"/>
          <w:lang w:val="ru-RU" w:eastAsia="ru-RU"/>
        </w:rPr>
        <w:t>)</w:t>
      </w:r>
      <w:r>
        <w:rPr>
          <w:sz w:val="22"/>
          <w:lang w:val="ru-RU" w:eastAsia="ru-RU"/>
        </w:rPr>
        <w:t xml:space="preserve"> - сертификат ключа проверки электронной подписи, выданный аккредитованным удостоверяющим центром или доверенным лицом аккредитованного удостоверяющего центра либо федеральным органом исполнительной власти, уполномоченным в сфере использования электронной подписи.</w:t>
      </w:r>
    </w:p>
    <w:p>
      <w:pPr>
        <w:pStyle w:val="Default"/>
        <w:ind w:left="0" w:right="0" w:firstLine="567"/>
        <w:jc w:val="both"/>
        <w:rPr/>
      </w:pPr>
      <w:r>
        <w:rPr>
          <w:b/>
          <w:bCs/>
          <w:sz w:val="22"/>
          <w:szCs w:val="22"/>
        </w:rPr>
        <w:t xml:space="preserve">Начальная (максимальная) цена договора </w:t>
      </w:r>
      <w:r>
        <w:rPr>
          <w:sz w:val="22"/>
          <w:szCs w:val="22"/>
        </w:rPr>
        <w:t>– предельно допустимая цена договора, определяемая Заказчиком в документации о закупке.</w:t>
      </w:r>
    </w:p>
    <w:p>
      <w:pPr>
        <w:pStyle w:val="Normal"/>
        <w:rPr/>
      </w:pPr>
      <w:r>
        <w:rPr>
          <w:b/>
          <w:sz w:val="22"/>
          <w:lang w:val="ru-RU"/>
        </w:rPr>
        <w:t>Оператор электронной торговой площадки</w:t>
      </w:r>
      <w:r>
        <w:rPr>
          <w:sz w:val="22"/>
          <w:lang w:val="ru-RU"/>
        </w:rPr>
        <w:t xml:space="preserve"> – 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положениями Федерального закона.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w:t>
      </w:r>
    </w:p>
    <w:p>
      <w:pPr>
        <w:pStyle w:val="Default"/>
        <w:ind w:left="0" w:right="0" w:firstLine="567"/>
        <w:jc w:val="both"/>
        <w:rPr/>
      </w:pPr>
      <w:r>
        <w:rPr>
          <w:b/>
          <w:bCs/>
          <w:sz w:val="22"/>
          <w:szCs w:val="22"/>
        </w:rPr>
        <w:t xml:space="preserve">Реестр недобросовестных поставщиков </w:t>
      </w:r>
      <w:r>
        <w:rPr>
          <w:sz w:val="22"/>
          <w:szCs w:val="22"/>
        </w:rPr>
        <w:t xml:space="preserve">– публичный реестр, содержащий сведения о поставщиках (исполнителях, подрядчиках), уклонившихся от заключения договора, от представления обеспечения исполнения договора, если такое требование установлено документацией о закупке, а также о поставщиках (исполнителях, подрядчиков), договоры с которыми расторгнуты по решению суда, в связи с существенным нарушением ими условий договоров, ведение которого предусмотрено Законом о закупках и Федеральным </w:t>
      </w:r>
      <w:hyperlink r:id="rId5">
        <w:r>
          <w:rPr>
            <w:rStyle w:val="Style"/>
            <w:sz w:val="22"/>
            <w:szCs w:val="22"/>
          </w:rPr>
          <w:t>законом</w:t>
        </w:r>
      </w:hyperlink>
      <w:r>
        <w:rPr>
          <w:sz w:val="22"/>
          <w:szCs w:val="22"/>
        </w:rPr>
        <w:t xml:space="preserve">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w:t>
      </w:r>
    </w:p>
    <w:p>
      <w:pPr>
        <w:pStyle w:val="Normal"/>
        <w:rPr>
          <w:rFonts w:ascii="Times New Roman" w:hAnsi="Times New Roman"/>
          <w:sz w:val="22"/>
          <w:szCs w:val="22"/>
        </w:rPr>
      </w:pPr>
      <w:r>
        <w:rPr>
          <w:b/>
          <w:bCs/>
          <w:sz w:val="22"/>
          <w:szCs w:val="22"/>
          <w:lang w:val="ru-RU"/>
        </w:rPr>
        <w:t xml:space="preserve">Участник закупки </w:t>
      </w:r>
      <w:r>
        <w:rPr>
          <w:sz w:val="22"/>
          <w:szCs w:val="22"/>
          <w:lang w:val="ru-RU"/>
        </w:rPr>
        <w:t xml:space="preserve">– </w:t>
      </w:r>
      <w:bookmarkStart w:id="9" w:name="__DdeLink__1281_3332703954"/>
      <w:r>
        <w:rPr>
          <w:bCs/>
          <w:sz w:val="22"/>
          <w:szCs w:val="22"/>
          <w:lang w:val="ru-RU" w:eastAsia="ru-RU"/>
        </w:rPr>
        <w:t xml:space="preserve">любое </w:t>
      </w:r>
      <w:r>
        <w:rPr>
          <w:rFonts w:eastAsia="Times New Roman" w:cs="Times New Roman"/>
          <w:bCs/>
          <w:color w:val="000000"/>
          <w:sz w:val="22"/>
          <w:szCs w:val="22"/>
          <w:lang w:val="ru-RU" w:eastAsia="ru-RU"/>
        </w:rPr>
        <w:t>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w:t>
      </w:r>
      <w:r>
        <w:rPr>
          <w:rFonts w:eastAsia="Times New Roman" w:cs="Times New Roman"/>
          <w:bCs/>
          <w:color w:val="000000"/>
          <w:sz w:val="22"/>
          <w:szCs w:val="22"/>
          <w:highlight w:val="white"/>
          <w:lang w:val="ru-RU" w:eastAsia="ru-RU"/>
        </w:rPr>
        <w:t xml:space="preserve"> </w:t>
      </w:r>
      <w:r>
        <w:rPr>
          <w:rFonts w:eastAsia="Times New Roman" w:cs="Times New Roman"/>
          <w:bCs/>
          <w:color w:val="000000"/>
          <w:sz w:val="22"/>
          <w:szCs w:val="22"/>
          <w:lang w:val="ru-RU" w:eastAsia="ru-RU"/>
        </w:rPr>
        <w:t>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w:t>
      </w:r>
      <w:r>
        <w:rPr>
          <w:rFonts w:eastAsia="Times New Roman" w:cs="Times New Roman"/>
          <w:bCs/>
          <w:color w:val="000000"/>
          <w:sz w:val="22"/>
          <w:szCs w:val="22"/>
          <w:highlight w:val="white"/>
          <w:lang w:val="ru-RU" w:eastAsia="ru-RU"/>
        </w:rPr>
        <w:t xml:space="preserve"> законом </w:t>
      </w:r>
      <w:r>
        <w:rPr>
          <w:rFonts w:eastAsia="Times New Roman" w:cs="Times New Roman"/>
          <w:bCs/>
          <w:color w:val="000000"/>
          <w:sz w:val="22"/>
          <w:szCs w:val="22"/>
          <w:lang w:val="ru-RU" w:eastAsia="ru-RU"/>
        </w:rPr>
        <w:t>от 14 июля 2022 года N 255-ФЗ "О контроле за деятельностью лиц, находящихся под иностранным влиянием".</w:t>
      </w:r>
      <w:bookmarkEnd w:id="9"/>
    </w:p>
    <w:p>
      <w:pPr>
        <w:pStyle w:val="Normal"/>
        <w:rPr>
          <w:rFonts w:ascii="Times New Roman" w:hAnsi="Times New Roman"/>
          <w:sz w:val="22"/>
          <w:szCs w:val="22"/>
        </w:rPr>
      </w:pPr>
      <w:r>
        <w:rPr>
          <w:b/>
          <w:bCs/>
          <w:sz w:val="22"/>
          <w:szCs w:val="22"/>
          <w:lang w:val="ru-RU"/>
        </w:rPr>
        <w:t xml:space="preserve">Электронный документ </w:t>
      </w:r>
      <w:r>
        <w:rPr>
          <w:sz w:val="22"/>
          <w:szCs w:val="22"/>
          <w:lang w:val="ru-RU"/>
        </w:rPr>
        <w:t>–</w:t>
      </w:r>
      <w:r>
        <w:rPr>
          <w:sz w:val="22"/>
          <w:szCs w:val="22"/>
          <w:lang w:val="ru-RU" w:eastAsia="ru-RU"/>
        </w:rPr>
        <w:t xml:space="preserve"> информация в электронной форме, подписанная квалифицированной электронной подписью. </w:t>
      </w:r>
    </w:p>
    <w:p>
      <w:pPr>
        <w:pStyle w:val="Normal"/>
        <w:rPr/>
      </w:pPr>
      <w:r>
        <w:rPr>
          <w:b/>
          <w:sz w:val="22"/>
          <w:lang w:val="ru-RU" w:eastAsia="ru-RU"/>
        </w:rPr>
        <w:t>Электронная подпись</w:t>
      </w:r>
      <w:r>
        <w:rPr>
          <w:sz w:val="22"/>
          <w:lang w:val="ru-RU" w:eastAsia="ru-RU"/>
        </w:rPr>
        <w:t xml:space="preserve"> – </w:t>
      </w:r>
      <w:r>
        <w:rPr>
          <w:bCs/>
          <w:sz w:val="22"/>
          <w:lang w:val="ru-RU" w:eastAsia="ru-RU" w:bidi="ar-SA"/>
        </w:rPr>
        <w:t xml:space="preserve">усиленная квалифицированная электронная подпись. </w:t>
      </w:r>
    </w:p>
    <w:p>
      <w:pPr>
        <w:pStyle w:val="Style66"/>
        <w:jc w:val="both"/>
        <w:rPr/>
      </w:pPr>
      <w:r>
        <w:rPr>
          <w:rFonts w:cs="Times New Roman" w:ascii="Times New Roman" w:hAnsi="Times New Roman"/>
          <w:b/>
          <w:sz w:val="22"/>
          <w:szCs w:val="22"/>
        </w:rPr>
        <w:t xml:space="preserve">Усиленная квалифицированная электронная подпись </w:t>
      </w:r>
      <w:r>
        <w:rPr>
          <w:rFonts w:cs="Times New Roman" w:ascii="Times New Roman" w:hAnsi="Times New Roman"/>
          <w:sz w:val="22"/>
          <w:szCs w:val="22"/>
        </w:rPr>
        <w:t>– электронная подпись, соответствующая признакам, указанным в ч. 4 ст. 5 Федерального закона от 06.04.2011 № 63-ФЗ.</w:t>
      </w:r>
    </w:p>
    <w:p>
      <w:pPr>
        <w:pStyle w:val="Normal"/>
        <w:rPr/>
      </w:pPr>
      <w:r>
        <w:rPr>
          <w:b/>
          <w:sz w:val="22"/>
          <w:lang w:val="ru-RU" w:eastAsia="ru-RU"/>
        </w:rPr>
        <w:t>Электронная площадка (ЭП)</w:t>
      </w:r>
      <w:r>
        <w:rPr>
          <w:sz w:val="22"/>
          <w:lang w:val="ru-RU" w:eastAsia="ru-RU"/>
        </w:rPr>
        <w:t xml:space="preserve"> </w:t>
      </w:r>
      <w:r>
        <w:rPr>
          <w:bCs/>
          <w:sz w:val="22"/>
          <w:lang w:val="ru-RU" w:eastAsia="ru-RU" w:bidi="ar-SA"/>
        </w:rPr>
        <w:t>- комплекс информационных и технических решений, обеспечивающий взаимодействие  Заказчика с Поставщиком (исполнителем, подрядчиком) через электронные каналы связи на всех этапах заключения сделки.</w:t>
      </w:r>
    </w:p>
    <w:p>
      <w:pPr>
        <w:pStyle w:val="Normal"/>
        <w:rPr/>
      </w:pPr>
      <w:r>
        <w:rPr>
          <w:b/>
          <w:sz w:val="22"/>
          <w:lang w:val="ru-RU"/>
        </w:rPr>
        <w:t>Электронная торговая площадка</w:t>
      </w:r>
      <w:r>
        <w:rPr>
          <w:sz w:val="22"/>
          <w:lang w:val="ru-RU"/>
        </w:rPr>
        <w:t xml:space="preserve"> – сайт в информационно-телекоммуникационной сети Интернет, на котором проводятся закупки в электронной форме, обеспечивающий взаимодействие заказчика и участника (поставщика, подрядчика, исполнителя) при проведении закупочных процедур в электронной форме, соответствующий всем требованиям, указанным в законодательстве Российской Федерации.</w:t>
      </w:r>
    </w:p>
    <w:p>
      <w:pPr>
        <w:pStyle w:val="Style66"/>
        <w:ind w:left="0" w:right="0" w:firstLine="567"/>
        <w:jc w:val="both"/>
        <w:rPr/>
      </w:pPr>
      <w:r>
        <w:rPr>
          <w:rFonts w:cs="Times New Roman" w:ascii="Times New Roman" w:hAnsi="Times New Roman"/>
          <w:b/>
          <w:sz w:val="22"/>
          <w:szCs w:val="22"/>
        </w:rPr>
        <w:t>Уклонение от заключения договора</w:t>
      </w:r>
      <w:r>
        <w:rPr>
          <w:rFonts w:cs="Times New Roman" w:ascii="Times New Roman" w:hAnsi="Times New Roman"/>
          <w:sz w:val="22"/>
          <w:szCs w:val="22"/>
        </w:rPr>
        <w:t>– действия (бездействие) участника закупки, с которым заключается договор, направленные на его незаключение, в том числе непредставление в установленный документацией срок подписанного участником договора; представление договора в иной редакции, чем предусмотрено документацией; непредоставление или предоставление с нарушением условий, установленных документацией (извещением) до заключения договора обеспечения его исполнения или иных документов, которые требуются для заключения договора в соответствии с документацией (извещением) о закупке.</w:t>
      </w:r>
    </w:p>
    <w:p>
      <w:pPr>
        <w:pStyle w:val="Normal"/>
        <w:rPr/>
      </w:pPr>
      <w:r>
        <w:rPr>
          <w:b/>
          <w:bCs/>
          <w:iCs/>
          <w:sz w:val="22"/>
          <w:lang w:val="ru-RU"/>
        </w:rPr>
        <w:t xml:space="preserve">Эквивалент </w:t>
      </w:r>
      <w:r>
        <w:rPr>
          <w:bCs/>
          <w:iCs/>
          <w:sz w:val="22"/>
          <w:lang w:val="ru-RU"/>
        </w:rPr>
        <w:t>— равноценный, равнозначный, равносильный или соответствующий в каком-либо отношении товар, заменяющий его или служащий его выражением</w:t>
      </w:r>
    </w:p>
    <w:p>
      <w:pPr>
        <w:pStyle w:val="Default"/>
        <w:jc w:val="both"/>
        <w:rPr/>
      </w:pPr>
      <w:r>
        <w:rPr>
          <w:b/>
          <w:bCs/>
          <w:color w:val="auto"/>
          <w:sz w:val="22"/>
          <w:szCs w:val="22"/>
        </w:rPr>
        <w:t xml:space="preserve">Предмет закупки – </w:t>
      </w:r>
      <w:r>
        <w:rPr>
          <w:color w:val="auto"/>
          <w:sz w:val="22"/>
          <w:szCs w:val="22"/>
        </w:rPr>
        <w:t xml:space="preserve">конкретные товары, работы или услуги, которые предполагается поставить (выполнить, оказать) </w:t>
      </w:r>
      <w:r>
        <w:rPr>
          <w:bCs/>
          <w:color w:val="auto"/>
          <w:sz w:val="22"/>
          <w:szCs w:val="22"/>
        </w:rPr>
        <w:t xml:space="preserve">заказчику </w:t>
      </w:r>
      <w:r>
        <w:rPr>
          <w:color w:val="auto"/>
          <w:sz w:val="22"/>
          <w:szCs w:val="22"/>
        </w:rPr>
        <w:t>на условиях, определённых в</w:t>
      </w:r>
      <w:r>
        <w:rPr>
          <w:bCs/>
          <w:color w:val="auto"/>
          <w:sz w:val="22"/>
          <w:szCs w:val="22"/>
        </w:rPr>
        <w:t> документации о закупке.</w:t>
      </w:r>
    </w:p>
    <w:p>
      <w:pPr>
        <w:pStyle w:val="Normal"/>
        <w:rPr/>
      </w:pPr>
      <w:r>
        <w:rPr>
          <w:b/>
          <w:color w:val="000000"/>
          <w:sz w:val="22"/>
          <w:lang w:val="ru-RU"/>
        </w:rPr>
        <w:t xml:space="preserve">План закупки товаров, работ, услуг (далее - План закупки) </w:t>
      </w:r>
      <w:r>
        <w:rPr>
          <w:sz w:val="22"/>
          <w:lang w:val="ru-RU" w:eastAsia="ru-RU"/>
        </w:rPr>
        <w:t xml:space="preserve">– </w:t>
      </w:r>
      <w:r>
        <w:rPr>
          <w:color w:val="000000"/>
          <w:sz w:val="22"/>
          <w:lang w:val="ru-RU"/>
        </w:rPr>
        <w:t>документ, который разработан и утвержден Заказчиком в соответствии с Постановлением Правительства РФ от 17.09.2012 № 932 «Об утверждении Правил формирования плана закупки товаров (работ, услуг) и требований к форме такого плана».</w:t>
      </w:r>
    </w:p>
    <w:p>
      <w:pPr>
        <w:pStyle w:val="3"/>
        <w:numPr>
          <w:ilvl w:val="0"/>
          <w:numId w:val="1"/>
        </w:numPr>
        <w:spacing w:before="120" w:after="120"/>
        <w:ind w:left="0" w:right="0" w:hanging="0"/>
        <w:contextualSpacing/>
        <w:rPr>
          <w:sz w:val="22"/>
        </w:rPr>
      </w:pPr>
      <w:bookmarkStart w:id="10" w:name="__RefHeading___Toc10247_953328800"/>
      <w:bookmarkStart w:id="11" w:name="_Toc520982932"/>
      <w:bookmarkStart w:id="12" w:name="_Toc412532378"/>
      <w:bookmarkEnd w:id="10"/>
      <w:r>
        <w:rPr>
          <w:sz w:val="22"/>
        </w:rPr>
        <w:t>ОБЩИЕ СВЕДЕНИЯ</w:t>
      </w:r>
      <w:bookmarkEnd w:id="11"/>
      <w:bookmarkEnd w:id="12"/>
    </w:p>
    <w:p>
      <w:pPr>
        <w:pStyle w:val="4"/>
        <w:numPr>
          <w:ilvl w:val="0"/>
          <w:numId w:val="9"/>
        </w:numPr>
        <w:tabs>
          <w:tab w:val="clear" w:pos="709"/>
          <w:tab w:val="left" w:pos="1276" w:leader="none"/>
        </w:tabs>
        <w:spacing w:before="120" w:after="120"/>
        <w:ind w:left="0" w:right="0" w:firstLine="567"/>
        <w:contextualSpacing/>
        <w:rPr>
          <w:sz w:val="22"/>
          <w:lang w:val="ru-RU"/>
        </w:rPr>
      </w:pPr>
      <w:r>
        <w:rPr>
          <w:sz w:val="22"/>
          <w:lang w:val="ru-RU"/>
        </w:rPr>
        <w:t>Законодательное регулирование</w:t>
      </w:r>
    </w:p>
    <w:p>
      <w:pPr>
        <w:pStyle w:val="ListParagraph"/>
        <w:numPr>
          <w:ilvl w:val="0"/>
          <w:numId w:val="10"/>
        </w:numPr>
        <w:tabs>
          <w:tab w:val="clear" w:pos="709"/>
          <w:tab w:val="left" w:pos="1276" w:leader="none"/>
        </w:tabs>
        <w:ind w:left="0" w:right="0" w:firstLine="567"/>
        <w:rPr>
          <w:sz w:val="22"/>
          <w:lang w:val="ru-RU"/>
        </w:rPr>
      </w:pPr>
      <w:r>
        <w:rPr>
          <w:sz w:val="22"/>
          <w:lang w:val="ru-RU"/>
        </w:rPr>
        <w:t>Заказчик при закупке продукции руководствуется Конституцией Российской федерации, Гражданским кодексом Российской Федерации, Законом о закупках, другими федеральными законами и нормативными правовыми актами Российской Федерации, регулирующими отношения, связанные с закупками, а также Положением о закупке.</w:t>
      </w:r>
    </w:p>
    <w:p>
      <w:pPr>
        <w:pStyle w:val="ListParagraph"/>
        <w:numPr>
          <w:ilvl w:val="0"/>
          <w:numId w:val="10"/>
        </w:numPr>
        <w:tabs>
          <w:tab w:val="clear" w:pos="709"/>
          <w:tab w:val="left" w:pos="1276" w:leader="none"/>
        </w:tabs>
        <w:ind w:left="0" w:right="0" w:firstLine="567"/>
        <w:rPr>
          <w:sz w:val="22"/>
          <w:lang w:val="ru-RU"/>
        </w:rPr>
      </w:pPr>
      <w:r>
        <w:rPr>
          <w:sz w:val="22"/>
          <w:lang w:val="ru-RU"/>
        </w:rPr>
        <w:t xml:space="preserve">Заказчик осуществляет закупку продукции на основании утвержденного и размещенного в единой информационной системе в сфере закупок Плана закупки. </w:t>
      </w:r>
    </w:p>
    <w:p>
      <w:pPr>
        <w:pStyle w:val="ListParagraph"/>
        <w:numPr>
          <w:ilvl w:val="0"/>
          <w:numId w:val="10"/>
        </w:numPr>
        <w:tabs>
          <w:tab w:val="clear" w:pos="709"/>
          <w:tab w:val="left" w:pos="1276" w:leader="none"/>
        </w:tabs>
        <w:ind w:left="0" w:right="0" w:firstLine="567"/>
        <w:rPr>
          <w:sz w:val="22"/>
          <w:lang w:val="ru-RU"/>
        </w:rPr>
      </w:pPr>
      <w:r>
        <w:rPr>
          <w:sz w:val="22"/>
          <w:lang w:val="ru-RU"/>
        </w:rPr>
        <w:t xml:space="preserve">Заказчик разрабатывает нормативные и методические материалы, необходимые для использования в организации закупочной деятельности для собственных нужд. </w:t>
      </w:r>
    </w:p>
    <w:p>
      <w:pPr>
        <w:pStyle w:val="ListParagraph"/>
        <w:numPr>
          <w:ilvl w:val="0"/>
          <w:numId w:val="10"/>
        </w:numPr>
        <w:tabs>
          <w:tab w:val="clear" w:pos="709"/>
          <w:tab w:val="left" w:pos="1276" w:leader="none"/>
        </w:tabs>
        <w:ind w:left="0" w:right="0" w:firstLine="567"/>
        <w:rPr>
          <w:sz w:val="22"/>
          <w:lang w:val="ru-RU"/>
        </w:rPr>
      </w:pPr>
      <w:r>
        <w:rPr>
          <w:sz w:val="22"/>
          <w:lang w:val="ru-RU"/>
        </w:rPr>
        <w:t xml:space="preserve">Все цены включают в себя налог на добавленную стоимость (НДС), за исключением продукции, по которой НДС не взимается согласно законодательству Российской Федерации. </w:t>
      </w:r>
    </w:p>
    <w:p>
      <w:pPr>
        <w:pStyle w:val="ListParagraph"/>
        <w:numPr>
          <w:ilvl w:val="0"/>
          <w:numId w:val="10"/>
        </w:numPr>
        <w:tabs>
          <w:tab w:val="clear" w:pos="709"/>
          <w:tab w:val="left" w:pos="1276" w:leader="none"/>
        </w:tabs>
        <w:ind w:left="0" w:right="0" w:firstLine="567"/>
        <w:rPr>
          <w:sz w:val="22"/>
          <w:lang w:val="ru-RU"/>
        </w:rPr>
      </w:pPr>
      <w:r>
        <w:rPr>
          <w:sz w:val="22"/>
          <w:lang w:val="ru-RU"/>
        </w:rPr>
        <w:t>Процедура закупки проводится в соответствии с Положением о закупке в редакции, действующей на дату размещения извещения о процедуре закупки в единой информационной системе.</w:t>
      </w:r>
    </w:p>
    <w:p>
      <w:pPr>
        <w:pStyle w:val="4"/>
        <w:numPr>
          <w:ilvl w:val="0"/>
          <w:numId w:val="11"/>
        </w:numPr>
        <w:tabs>
          <w:tab w:val="clear" w:pos="709"/>
          <w:tab w:val="left" w:pos="1276" w:leader="none"/>
        </w:tabs>
        <w:spacing w:before="120" w:after="120"/>
        <w:ind w:left="0" w:right="0" w:firstLine="567"/>
        <w:contextualSpacing/>
        <w:rPr>
          <w:sz w:val="22"/>
          <w:lang w:val="ru-RU"/>
        </w:rPr>
      </w:pPr>
      <w:r>
        <w:rPr>
          <w:sz w:val="22"/>
          <w:lang w:val="ru-RU"/>
        </w:rPr>
        <w:t xml:space="preserve"> </w:t>
      </w:r>
      <w:r>
        <w:rPr>
          <w:sz w:val="22"/>
          <w:lang w:val="ru-RU"/>
        </w:rPr>
        <w:t>Заказчик</w:t>
      </w:r>
    </w:p>
    <w:p>
      <w:pPr>
        <w:pStyle w:val="ListParagraph"/>
        <w:numPr>
          <w:ilvl w:val="0"/>
          <w:numId w:val="12"/>
        </w:numPr>
        <w:tabs>
          <w:tab w:val="clear" w:pos="709"/>
          <w:tab w:val="left" w:pos="1276" w:leader="none"/>
        </w:tabs>
        <w:ind w:left="0" w:right="0" w:firstLine="567"/>
        <w:rPr>
          <w:sz w:val="22"/>
          <w:lang w:val="ru-RU"/>
        </w:rPr>
      </w:pPr>
      <w:r>
        <w:rPr>
          <w:sz w:val="22"/>
          <w:lang w:val="ru-RU"/>
        </w:rPr>
        <w:t>Заказчик проводит аукцион, предмет и условия которого указаны в Информационной карте аукциона, в соответствии с процедурами, условиями и положениями настоящей документации о закупке.</w:t>
      </w:r>
    </w:p>
    <w:p>
      <w:pPr>
        <w:pStyle w:val="ListParagraph"/>
        <w:numPr>
          <w:ilvl w:val="0"/>
          <w:numId w:val="12"/>
        </w:numPr>
        <w:tabs>
          <w:tab w:val="clear" w:pos="709"/>
          <w:tab w:val="left" w:pos="1276" w:leader="none"/>
        </w:tabs>
        <w:ind w:left="0" w:right="0" w:firstLine="567"/>
        <w:rPr>
          <w:sz w:val="22"/>
          <w:lang w:val="ru-RU"/>
        </w:rPr>
      </w:pPr>
      <w:r>
        <w:rPr>
          <w:sz w:val="22"/>
          <w:lang w:val="ru-RU"/>
        </w:rPr>
        <w:t>Почтовый и фактический адреса Заказчика указаны в Информационной карте.</w:t>
      </w:r>
    </w:p>
    <w:p>
      <w:pPr>
        <w:pStyle w:val="4"/>
        <w:numPr>
          <w:ilvl w:val="0"/>
          <w:numId w:val="11"/>
        </w:numPr>
        <w:tabs>
          <w:tab w:val="clear" w:pos="709"/>
          <w:tab w:val="left" w:pos="1276" w:leader="none"/>
        </w:tabs>
        <w:spacing w:before="120" w:after="120"/>
        <w:ind w:left="0" w:right="0" w:firstLine="567"/>
        <w:contextualSpacing/>
        <w:rPr>
          <w:sz w:val="22"/>
          <w:lang w:val="ru-RU"/>
        </w:rPr>
      </w:pPr>
      <w:r>
        <w:rPr>
          <w:sz w:val="22"/>
          <w:lang w:val="ru-RU"/>
        </w:rPr>
        <w:t>Предмет закупки. Место и сроки поставки товаров (выполнения работ, оказания услуг)</w:t>
      </w:r>
    </w:p>
    <w:p>
      <w:pPr>
        <w:pStyle w:val="ListParagraph"/>
        <w:numPr>
          <w:ilvl w:val="0"/>
          <w:numId w:val="13"/>
        </w:numPr>
        <w:tabs>
          <w:tab w:val="clear" w:pos="709"/>
          <w:tab w:val="left" w:pos="1276" w:leader="none"/>
        </w:tabs>
        <w:ind w:left="0" w:right="0" w:firstLine="567"/>
        <w:rPr/>
      </w:pPr>
      <w:r>
        <w:rPr>
          <w:sz w:val="22"/>
          <w:lang w:val="ru-RU"/>
        </w:rPr>
        <w:t xml:space="preserve">Заказчик выбирает Поставщика (Исполнителя) товаров (работ/услуг), информация о которых содержится в </w:t>
      </w:r>
      <w:hyperlink w:anchor="ocal_Settings" w:tgtFrame="emporary%20Internet%20FilesÐ">
        <w:r>
          <w:rPr>
            <w:rStyle w:val="Style"/>
            <w:sz w:val="22"/>
            <w:lang w:val="ru-RU"/>
          </w:rPr>
          <w:t>Информационной карте аукциона</w:t>
        </w:r>
      </w:hyperlink>
      <w:r>
        <w:rPr>
          <w:sz w:val="22"/>
          <w:lang w:val="ru-RU"/>
        </w:rPr>
        <w:t>, в соответствии с процедурами и условиями, приведенными в документации о закупке, в том числе в проекте договора</w:t>
      </w:r>
      <w:hyperlink w:anchor="_ЧАСТЬ_II._ПРОЕКТ_ГОСУДАРСТВЕННОГО_К%23_ЧАСТЬ_II._ПРОЕКТ_ГОСУДАРСТВЕННОГО_К" w:tgtFrame="vchinnikovaÐ">
        <w:r>
          <w:rPr>
            <w:rStyle w:val="Style"/>
            <w:sz w:val="22"/>
            <w:lang w:val="ru-RU"/>
          </w:rPr>
          <w:t>.</w:t>
        </w:r>
      </w:hyperlink>
    </w:p>
    <w:p>
      <w:pPr>
        <w:pStyle w:val="ListParagraph"/>
        <w:numPr>
          <w:ilvl w:val="0"/>
          <w:numId w:val="13"/>
        </w:numPr>
        <w:tabs>
          <w:tab w:val="clear" w:pos="709"/>
          <w:tab w:val="left" w:pos="1276" w:leader="none"/>
        </w:tabs>
        <w:ind w:left="0" w:right="0" w:firstLine="567"/>
        <w:rPr>
          <w:sz w:val="22"/>
          <w:lang w:val="ru-RU"/>
        </w:rPr>
      </w:pPr>
      <w:r>
        <w:rPr>
          <w:sz w:val="22"/>
          <w:lang w:val="ru-RU"/>
        </w:rPr>
        <w:t xml:space="preserve">Победитель аукциона должен будет поставить товары (выполнить работы, оказать услуги), входящие в предмет договора, в месте и в срок, указанные в Информационной карте аукциона, по цене, предложенной Участником аукциона. </w:t>
      </w:r>
    </w:p>
    <w:p>
      <w:pPr>
        <w:pStyle w:val="ListParagraph"/>
        <w:numPr>
          <w:ilvl w:val="0"/>
          <w:numId w:val="13"/>
        </w:numPr>
        <w:tabs>
          <w:tab w:val="clear" w:pos="709"/>
          <w:tab w:val="left" w:pos="1276" w:leader="none"/>
        </w:tabs>
        <w:ind w:left="0" w:right="0" w:firstLine="567"/>
        <w:rPr>
          <w:sz w:val="22"/>
          <w:lang w:val="ru-RU"/>
        </w:rPr>
      </w:pPr>
      <w:r>
        <w:rPr>
          <w:sz w:val="22"/>
          <w:lang w:val="ru-RU"/>
        </w:rPr>
        <w:t>Определения, зафиксированные в проекте договора, применяются во всей настоящей документации о закупке.</w:t>
      </w:r>
    </w:p>
    <w:p>
      <w:pPr>
        <w:pStyle w:val="4"/>
        <w:numPr>
          <w:ilvl w:val="0"/>
          <w:numId w:val="11"/>
        </w:numPr>
        <w:tabs>
          <w:tab w:val="clear" w:pos="709"/>
          <w:tab w:val="left" w:pos="1276" w:leader="none"/>
        </w:tabs>
        <w:spacing w:before="120" w:after="120"/>
        <w:ind w:left="0" w:right="0" w:firstLine="567"/>
        <w:contextualSpacing/>
        <w:rPr>
          <w:sz w:val="22"/>
          <w:lang w:val="ru-RU"/>
        </w:rPr>
      </w:pPr>
      <w:r>
        <w:rPr>
          <w:sz w:val="22"/>
          <w:lang w:val="ru-RU"/>
        </w:rPr>
        <w:t>Отказ от проведения закупки</w:t>
      </w:r>
    </w:p>
    <w:p>
      <w:pPr>
        <w:pStyle w:val="ListParagraph"/>
        <w:numPr>
          <w:ilvl w:val="0"/>
          <w:numId w:val="34"/>
        </w:numPr>
        <w:tabs>
          <w:tab w:val="clear" w:pos="709"/>
          <w:tab w:val="left" w:pos="1418" w:leader="none"/>
          <w:tab w:val="left" w:pos="2708" w:leader="none"/>
        </w:tabs>
        <w:ind w:left="0" w:right="0" w:firstLine="567"/>
        <w:rPr>
          <w:sz w:val="22"/>
          <w:lang w:val="ru-RU"/>
        </w:rPr>
      </w:pPr>
      <w:r>
        <w:rPr>
          <w:sz w:val="22"/>
          <w:lang w:val="ru-RU"/>
        </w:rPr>
        <w:t>Заказчик вправе отказаться от проведения аукциона в любой момент до даты окончания подачи заявок на участие в аукционе. Заказчик не несет обязательств или ответственности в случае не ознакомления участниками закупки с информацией об отказе от проведения аукциона.</w:t>
      </w:r>
    </w:p>
    <w:p>
      <w:pPr>
        <w:pStyle w:val="ListParagraph"/>
        <w:numPr>
          <w:ilvl w:val="0"/>
          <w:numId w:val="34"/>
        </w:numPr>
        <w:tabs>
          <w:tab w:val="clear" w:pos="709"/>
          <w:tab w:val="left" w:pos="1276" w:leader="none"/>
        </w:tabs>
        <w:ind w:left="0" w:right="0" w:firstLine="568"/>
        <w:rPr>
          <w:sz w:val="22"/>
          <w:lang w:val="ru-RU" w:eastAsia="ru-RU"/>
        </w:rPr>
      </w:pPr>
      <w:r>
        <w:rPr>
          <w:sz w:val="22"/>
          <w:lang w:val="ru-RU" w:eastAsia="ru-RU"/>
        </w:rPr>
        <w:t>Решение об отмене конкурентной закупки размещается в единой информационной системе в день принятия этого решения.</w:t>
      </w:r>
    </w:p>
    <w:p>
      <w:pPr>
        <w:pStyle w:val="ListParagraph"/>
        <w:tabs>
          <w:tab w:val="clear" w:pos="709"/>
          <w:tab w:val="left" w:pos="1276" w:leader="none"/>
        </w:tabs>
        <w:ind w:left="568" w:right="0" w:hanging="0"/>
        <w:rPr>
          <w:sz w:val="22"/>
          <w:lang w:val="ru-RU" w:eastAsia="ru-RU"/>
        </w:rPr>
      </w:pPr>
      <w:r>
        <w:rPr>
          <w:sz w:val="22"/>
          <w:lang w:val="ru-RU" w:eastAsia="ru-RU"/>
        </w:rPr>
      </w:r>
    </w:p>
    <w:p>
      <w:pPr>
        <w:pStyle w:val="4"/>
        <w:numPr>
          <w:ilvl w:val="0"/>
          <w:numId w:val="11"/>
        </w:numPr>
        <w:tabs>
          <w:tab w:val="clear" w:pos="709"/>
          <w:tab w:val="left" w:pos="1276" w:leader="none"/>
        </w:tabs>
        <w:spacing w:before="120" w:after="120"/>
        <w:ind w:left="0" w:right="0" w:firstLine="567"/>
        <w:contextualSpacing/>
        <w:rPr>
          <w:sz w:val="22"/>
          <w:lang w:val="ru-RU"/>
        </w:rPr>
      </w:pPr>
      <w:r>
        <w:rPr>
          <w:sz w:val="22"/>
          <w:lang w:val="ru-RU"/>
        </w:rPr>
        <w:t>Начальная (максимальная) цена договора</w:t>
      </w:r>
    </w:p>
    <w:p>
      <w:pPr>
        <w:pStyle w:val="ListParagraph"/>
        <w:tabs>
          <w:tab w:val="clear" w:pos="709"/>
          <w:tab w:val="left" w:pos="1276" w:leader="none"/>
        </w:tabs>
        <w:ind w:left="0" w:right="0" w:firstLine="567"/>
        <w:rPr>
          <w:sz w:val="22"/>
          <w:lang w:val="ru-RU"/>
        </w:rPr>
      </w:pPr>
      <w:r>
        <w:rPr>
          <w:sz w:val="22"/>
          <w:lang w:val="ru-RU"/>
        </w:rPr>
        <w:t>1.5.1. Начальная (максимальная) цена договора определена в Информационной карте аукциона. Данная цена не может быть превышена при заключении договора по итогам аукциона.</w:t>
      </w:r>
    </w:p>
    <w:p>
      <w:pPr>
        <w:pStyle w:val="Default"/>
        <w:tabs>
          <w:tab w:val="clear" w:pos="709"/>
          <w:tab w:val="left" w:pos="1134" w:leader="none"/>
        </w:tabs>
        <w:ind w:left="0" w:right="0" w:firstLine="567"/>
        <w:jc w:val="both"/>
        <w:rPr>
          <w:sz w:val="22"/>
          <w:szCs w:val="22"/>
        </w:rPr>
      </w:pPr>
      <w:r>
        <w:rPr>
          <w:sz w:val="22"/>
          <w:szCs w:val="22"/>
        </w:rPr>
        <w:t xml:space="preserve">1.5.2. Начальная (максимальная) цена договора, в т.ч. цена за единицу товара продукции включают в себя налог на добавленную стоимость (НДС), за исключением продукции, по которой НДС не взимается согласно законодательству Российской Федерации. </w:t>
      </w:r>
    </w:p>
    <w:p>
      <w:pPr>
        <w:pStyle w:val="ListParagraph"/>
        <w:tabs>
          <w:tab w:val="clear" w:pos="709"/>
          <w:tab w:val="left" w:pos="1276" w:leader="none"/>
        </w:tabs>
        <w:ind w:left="0" w:right="0" w:firstLine="567"/>
        <w:rPr>
          <w:sz w:val="22"/>
          <w:lang w:val="ru-RU"/>
        </w:rPr>
      </w:pPr>
      <w:r>
        <w:rPr>
          <w:sz w:val="22"/>
          <w:lang w:val="ru-RU"/>
        </w:rPr>
      </w:r>
    </w:p>
    <w:p>
      <w:pPr>
        <w:pStyle w:val="4"/>
        <w:numPr>
          <w:ilvl w:val="0"/>
          <w:numId w:val="11"/>
        </w:numPr>
        <w:tabs>
          <w:tab w:val="clear" w:pos="709"/>
          <w:tab w:val="left" w:pos="1276" w:leader="none"/>
        </w:tabs>
        <w:spacing w:before="120" w:after="120"/>
        <w:ind w:left="0" w:right="0" w:firstLine="567"/>
        <w:contextualSpacing/>
        <w:rPr>
          <w:sz w:val="22"/>
          <w:lang w:val="ru-RU"/>
        </w:rPr>
      </w:pPr>
      <w:r>
        <w:rPr>
          <w:sz w:val="22"/>
          <w:lang w:val="ru-RU"/>
        </w:rPr>
        <w:t>Источник финансирования и порядок оплаты</w:t>
      </w:r>
    </w:p>
    <w:p>
      <w:pPr>
        <w:pStyle w:val="ListParagraph"/>
        <w:numPr>
          <w:ilvl w:val="0"/>
          <w:numId w:val="14"/>
        </w:numPr>
        <w:tabs>
          <w:tab w:val="clear" w:pos="709"/>
          <w:tab w:val="left" w:pos="1276" w:leader="none"/>
        </w:tabs>
        <w:ind w:left="0" w:right="0" w:firstLine="567"/>
        <w:rPr>
          <w:sz w:val="22"/>
          <w:lang w:val="ru-RU"/>
        </w:rPr>
      </w:pPr>
      <w:r>
        <w:rPr>
          <w:sz w:val="22"/>
          <w:lang w:val="ru-RU"/>
        </w:rPr>
        <w:t xml:space="preserve">Финансирование договора, который будет заключен по результатам данного аукциона, будет осуществляться из источника, указанного в Информационной карте аукциона. </w:t>
      </w:r>
    </w:p>
    <w:p>
      <w:pPr>
        <w:pStyle w:val="ListParagraph"/>
        <w:numPr>
          <w:ilvl w:val="0"/>
          <w:numId w:val="14"/>
        </w:numPr>
        <w:tabs>
          <w:tab w:val="clear" w:pos="709"/>
          <w:tab w:val="left" w:pos="1276" w:leader="none"/>
        </w:tabs>
        <w:ind w:left="0" w:right="0" w:firstLine="567"/>
        <w:rPr>
          <w:sz w:val="22"/>
          <w:lang w:val="ru-RU"/>
        </w:rPr>
      </w:pPr>
      <w:r>
        <w:rPr>
          <w:sz w:val="22"/>
          <w:lang w:val="ru-RU"/>
        </w:rPr>
        <w:t>Порядок оплаты за поставленные товары (выполненные работы, оказанные услуги) определяется в Проекте договора (</w:t>
      </w:r>
      <w:r>
        <w:rPr>
          <w:rFonts w:eastAsia="Times New Roman" w:cs="Times New Roman"/>
          <w:color w:val="auto"/>
          <w:kern w:val="0"/>
          <w:sz w:val="22"/>
          <w:szCs w:val="22"/>
          <w:lang w:val="ru-RU" w:eastAsia="en-US" w:bidi="en-US"/>
        </w:rPr>
        <w:t xml:space="preserve">Раздел </w:t>
      </w:r>
      <w:r>
        <w:rPr>
          <w:sz w:val="22"/>
          <w:lang w:val="ru-RU"/>
        </w:rPr>
        <w:t>4 настоящей документации).</w:t>
      </w:r>
    </w:p>
    <w:p>
      <w:pPr>
        <w:pStyle w:val="ListParagraph"/>
        <w:tabs>
          <w:tab w:val="clear" w:pos="709"/>
          <w:tab w:val="left" w:pos="1276" w:leader="none"/>
        </w:tabs>
        <w:ind w:left="567" w:right="0" w:hanging="0"/>
        <w:rPr>
          <w:sz w:val="22"/>
          <w:lang w:val="ru-RU"/>
        </w:rPr>
      </w:pPr>
      <w:r>
        <w:rPr>
          <w:sz w:val="22"/>
          <w:lang w:val="ru-RU"/>
        </w:rPr>
      </w:r>
    </w:p>
    <w:p>
      <w:pPr>
        <w:pStyle w:val="3"/>
        <w:numPr>
          <w:ilvl w:val="0"/>
          <w:numId w:val="1"/>
        </w:numPr>
        <w:tabs>
          <w:tab w:val="clear" w:pos="709"/>
          <w:tab w:val="left" w:pos="1276" w:leader="none"/>
        </w:tabs>
        <w:spacing w:before="120" w:after="120"/>
        <w:ind w:left="0" w:right="0" w:firstLine="567"/>
        <w:contextualSpacing/>
        <w:rPr/>
      </w:pPr>
      <w:bookmarkStart w:id="13" w:name="__RefHeading___Toc10249_953328800"/>
      <w:bookmarkEnd w:id="13"/>
      <w:r>
        <w:rPr>
          <w:sz w:val="22"/>
        </w:rPr>
        <w:t xml:space="preserve"> </w:t>
      </w:r>
      <w:bookmarkStart w:id="14" w:name="_Toc520982933"/>
      <w:bookmarkStart w:id="15" w:name="_Toc412532379"/>
      <w:r>
        <w:rPr>
          <w:sz w:val="22"/>
        </w:rPr>
        <w:t>ДОКУМЕНТАЦИЯ О ЗАКУПКЕ</w:t>
      </w:r>
      <w:bookmarkEnd w:id="14"/>
      <w:bookmarkEnd w:id="15"/>
    </w:p>
    <w:p>
      <w:pPr>
        <w:pStyle w:val="4"/>
        <w:numPr>
          <w:ilvl w:val="0"/>
          <w:numId w:val="2"/>
        </w:numPr>
        <w:tabs>
          <w:tab w:val="clear" w:pos="709"/>
          <w:tab w:val="left" w:pos="1276" w:leader="none"/>
        </w:tabs>
        <w:ind w:left="0" w:right="0" w:firstLine="567"/>
        <w:rPr>
          <w:sz w:val="22"/>
          <w:lang w:val="ru-RU"/>
        </w:rPr>
      </w:pPr>
      <w:r>
        <w:rPr>
          <w:sz w:val="22"/>
          <w:lang w:val="ru-RU"/>
        </w:rPr>
        <w:t xml:space="preserve">Содержание аукционной документации </w:t>
      </w:r>
    </w:p>
    <w:p>
      <w:pPr>
        <w:pStyle w:val="ListParagraph"/>
        <w:numPr>
          <w:ilvl w:val="0"/>
          <w:numId w:val="3"/>
        </w:numPr>
        <w:tabs>
          <w:tab w:val="clear" w:pos="709"/>
          <w:tab w:val="left" w:pos="1276" w:leader="none"/>
        </w:tabs>
        <w:ind w:left="0" w:right="0" w:firstLine="567"/>
        <w:rPr>
          <w:sz w:val="22"/>
          <w:lang w:val="ru-RU"/>
        </w:rPr>
      </w:pPr>
      <w:r>
        <w:rPr>
          <w:sz w:val="22"/>
          <w:lang w:val="ru-RU"/>
        </w:rPr>
        <w:t>Документация о закупке должна содержать сведения, предусмотренные Положением о закупке.</w:t>
      </w:r>
    </w:p>
    <w:p>
      <w:pPr>
        <w:pStyle w:val="ListParagraph"/>
        <w:numPr>
          <w:ilvl w:val="0"/>
          <w:numId w:val="3"/>
        </w:numPr>
        <w:tabs>
          <w:tab w:val="clear" w:pos="709"/>
          <w:tab w:val="left" w:pos="1276" w:leader="none"/>
        </w:tabs>
        <w:ind w:left="0" w:right="0" w:firstLine="567"/>
        <w:rPr>
          <w:sz w:val="22"/>
          <w:lang w:val="ru-RU"/>
        </w:rPr>
      </w:pPr>
      <w:r>
        <w:rPr>
          <w:sz w:val="22"/>
          <w:lang w:val="ru-RU"/>
        </w:rPr>
        <w:t>Документация о закупке подлежит размещению в единой информационной системе в порядке, предусмотренном Положением о закупке.</w:t>
      </w:r>
    </w:p>
    <w:p>
      <w:pPr>
        <w:pStyle w:val="ListParagraph"/>
        <w:numPr>
          <w:ilvl w:val="0"/>
          <w:numId w:val="3"/>
        </w:numPr>
        <w:tabs>
          <w:tab w:val="clear" w:pos="709"/>
          <w:tab w:val="left" w:pos="1276" w:leader="none"/>
        </w:tabs>
        <w:ind w:left="0" w:right="0" w:firstLine="567"/>
        <w:rPr>
          <w:sz w:val="22"/>
          <w:lang w:val="ru-RU"/>
        </w:rPr>
      </w:pPr>
      <w:r>
        <w:rPr>
          <w:sz w:val="22"/>
          <w:lang w:val="ru-RU"/>
        </w:rPr>
        <w:t xml:space="preserve">Участнику аукциона необходимо изучить Положение о закупке Заказчика, аукционную документацию, включая все инструкции, формы, условия и техническую часть (техническое задание, спецификацию, др.), а также изменения и разъяснения к ней. </w:t>
      </w:r>
    </w:p>
    <w:p>
      <w:pPr>
        <w:pStyle w:val="ListParagraph"/>
        <w:numPr>
          <w:ilvl w:val="0"/>
          <w:numId w:val="3"/>
        </w:numPr>
        <w:tabs>
          <w:tab w:val="clear" w:pos="709"/>
          <w:tab w:val="left" w:pos="1276" w:leader="none"/>
        </w:tabs>
        <w:ind w:left="0" w:right="0" w:firstLine="567"/>
        <w:rPr>
          <w:sz w:val="22"/>
          <w:lang w:val="ru-RU"/>
        </w:rPr>
      </w:pPr>
      <w:r>
        <w:rPr>
          <w:sz w:val="22"/>
          <w:lang w:val="ru-RU"/>
        </w:rPr>
        <w:t xml:space="preserve">Непредставление полной информации, требуемой аукционной документацией, а также необходимых документов в составе заявки, наличие в таких документах недостоверных сведений об Участнике аукциона или о товарах (работах, услугах), на поставку (выполнение, оказание) которых размещается аукцион, или подача заявки, не отвечающей требованиям, которые содержатся в документации о закупке, является основанием для отклонения заявки на участие в аукционе. </w:t>
      </w:r>
    </w:p>
    <w:p>
      <w:pPr>
        <w:pStyle w:val="ListParagraph"/>
        <w:numPr>
          <w:ilvl w:val="0"/>
          <w:numId w:val="3"/>
        </w:numPr>
        <w:tabs>
          <w:tab w:val="clear" w:pos="709"/>
          <w:tab w:val="left" w:pos="1276" w:leader="none"/>
        </w:tabs>
        <w:ind w:left="0" w:right="0" w:firstLine="567"/>
        <w:rPr>
          <w:sz w:val="22"/>
          <w:lang w:val="ru-RU"/>
        </w:rPr>
      </w:pPr>
      <w:r>
        <w:rPr>
          <w:sz w:val="22"/>
          <w:lang w:val="ru-RU"/>
        </w:rPr>
        <w:t>Заявка на участие в закупке Участника аукциона, подготовленная не на основании действующей на момент окончания срока подачи заявок редакции документации о закупке будет рассматриваться в порядке, предусмотренном действующей на момент окончания срока подачи заявок редакции документации о закупке.</w:t>
      </w:r>
    </w:p>
    <w:p>
      <w:pPr>
        <w:pStyle w:val="ListParagraph"/>
        <w:numPr>
          <w:ilvl w:val="0"/>
          <w:numId w:val="3"/>
        </w:numPr>
        <w:tabs>
          <w:tab w:val="clear" w:pos="709"/>
          <w:tab w:val="left" w:pos="1276" w:leader="none"/>
        </w:tabs>
        <w:ind w:left="0" w:right="0" w:firstLine="567"/>
        <w:rPr>
          <w:sz w:val="22"/>
          <w:lang w:val="ru-RU"/>
        </w:rPr>
      </w:pPr>
      <w:r>
        <w:rPr>
          <w:sz w:val="22"/>
          <w:lang w:val="ru-RU"/>
        </w:rPr>
        <w:t>В случае, если для участия в аукционе иностранному лицу потребуется документация о закупке на иностранном языке, перевод на иностранный язык такое лицо осуществляет самостоятельно за свой счет, если иное не установлено в извещении о проведении аукциона.</w:t>
      </w:r>
    </w:p>
    <w:p>
      <w:pPr>
        <w:pStyle w:val="4"/>
        <w:numPr>
          <w:ilvl w:val="0"/>
          <w:numId w:val="4"/>
        </w:numPr>
        <w:tabs>
          <w:tab w:val="clear" w:pos="709"/>
          <w:tab w:val="left" w:pos="1276" w:leader="none"/>
        </w:tabs>
        <w:ind w:left="0" w:right="0" w:firstLine="567"/>
        <w:rPr>
          <w:sz w:val="22"/>
          <w:lang w:val="ru-RU"/>
        </w:rPr>
      </w:pPr>
      <w:r>
        <w:rPr>
          <w:sz w:val="22"/>
          <w:lang w:val="ru-RU"/>
        </w:rPr>
        <w:t>Разъяснение положений аукционной документации</w:t>
      </w:r>
    </w:p>
    <w:p>
      <w:pPr>
        <w:pStyle w:val="ListParagraph"/>
        <w:numPr>
          <w:ilvl w:val="0"/>
          <w:numId w:val="5"/>
        </w:numPr>
        <w:tabs>
          <w:tab w:val="clear" w:pos="709"/>
          <w:tab w:val="left" w:pos="1276" w:leader="none"/>
        </w:tabs>
        <w:ind w:left="0" w:right="0" w:firstLine="567"/>
        <w:rPr/>
      </w:pPr>
      <w:r>
        <w:rPr>
          <w:sz w:val="22"/>
          <w:lang w:val="ru-RU"/>
        </w:rPr>
        <w:t xml:space="preserve">При проведении аукциона какие-либо переговоры Заказчика или Единой комиссии с Участником аукциона не допускаются, за исключением предоставления разъяснений положений документации о закупке через </w:t>
      </w:r>
      <w:r>
        <w:rPr>
          <w:sz w:val="22"/>
          <w:lang w:val="ru-RU" w:eastAsia="ru-RU" w:bidi="ar-SA"/>
        </w:rPr>
        <w:t>оператора электронной площадки на электронной площадке.</w:t>
      </w:r>
    </w:p>
    <w:p>
      <w:pPr>
        <w:pStyle w:val="ListParagraph"/>
        <w:numPr>
          <w:ilvl w:val="0"/>
          <w:numId w:val="5"/>
        </w:numPr>
        <w:tabs>
          <w:tab w:val="clear" w:pos="709"/>
          <w:tab w:val="left" w:pos="1276" w:leader="none"/>
        </w:tabs>
        <w:ind w:left="0" w:right="0" w:firstLine="567"/>
        <w:rPr>
          <w:sz w:val="22"/>
          <w:lang w:val="ru-RU"/>
        </w:rPr>
      </w:pPr>
      <w:r>
        <w:rPr>
          <w:sz w:val="22"/>
          <w:lang w:val="ru-RU"/>
        </w:rPr>
        <w:t>Любой Участник закупки вправе направить из Личного кабинета посредством штатного интерфейса закрытой части ЭП в соответствии с регламентом электронной площадки  запрос о разъяснении положений извещения об осуществлении закупки и (или) документации о закупке.</w:t>
      </w:r>
    </w:p>
    <w:p>
      <w:pPr>
        <w:pStyle w:val="ListParagraph"/>
        <w:numPr>
          <w:ilvl w:val="0"/>
          <w:numId w:val="5"/>
        </w:numPr>
        <w:tabs>
          <w:tab w:val="clear" w:pos="709"/>
          <w:tab w:val="left" w:pos="1276" w:leader="none"/>
        </w:tabs>
        <w:ind w:left="0" w:right="0" w:firstLine="567"/>
        <w:rPr>
          <w:sz w:val="22"/>
          <w:lang w:val="ru-RU"/>
        </w:rPr>
      </w:pPr>
      <w:r>
        <w:rPr>
          <w:sz w:val="22"/>
          <w:lang w:val="ru-RU"/>
        </w:rPr>
        <w:t xml:space="preserve">В течение 3 (трех) рабочих дней с даты поступления указанного запроса Заказчик обязан направить в письменной форме или в форме электронного документа разъяснения положений аукционной документации, если указанный запрос поступил к Заказчику не позднее чем за 3 (три) рабочих дня до даты окончания срока подачи заявок на участие в аукционе. </w:t>
      </w:r>
    </w:p>
    <w:p>
      <w:pPr>
        <w:pStyle w:val="ListParagraph"/>
        <w:numPr>
          <w:ilvl w:val="0"/>
          <w:numId w:val="5"/>
        </w:numPr>
        <w:tabs>
          <w:tab w:val="clear" w:pos="709"/>
          <w:tab w:val="left" w:pos="1276" w:leader="none"/>
        </w:tabs>
        <w:ind w:left="0" w:right="0" w:firstLine="567"/>
        <w:rPr>
          <w:sz w:val="22"/>
          <w:lang w:val="ru-RU" w:eastAsia="ru-RU" w:bidi="ar-SA"/>
        </w:rPr>
      </w:pPr>
      <w:r>
        <w:rPr>
          <w:sz w:val="22"/>
          <w:lang w:val="ru-RU" w:eastAsia="ru-RU" w:bidi="ar-SA"/>
        </w:rPr>
        <w:t>Разъяснения положений документации о конкурентной закупке не должны изменять предмет закупки и существенные условия проекта договора.</w:t>
      </w:r>
    </w:p>
    <w:p>
      <w:pPr>
        <w:pStyle w:val="ListParagraph"/>
        <w:numPr>
          <w:ilvl w:val="0"/>
          <w:numId w:val="5"/>
        </w:numPr>
        <w:tabs>
          <w:tab w:val="clear" w:pos="709"/>
          <w:tab w:val="left" w:pos="1418" w:leader="none"/>
          <w:tab w:val="left" w:pos="2708" w:leader="none"/>
        </w:tabs>
        <w:ind w:left="720" w:right="0" w:firstLine="65"/>
        <w:rPr>
          <w:sz w:val="22"/>
          <w:highlight w:val="white"/>
          <w:lang w:val="ru-RU"/>
        </w:rPr>
      </w:pPr>
      <w:r>
        <w:rPr>
          <w:sz w:val="22"/>
          <w:highlight w:val="white"/>
          <w:lang w:val="ru-RU"/>
        </w:rPr>
        <w:t xml:space="preserve">Заказчику запрос о даче разъяснений положений аукционной документации. Заказчик вправе принять решение о внесении изменений в аукционную документацию не позднее чем за 3 (три) рабочих дня до даты окончания срока подачи заявок на участие в аукционе. </w:t>
      </w:r>
    </w:p>
    <w:p>
      <w:pPr>
        <w:pStyle w:val="ListParagraph"/>
        <w:tabs>
          <w:tab w:val="clear" w:pos="709"/>
          <w:tab w:val="left" w:pos="1276" w:leader="none"/>
        </w:tabs>
        <w:ind w:left="567" w:right="0" w:hanging="0"/>
        <w:rPr>
          <w:sz w:val="22"/>
          <w:lang w:val="ru-RU" w:eastAsia="ru-RU" w:bidi="ar-SA"/>
        </w:rPr>
      </w:pPr>
      <w:r>
        <w:rPr>
          <w:sz w:val="22"/>
          <w:lang w:val="ru-RU" w:eastAsia="ru-RU" w:bidi="ar-SA"/>
        </w:rPr>
      </w:r>
    </w:p>
    <w:p>
      <w:pPr>
        <w:pStyle w:val="4"/>
        <w:numPr>
          <w:ilvl w:val="0"/>
          <w:numId w:val="6"/>
        </w:numPr>
        <w:tabs>
          <w:tab w:val="clear" w:pos="709"/>
          <w:tab w:val="left" w:pos="1276" w:leader="none"/>
        </w:tabs>
        <w:ind w:left="0" w:right="0" w:firstLine="567"/>
        <w:rPr>
          <w:sz w:val="22"/>
          <w:lang w:val="ru-RU"/>
        </w:rPr>
      </w:pPr>
      <w:r>
        <w:rPr>
          <w:sz w:val="22"/>
          <w:lang w:val="ru-RU"/>
        </w:rPr>
        <w:t>Внесение изменений в извещение и аукционную документацию</w:t>
      </w:r>
    </w:p>
    <w:p>
      <w:pPr>
        <w:pStyle w:val="ListParagraph"/>
        <w:numPr>
          <w:ilvl w:val="0"/>
          <w:numId w:val="25"/>
        </w:numPr>
        <w:tabs>
          <w:tab w:val="clear" w:pos="709"/>
          <w:tab w:val="left" w:pos="1276" w:leader="none"/>
        </w:tabs>
        <w:ind w:left="0" w:right="0" w:firstLine="567"/>
        <w:rPr/>
      </w:pPr>
      <w:r>
        <w:rPr>
          <w:sz w:val="22"/>
          <w:lang w:val="ru-RU"/>
        </w:rPr>
        <w:t xml:space="preserve">Заказчик вправе принять решение о внесении изменений в извещение и документацию о закупке в любой момент до даты окончания подачи заявок на участие в закупке. </w:t>
      </w:r>
      <w:r>
        <w:rPr>
          <w:sz w:val="22"/>
          <w:highlight w:val="white"/>
          <w:lang w:val="ru-RU"/>
        </w:rPr>
        <w:t>Изменение объекта закупки, увеличение размера обеспечения заявок на участие в аукционе не допускаются</w:t>
      </w:r>
    </w:p>
    <w:p>
      <w:pPr>
        <w:pStyle w:val="ListParagraph"/>
        <w:numPr>
          <w:ilvl w:val="0"/>
          <w:numId w:val="25"/>
        </w:numPr>
        <w:tabs>
          <w:tab w:val="clear" w:pos="709"/>
          <w:tab w:val="left" w:pos="1276" w:leader="none"/>
        </w:tabs>
        <w:ind w:left="0" w:right="0" w:firstLine="567"/>
        <w:rPr>
          <w:sz w:val="22"/>
          <w:lang w:val="ru-RU" w:eastAsia="ru-RU"/>
        </w:rPr>
      </w:pPr>
      <w:r>
        <w:rPr>
          <w:sz w:val="22"/>
          <w:lang w:val="ru-RU" w:eastAsia="ru-RU"/>
        </w:rPr>
        <w:t>Изменения, вносимые в извещение о закупке, документацию о закупке размещаются заказчиком в единой информационной системе и на ЭП не позднее чем в течение 3 (Трех) дней со дня принятия решения о внесении указанных изменений.</w:t>
      </w:r>
    </w:p>
    <w:p>
      <w:pPr>
        <w:pStyle w:val="ListParagraph"/>
        <w:numPr>
          <w:ilvl w:val="0"/>
          <w:numId w:val="25"/>
        </w:numPr>
        <w:tabs>
          <w:tab w:val="clear" w:pos="709"/>
          <w:tab w:val="left" w:pos="1276" w:leader="none"/>
        </w:tabs>
        <w:ind w:left="0" w:right="0" w:firstLine="567"/>
        <w:rPr>
          <w:sz w:val="22"/>
          <w:lang w:val="ru-RU" w:eastAsia="ru-RU"/>
        </w:rPr>
      </w:pPr>
      <w:r>
        <w:rPr>
          <w:sz w:val="22"/>
          <w:lang w:val="ru-RU" w:eastAsia="ru-RU"/>
        </w:rPr>
        <w:t>В случае внесения изменений в извещение, документацию о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данной закупке, установленного положением о закупке для данного способа закупки.</w:t>
      </w:r>
    </w:p>
    <w:p>
      <w:pPr>
        <w:pStyle w:val="ListParagraph"/>
        <w:tabs>
          <w:tab w:val="clear" w:pos="709"/>
          <w:tab w:val="left" w:pos="1276" w:leader="none"/>
        </w:tabs>
        <w:ind w:left="567" w:right="0" w:hanging="0"/>
        <w:rPr>
          <w:sz w:val="22"/>
          <w:lang w:val="ru-RU"/>
        </w:rPr>
      </w:pPr>
      <w:r>
        <w:rPr>
          <w:sz w:val="22"/>
          <w:lang w:val="ru-RU"/>
        </w:rPr>
      </w:r>
    </w:p>
    <w:p>
      <w:pPr>
        <w:pStyle w:val="3"/>
        <w:numPr>
          <w:ilvl w:val="0"/>
          <w:numId w:val="1"/>
        </w:numPr>
        <w:spacing w:before="120" w:after="120"/>
        <w:ind w:left="0" w:right="0" w:hanging="0"/>
        <w:contextualSpacing/>
        <w:rPr>
          <w:sz w:val="22"/>
        </w:rPr>
      </w:pPr>
      <w:bookmarkStart w:id="16" w:name="__RefHeading___Toc10251_953328800"/>
      <w:bookmarkStart w:id="17" w:name="_Toc520982934"/>
      <w:bookmarkStart w:id="18" w:name="_Toc412532380"/>
      <w:bookmarkEnd w:id="16"/>
      <w:r>
        <w:rPr>
          <w:sz w:val="22"/>
        </w:rPr>
        <w:t>УЧАСТНИКИ ЗАКУПКИ</w:t>
      </w:r>
      <w:bookmarkEnd w:id="17"/>
      <w:bookmarkEnd w:id="18"/>
    </w:p>
    <w:p>
      <w:pPr>
        <w:pStyle w:val="4"/>
        <w:numPr>
          <w:ilvl w:val="0"/>
          <w:numId w:val="7"/>
        </w:numPr>
        <w:tabs>
          <w:tab w:val="clear" w:pos="709"/>
          <w:tab w:val="left" w:pos="1276" w:leader="none"/>
        </w:tabs>
        <w:ind w:left="0" w:right="0" w:firstLine="567"/>
        <w:rPr>
          <w:sz w:val="22"/>
          <w:lang w:val="ru-RU"/>
        </w:rPr>
      </w:pPr>
      <w:r>
        <w:rPr>
          <w:sz w:val="22"/>
          <w:lang w:val="ru-RU"/>
        </w:rPr>
        <w:t>Требования, предъявляемые к Участникам аукциона в электронной форме</w:t>
      </w:r>
    </w:p>
    <w:p>
      <w:pPr>
        <w:pStyle w:val="ListParagraph"/>
        <w:numPr>
          <w:ilvl w:val="0"/>
          <w:numId w:val="8"/>
        </w:numPr>
        <w:tabs>
          <w:tab w:val="clear" w:pos="709"/>
          <w:tab w:val="left" w:pos="0" w:leader="none"/>
          <w:tab w:val="left" w:pos="1276" w:leader="none"/>
          <w:tab w:val="left" w:pos="1560" w:leader="none"/>
        </w:tabs>
        <w:ind w:left="0" w:right="0" w:firstLine="567"/>
        <w:rPr/>
      </w:pPr>
      <w:bookmarkStart w:id="19" w:name="_Toc343071227"/>
      <w:r>
        <w:rPr>
          <w:sz w:val="22"/>
          <w:lang w:val="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bookmarkEnd w:id="19"/>
      <w:r>
        <w:rPr>
          <w:sz w:val="22"/>
          <w:lang w:val="ru-RU"/>
        </w:rPr>
        <w:t>.</w:t>
      </w:r>
    </w:p>
    <w:p>
      <w:pPr>
        <w:pStyle w:val="ListParagraph"/>
        <w:numPr>
          <w:ilvl w:val="0"/>
          <w:numId w:val="8"/>
        </w:numPr>
        <w:tabs>
          <w:tab w:val="clear" w:pos="709"/>
          <w:tab w:val="left" w:pos="0" w:leader="none"/>
          <w:tab w:val="left" w:pos="1276" w:leader="none"/>
          <w:tab w:val="left" w:pos="1560" w:leader="none"/>
        </w:tabs>
        <w:ind w:left="0" w:right="0" w:firstLine="567"/>
        <w:rPr>
          <w:color w:val="000000"/>
          <w:sz w:val="22"/>
          <w:lang w:val="ru-RU"/>
        </w:rPr>
      </w:pPr>
      <w:r>
        <w:rPr>
          <w:color w:val="000000"/>
          <w:sz w:val="22"/>
          <w:lang w:val="ru-RU"/>
        </w:rPr>
        <w:t>При проведении закупки Заказчик устанавливает следующие единые требования ко всем Участникам  закупки:</w:t>
      </w:r>
    </w:p>
    <w:p>
      <w:pPr>
        <w:pStyle w:val="Normal"/>
        <w:rPr>
          <w:sz w:val="22"/>
          <w:lang w:val="ru-RU"/>
        </w:rPr>
      </w:pPr>
      <w:r>
        <w:rPr>
          <w:sz w:val="22"/>
          <w:lang w:val="ru-RU"/>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pPr>
        <w:pStyle w:val="Normal"/>
        <w:rPr>
          <w:sz w:val="22"/>
          <w:lang w:val="ru-RU"/>
        </w:rPr>
      </w:pPr>
      <w:r>
        <w:rPr>
          <w:sz w:val="22"/>
          <w:lang w:val="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pPr>
        <w:pStyle w:val="Normal"/>
        <w:rPr>
          <w:sz w:val="22"/>
          <w:lang w:val="ru-RU"/>
        </w:rPr>
      </w:pPr>
      <w:r>
        <w:rPr>
          <w:sz w:val="22"/>
          <w:lang w:val="ru-RU"/>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pPr>
        <w:pStyle w:val="Normal"/>
        <w:rPr/>
      </w:pPr>
      <w:r>
        <w:rPr>
          <w:sz w:val="22"/>
          <w:lang w:val="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указанной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pPr>
        <w:pStyle w:val="Normal"/>
        <w:rPr>
          <w:sz w:val="22"/>
          <w:lang w:val="ru-RU"/>
        </w:rPr>
      </w:pPr>
      <w:r>
        <w:rPr>
          <w:sz w:val="22"/>
          <w:lang w:val="ru-RU"/>
        </w:rPr>
        <w:t>5) отсутствие в предусмотренном федеральными законами № 223-ФЗ и № 44-ФЗ реестре недобросовестных поставщиков (подрядчиков, исполнителей) информации об участнике закупки;</w:t>
      </w:r>
    </w:p>
    <w:p>
      <w:pPr>
        <w:pStyle w:val="Normal"/>
        <w:rPr>
          <w:sz w:val="22"/>
          <w:lang w:val="ru-RU"/>
        </w:rPr>
      </w:pPr>
      <w:r>
        <w:rPr>
          <w:sz w:val="22"/>
          <w:lang w:val="ru-RU"/>
        </w:rPr>
        <w:t>6) обладание участниками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pPr>
        <w:pStyle w:val="Normal"/>
        <w:rPr>
          <w:sz w:val="22"/>
          <w:lang w:val="ru-RU"/>
        </w:rPr>
      </w:pPr>
      <w:r>
        <w:rPr>
          <w:sz w:val="22"/>
          <w:lang w:val="ru-RU"/>
        </w:rPr>
        <w:t>7)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pPr>
        <w:pStyle w:val="Normal"/>
        <w:rPr>
          <w:sz w:val="22"/>
          <w:lang w:val="ru-RU"/>
        </w:rPr>
      </w:pPr>
      <w:r>
        <w:rPr>
          <w:sz w:val="22"/>
          <w:lang w:val="ru-RU"/>
        </w:rPr>
        <w:t>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pPr>
        <w:pStyle w:val="Normal"/>
        <w:rPr>
          <w:sz w:val="22"/>
          <w:lang w:val="ru-RU"/>
        </w:rPr>
      </w:pPr>
      <w:bookmarkStart w:id="20" w:name="Par576"/>
      <w:bookmarkEnd w:id="20"/>
      <w:r>
        <w:rPr>
          <w:sz w:val="22"/>
          <w:lang w:val="ru-RU"/>
        </w:rPr>
        <w:t>9) участник закупки не является офшорной компанией;</w:t>
      </w:r>
    </w:p>
    <w:p>
      <w:pPr>
        <w:pStyle w:val="Normal"/>
        <w:rPr>
          <w:color w:val="000000"/>
          <w:sz w:val="22"/>
          <w:lang w:val="ru-RU"/>
        </w:rPr>
      </w:pPr>
      <w:r>
        <w:rPr>
          <w:color w:val="000000"/>
          <w:sz w:val="22"/>
          <w:lang w:val="ru-RU"/>
        </w:rPr>
        <w:t>10) отсутствие у участника закупки ограничений для участия в закупках, установленных законодательством Российской Федерации.</w:t>
      </w:r>
    </w:p>
    <w:p>
      <w:pPr>
        <w:pStyle w:val="Normal"/>
        <w:rPr>
          <w:sz w:val="22"/>
          <w:lang w:val="ru-RU"/>
        </w:rPr>
      </w:pPr>
      <w:r>
        <w:rPr>
          <w:sz w:val="22"/>
          <w:lang w:val="ru-RU"/>
        </w:rPr>
        <w:t>Заказчик вправе устанавливать к участникам закупок, которые осуществляются путем проведения конкурсов, конкурсов в электронной форме, аукционов в электронной форме, запросов котировок в электронной форме, запросов предложений в электронной форме   дополнительные требования, в том числе к наличию:</w:t>
      </w:r>
    </w:p>
    <w:p>
      <w:pPr>
        <w:pStyle w:val="Normal"/>
        <w:rPr>
          <w:sz w:val="22"/>
          <w:lang w:val="ru-RU"/>
        </w:rPr>
      </w:pPr>
      <w:r>
        <w:rPr>
          <w:sz w:val="22"/>
          <w:lang w:val="ru-RU"/>
        </w:rPr>
        <w:t>- финансовых ресурсов для исполнения договора;</w:t>
      </w:r>
    </w:p>
    <w:p>
      <w:pPr>
        <w:pStyle w:val="Normal"/>
        <w:rPr>
          <w:sz w:val="22"/>
          <w:lang w:val="ru-RU"/>
        </w:rPr>
      </w:pPr>
      <w:r>
        <w:rPr>
          <w:sz w:val="22"/>
          <w:lang w:val="ru-RU"/>
        </w:rPr>
        <w:t>- на праве собственности или ином законном основании оборудования и других материальных ресурсов для исполнения договора;</w:t>
      </w:r>
    </w:p>
    <w:p>
      <w:pPr>
        <w:pStyle w:val="Normal"/>
        <w:rPr>
          <w:sz w:val="22"/>
          <w:lang w:val="ru-RU"/>
        </w:rPr>
      </w:pPr>
      <w:r>
        <w:rPr>
          <w:sz w:val="22"/>
          <w:lang w:val="ru-RU"/>
        </w:rPr>
        <w:t>- опыта работы, связанного с предметом договора, и деловой репутации;</w:t>
      </w:r>
    </w:p>
    <w:p>
      <w:pPr>
        <w:pStyle w:val="Normal"/>
        <w:rPr>
          <w:sz w:val="22"/>
          <w:lang w:val="ru-RU"/>
        </w:rPr>
      </w:pPr>
      <w:r>
        <w:rPr>
          <w:sz w:val="22"/>
          <w:lang w:val="ru-RU"/>
        </w:rPr>
        <w:t>-необходимого количества специалистов и иных работников определенного уровня квалификации для исполнения договора;</w:t>
      </w:r>
    </w:p>
    <w:p>
      <w:pPr>
        <w:pStyle w:val="Normal"/>
        <w:rPr/>
      </w:pPr>
      <w:r>
        <w:rPr>
          <w:sz w:val="22"/>
          <w:lang w:val="ru-RU"/>
        </w:rPr>
        <w:t xml:space="preserve">- добросовестное исполнение договоров в течение не менее одного года в отношении поставок </w:t>
      </w:r>
      <w:r>
        <w:rPr>
          <w:color w:val="000000"/>
          <w:sz w:val="22"/>
          <w:lang w:val="ru-RU"/>
        </w:rPr>
        <w:t>товара, выполнения работ, оказания услуг, идентичных закупаемым Заказчиком.</w:t>
      </w:r>
    </w:p>
    <w:p>
      <w:pPr>
        <w:pStyle w:val="Normal"/>
        <w:tabs>
          <w:tab w:val="clear" w:pos="709"/>
          <w:tab w:val="left" w:pos="0" w:leader="none"/>
          <w:tab w:val="left" w:pos="1276" w:leader="none"/>
          <w:tab w:val="left" w:pos="1418" w:leader="none"/>
        </w:tabs>
        <w:rPr>
          <w:color w:val="000000"/>
          <w:sz w:val="22"/>
          <w:lang w:val="ru-RU" w:eastAsia="ru-RU"/>
        </w:rPr>
      </w:pPr>
      <w:r>
        <w:rPr>
          <w:color w:val="000000"/>
          <w:sz w:val="22"/>
          <w:lang w:val="ru-RU" w:eastAsia="ru-RU"/>
        </w:rPr>
        <w:t>- предоставления образца товара, предлагаемого участником к закупке.</w:t>
      </w:r>
    </w:p>
    <w:p>
      <w:pPr>
        <w:pStyle w:val="ListParagraph"/>
        <w:numPr>
          <w:ilvl w:val="0"/>
          <w:numId w:val="8"/>
        </w:numPr>
        <w:tabs>
          <w:tab w:val="clear" w:pos="709"/>
          <w:tab w:val="left" w:pos="0" w:leader="none"/>
          <w:tab w:val="left" w:pos="1276" w:leader="none"/>
          <w:tab w:val="left" w:pos="1418" w:leader="none"/>
        </w:tabs>
        <w:ind w:left="0" w:right="0" w:firstLine="567"/>
        <w:rPr>
          <w:color w:val="000000"/>
          <w:sz w:val="22"/>
          <w:lang w:val="ru-RU"/>
        </w:rPr>
      </w:pPr>
      <w:r>
        <w:rPr>
          <w:color w:val="000000"/>
          <w:sz w:val="22"/>
          <w:lang w:val="ru-RU"/>
        </w:rPr>
        <w:t>При несоответствии Участника закупки требованиям, установленным в документации о закупке, заявка подлежит отклонению.</w:t>
      </w:r>
    </w:p>
    <w:p>
      <w:pPr>
        <w:pStyle w:val="ListParagraph"/>
        <w:numPr>
          <w:ilvl w:val="0"/>
          <w:numId w:val="8"/>
        </w:numPr>
        <w:tabs>
          <w:tab w:val="clear" w:pos="709"/>
          <w:tab w:val="left" w:pos="0" w:leader="none"/>
          <w:tab w:val="left" w:pos="1276" w:leader="none"/>
          <w:tab w:val="left" w:pos="1418" w:leader="none"/>
        </w:tabs>
        <w:ind w:left="0" w:right="0" w:firstLine="567"/>
        <w:rPr>
          <w:color w:val="000000"/>
          <w:sz w:val="22"/>
          <w:lang w:val="ru-RU"/>
        </w:rPr>
      </w:pPr>
      <w:r>
        <w:rPr>
          <w:color w:val="000000"/>
          <w:sz w:val="22"/>
          <w:lang w:val="ru-RU"/>
        </w:rPr>
        <w:t>В случае если Заказчик установил преференции, то сведения о них должны содержаться в документации о закупке.</w:t>
      </w:r>
    </w:p>
    <w:p>
      <w:pPr>
        <w:pStyle w:val="ListParagraph"/>
        <w:numPr>
          <w:ilvl w:val="0"/>
          <w:numId w:val="8"/>
        </w:numPr>
        <w:tabs>
          <w:tab w:val="clear" w:pos="709"/>
          <w:tab w:val="left" w:pos="0" w:leader="none"/>
          <w:tab w:val="left" w:pos="1276" w:leader="none"/>
          <w:tab w:val="left" w:pos="1418" w:leader="none"/>
        </w:tabs>
        <w:ind w:left="0" w:right="0" w:firstLine="567"/>
        <w:rPr>
          <w:sz w:val="22"/>
          <w:lang w:val="ru-RU"/>
        </w:rPr>
      </w:pPr>
      <w:r>
        <w:rPr>
          <w:sz w:val="22"/>
          <w:lang w:val="ru-RU"/>
        </w:rPr>
        <w:t>В случае, если несколько юридических лиц либо несколько физических лиц (в том числе индивидуальных предпринимателей) выступают на одной стороне одного Участника закупки, требования, установленные Заказчиком в документации о закупке к Участникам закупки, предъявляется к каждому из указанных лиц в отдельности. Лицо, выступающее на стороне одного из Участников закупки, не вправе участвовать в соответствующей процедуре закупки самостоятельно или на стороне другого Участника.</w:t>
      </w:r>
    </w:p>
    <w:p>
      <w:pPr>
        <w:pStyle w:val="ListParagraph"/>
        <w:numPr>
          <w:ilvl w:val="0"/>
          <w:numId w:val="8"/>
        </w:numPr>
        <w:tabs>
          <w:tab w:val="clear" w:pos="709"/>
          <w:tab w:val="left" w:pos="0" w:leader="none"/>
          <w:tab w:val="left" w:pos="1276" w:leader="none"/>
          <w:tab w:val="left" w:pos="1418" w:leader="none"/>
        </w:tabs>
        <w:ind w:left="0" w:right="0" w:firstLine="567"/>
        <w:rPr>
          <w:sz w:val="22"/>
          <w:lang w:val="ru-RU"/>
        </w:rPr>
      </w:pPr>
      <w:r>
        <w:rPr>
          <w:sz w:val="22"/>
          <w:lang w:val="ru-RU"/>
        </w:rPr>
        <w:t>На момент подачи заявки у Участника закупки должно:</w:t>
      </w:r>
    </w:p>
    <w:p>
      <w:pPr>
        <w:pStyle w:val="ListParagraph"/>
        <w:tabs>
          <w:tab w:val="clear" w:pos="709"/>
          <w:tab w:val="left" w:pos="1134" w:leader="none"/>
        </w:tabs>
        <w:spacing w:before="0" w:after="200"/>
        <w:ind w:left="0" w:right="0" w:hanging="0"/>
        <w:contextualSpacing/>
        <w:rPr>
          <w:sz w:val="22"/>
          <w:lang w:val="ru-RU"/>
        </w:rPr>
      </w:pPr>
      <w:r>
        <w:rPr>
          <w:sz w:val="22"/>
          <w:lang w:val="ru-RU"/>
        </w:rPr>
        <w:t xml:space="preserve">- отсутствовать вступившие в силу и не исполненные решения суда о ненадлежащем исполнении обязательств по договорам (контрактам), заключенным с Акционерным обществом «Горэлектросеть» на поставку товаров, выполнение работ, оказание услуг, одноименных закупаемым товарам, работам, услугам; </w:t>
      </w:r>
    </w:p>
    <w:p>
      <w:pPr>
        <w:pStyle w:val="ListParagraph"/>
        <w:tabs>
          <w:tab w:val="clear" w:pos="709"/>
          <w:tab w:val="left" w:pos="1134" w:leader="none"/>
        </w:tabs>
        <w:spacing w:before="0" w:after="200"/>
        <w:ind w:left="0" w:right="0" w:hanging="0"/>
        <w:contextualSpacing/>
        <w:rPr>
          <w:sz w:val="22"/>
          <w:lang w:val="ru-RU"/>
        </w:rPr>
      </w:pPr>
      <w:r>
        <w:rPr>
          <w:sz w:val="22"/>
          <w:lang w:val="ru-RU"/>
        </w:rPr>
        <w:t xml:space="preserve">- отсутствовать вступившие в силу решений суда о ненадлежащем исполнении обязательств по договорам (контрактам) на поставку товаров, выполнение работ, оказание услуг одноименных закупаемым товарам, работам, услугам за последние 3 года. </w:t>
      </w:r>
    </w:p>
    <w:p>
      <w:pPr>
        <w:pStyle w:val="4"/>
        <w:numPr>
          <w:ilvl w:val="0"/>
          <w:numId w:val="7"/>
        </w:numPr>
        <w:tabs>
          <w:tab w:val="clear" w:pos="709"/>
          <w:tab w:val="left" w:pos="1276" w:leader="none"/>
        </w:tabs>
        <w:ind w:left="0" w:right="0" w:firstLine="567"/>
        <w:rPr/>
      </w:pPr>
      <w:r>
        <w:rPr>
          <w:sz w:val="22"/>
          <w:lang w:val="ru-RU"/>
        </w:rPr>
        <w:t>Привлечение соисполнителей (субподрядчиков) к исполнению договора (не устанавливается)</w:t>
      </w:r>
    </w:p>
    <w:p>
      <w:pPr>
        <w:pStyle w:val="ListParagraph"/>
        <w:numPr>
          <w:ilvl w:val="0"/>
          <w:numId w:val="35"/>
        </w:numPr>
        <w:tabs>
          <w:tab w:val="clear" w:pos="709"/>
          <w:tab w:val="left" w:pos="1276" w:leader="none"/>
        </w:tabs>
        <w:ind w:left="0" w:right="0" w:firstLine="567"/>
        <w:rPr>
          <w:sz w:val="22"/>
          <w:lang w:val="ru-RU"/>
        </w:rPr>
      </w:pPr>
      <w:r>
        <w:rPr>
          <w:sz w:val="22"/>
          <w:lang w:val="ru-RU"/>
        </w:rPr>
        <w:t>Заказчик в документации может предусмотреть условие о возможности привлечения поставщиком (подрядчиком, исполнителем) к исполнению договора третьих лиц – субпоставщиков (соисполнителей, субподрядчиков).</w:t>
      </w:r>
    </w:p>
    <w:p>
      <w:pPr>
        <w:pStyle w:val="ListParagraph"/>
        <w:numPr>
          <w:ilvl w:val="0"/>
          <w:numId w:val="35"/>
        </w:numPr>
        <w:tabs>
          <w:tab w:val="clear" w:pos="709"/>
          <w:tab w:val="left" w:pos="1276" w:leader="none"/>
        </w:tabs>
        <w:ind w:left="0" w:right="0" w:firstLine="567"/>
        <w:rPr>
          <w:color w:val="000000"/>
          <w:sz w:val="22"/>
          <w:lang w:val="ru-RU"/>
        </w:rPr>
      </w:pPr>
      <w:r>
        <w:rPr>
          <w:color w:val="000000"/>
          <w:sz w:val="22"/>
          <w:lang w:val="ru-RU"/>
        </w:rPr>
        <w:t>Заказчик вправе установить в извещении о проведении закупки, аукционной документации и соответствующем проекте договора требование к Участникам закупки о привлечении к исполнению договора субподрядчиков (соисполнителей) из числа субъектов МСП. Участники такой закупки представляют в составе заявки на участие в закупке план привлечения субподрядчиков (соисполнителей) из числа субъектов МСП и декларацию о принадлежности к субъекту МСП в отношении каждого субподрядчика (соисполнителя), являющегося субъектом малого и среднего предпринимательства, подготовленную по форме указанной в аукционной документации.</w:t>
      </w:r>
    </w:p>
    <w:p>
      <w:pPr>
        <w:pStyle w:val="ListParagraph"/>
        <w:numPr>
          <w:ilvl w:val="0"/>
          <w:numId w:val="35"/>
        </w:numPr>
        <w:tabs>
          <w:tab w:val="clear" w:pos="709"/>
          <w:tab w:val="left" w:pos="1276" w:leader="none"/>
        </w:tabs>
        <w:ind w:left="0" w:right="0" w:firstLine="567"/>
        <w:rPr>
          <w:color w:val="000000"/>
          <w:sz w:val="22"/>
          <w:lang w:val="ru-RU" w:eastAsia="ru-RU"/>
        </w:rPr>
      </w:pPr>
      <w:r>
        <w:rPr>
          <w:color w:val="000000"/>
          <w:sz w:val="22"/>
          <w:lang w:val="ru-RU" w:eastAsia="ru-RU"/>
        </w:rPr>
        <w:t>План привлечения субподрядчиков (соисполнителей) из числа субъектов МСП содержит следующие сведения:</w:t>
      </w:r>
    </w:p>
    <w:p>
      <w:pPr>
        <w:pStyle w:val="Normal"/>
        <w:tabs>
          <w:tab w:val="clear" w:pos="709"/>
          <w:tab w:val="left" w:pos="1276" w:leader="none"/>
        </w:tabs>
        <w:rPr>
          <w:sz w:val="22"/>
          <w:lang w:val="ru-RU" w:eastAsia="ru-RU"/>
        </w:rPr>
      </w:pPr>
      <w:r>
        <w:rPr>
          <w:sz w:val="22"/>
          <w:lang w:val="ru-RU" w:eastAsia="ru-RU"/>
        </w:rPr>
        <w:t>а) 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субподрядчика (соисполнителя);</w:t>
      </w:r>
    </w:p>
    <w:p>
      <w:pPr>
        <w:pStyle w:val="Normal"/>
        <w:tabs>
          <w:tab w:val="clear" w:pos="709"/>
          <w:tab w:val="left" w:pos="1276" w:leader="none"/>
        </w:tabs>
        <w:rPr>
          <w:sz w:val="22"/>
          <w:lang w:val="ru-RU" w:eastAsia="ru-RU"/>
        </w:rPr>
      </w:pPr>
      <w:r>
        <w:rPr>
          <w:sz w:val="22"/>
          <w:lang w:val="ru-RU" w:eastAsia="ru-RU"/>
        </w:rPr>
        <w:t>б) предмет договора, заключаемого с субъектом малого и среднего предпринимательства - субподрядчиком (соисполнителем), с указанием количества поставляемого им товара, объема выполняемых им работ, оказываемых им услуг;</w:t>
      </w:r>
    </w:p>
    <w:p>
      <w:pPr>
        <w:pStyle w:val="Normal"/>
        <w:tabs>
          <w:tab w:val="clear" w:pos="709"/>
          <w:tab w:val="left" w:pos="1134" w:leader="none"/>
        </w:tabs>
        <w:rPr>
          <w:sz w:val="22"/>
          <w:lang w:val="ru-RU" w:eastAsia="ru-RU"/>
        </w:rPr>
      </w:pPr>
      <w:r>
        <w:rPr>
          <w:sz w:val="22"/>
          <w:lang w:val="ru-RU" w:eastAsia="ru-RU"/>
        </w:rPr>
        <w:t>в) место, условия и сроки (периоды) поставки товара, выполнения работы, оказания услуги субъектом малого и среднего предпринимательства - субподрядчиком (соисполнителем);</w:t>
      </w:r>
    </w:p>
    <w:p>
      <w:pPr>
        <w:pStyle w:val="Normal"/>
        <w:tabs>
          <w:tab w:val="clear" w:pos="709"/>
          <w:tab w:val="left" w:pos="1134" w:leader="none"/>
        </w:tabs>
        <w:rPr>
          <w:sz w:val="22"/>
          <w:lang w:val="ru-RU" w:eastAsia="ru-RU"/>
        </w:rPr>
      </w:pPr>
      <w:r>
        <w:rPr>
          <w:sz w:val="22"/>
          <w:lang w:val="ru-RU" w:eastAsia="ru-RU"/>
        </w:rPr>
        <w:t>г) цена договора, заключаемого с субъектом малого и среднего предпринимательства - субподрядчиком (соисполнителем).</w:t>
      </w:r>
    </w:p>
    <w:p>
      <w:pPr>
        <w:pStyle w:val="ListParagraph"/>
        <w:numPr>
          <w:ilvl w:val="0"/>
          <w:numId w:val="35"/>
        </w:numPr>
        <w:tabs>
          <w:tab w:val="clear" w:pos="709"/>
          <w:tab w:val="left" w:pos="1134" w:leader="none"/>
          <w:tab w:val="left" w:pos="1418" w:leader="none"/>
        </w:tabs>
        <w:ind w:left="0" w:right="0" w:firstLine="567"/>
        <w:rPr>
          <w:sz w:val="22"/>
          <w:lang w:val="ru-RU"/>
        </w:rPr>
      </w:pPr>
      <w:r>
        <w:rPr>
          <w:sz w:val="22"/>
          <w:lang w:val="ru-RU"/>
        </w:rPr>
        <w:t>За невыполнение Поставщиком (подрядчиком, исполнителем) требования о привлечении к исполнению договора субподрядчиков (соисполнителей) из числа субъектов МСП, согласно пункту 3.2.2 настоящей документации, Поставщик (подрядчик, исполнитель) несет ответственность в соответствии с условиями договора.</w:t>
      </w:r>
    </w:p>
    <w:p>
      <w:pPr>
        <w:pStyle w:val="ListParagraph"/>
        <w:numPr>
          <w:ilvl w:val="0"/>
          <w:numId w:val="35"/>
        </w:numPr>
        <w:tabs>
          <w:tab w:val="clear" w:pos="709"/>
          <w:tab w:val="left" w:pos="1134" w:leader="none"/>
          <w:tab w:val="left" w:pos="1418" w:leader="none"/>
        </w:tabs>
        <w:ind w:left="0" w:right="0" w:firstLine="567"/>
        <w:rPr>
          <w:sz w:val="22"/>
          <w:lang w:val="ru-RU"/>
        </w:rPr>
      </w:pPr>
      <w:r>
        <w:rPr>
          <w:sz w:val="22"/>
          <w:lang w:val="ru-RU"/>
        </w:rPr>
        <w:t xml:space="preserve"> </w:t>
      </w:r>
      <w:r>
        <w:rPr>
          <w:sz w:val="22"/>
          <w:lang w:val="ru-RU"/>
        </w:rPr>
        <w:t>По согласованию с Заказчиком Поставщик (исполнитель, подрядчик) вправе осуществить замену субподрядчика (соисполнителя), являющегося субъектом МСП, с которым заключается или ранее был заключен договор субподряда, на другого субподрядчика (соисполнителя), являющегося субъектом МСП, при условии сохранения цены договора, заключаемого или заключенного между поставщиком (исполнителем, подрядчиком) и субподрядчиком (соисполнителем), либо цены такого договора за вычетом сумм, выплаченных поставщиком (исполнителем, подрядчиком) в счет исполненных обязательств, в случае если договор субподряда был частично исполнен.</w:t>
      </w:r>
    </w:p>
    <w:p>
      <w:pPr>
        <w:pStyle w:val="Normal"/>
        <w:tabs>
          <w:tab w:val="clear" w:pos="709"/>
          <w:tab w:val="left" w:pos="1276" w:leader="none"/>
        </w:tabs>
        <w:spacing w:before="0" w:after="0"/>
        <w:contextualSpacing/>
        <w:rPr>
          <w:sz w:val="22"/>
          <w:lang w:val="ru-RU"/>
        </w:rPr>
      </w:pPr>
      <w:r>
        <w:rPr>
          <w:sz w:val="22"/>
          <w:lang w:val="ru-RU"/>
        </w:rPr>
      </w:r>
    </w:p>
    <w:p>
      <w:pPr>
        <w:pStyle w:val="3"/>
        <w:numPr>
          <w:ilvl w:val="0"/>
          <w:numId w:val="1"/>
        </w:numPr>
        <w:tabs>
          <w:tab w:val="clear" w:pos="709"/>
          <w:tab w:val="left" w:pos="993" w:leader="none"/>
        </w:tabs>
        <w:spacing w:before="120" w:after="120"/>
        <w:ind w:left="0" w:right="26" w:firstLine="567"/>
        <w:contextualSpacing/>
        <w:rPr>
          <w:sz w:val="22"/>
        </w:rPr>
      </w:pPr>
      <w:bookmarkStart w:id="21" w:name="__RefHeading___Toc10253_953328800"/>
      <w:bookmarkStart w:id="22" w:name="_Toc520982935"/>
      <w:bookmarkStart w:id="23" w:name="_Toc412532381"/>
      <w:bookmarkEnd w:id="21"/>
      <w:r>
        <w:rPr>
          <w:sz w:val="22"/>
        </w:rPr>
        <w:t>ТРЕБОВАНИЯ К СОДЕРЖАНИЮ, ФОРМЕ, ОФОРМЛЕНИЮ И СОСТАВУ ЗАЯВКИ НА УЧАСТИЕ В АУКЦИОНЕ В ЭЛЕКТРОННОЙ ФОРМЕ</w:t>
      </w:r>
      <w:bookmarkEnd w:id="22"/>
      <w:bookmarkEnd w:id="23"/>
    </w:p>
    <w:p>
      <w:pPr>
        <w:pStyle w:val="4"/>
        <w:numPr>
          <w:ilvl w:val="0"/>
          <w:numId w:val="26"/>
        </w:numPr>
        <w:tabs>
          <w:tab w:val="clear" w:pos="709"/>
          <w:tab w:val="left" w:pos="1276" w:leader="none"/>
        </w:tabs>
        <w:spacing w:before="0" w:after="0"/>
        <w:ind w:left="0" w:right="0" w:firstLine="567"/>
        <w:rPr>
          <w:sz w:val="22"/>
          <w:lang w:val="ru-RU"/>
        </w:rPr>
      </w:pPr>
      <w:r>
        <w:rPr>
          <w:sz w:val="22"/>
          <w:lang w:val="ru-RU"/>
        </w:rPr>
        <w:t xml:space="preserve">Требования, предъявляемые к содержанию и оформлению заявки на участие в процедуре закупки </w:t>
      </w:r>
    </w:p>
    <w:p>
      <w:pPr>
        <w:pStyle w:val="4"/>
        <w:numPr>
          <w:ilvl w:val="0"/>
          <w:numId w:val="27"/>
        </w:numPr>
        <w:tabs>
          <w:tab w:val="clear" w:pos="709"/>
          <w:tab w:val="left" w:pos="142" w:leader="none"/>
          <w:tab w:val="left" w:pos="1276" w:leader="none"/>
        </w:tabs>
        <w:spacing w:before="0" w:after="0"/>
        <w:ind w:left="0" w:right="0" w:firstLine="567"/>
        <w:rPr/>
      </w:pPr>
      <w:r>
        <w:rPr>
          <w:b w:val="false"/>
          <w:sz w:val="22"/>
          <w:lang w:val="ru-RU"/>
        </w:rPr>
        <w:t xml:space="preserve">Для участия в аукционе в электронной форме Участнику закупки </w:t>
      </w:r>
      <w:r>
        <w:rPr>
          <w:b w:val="false"/>
          <w:sz w:val="22"/>
          <w:lang w:val="ru-RU" w:eastAsia="ru-RU" w:bidi="ar-SA"/>
        </w:rPr>
        <w:t>необходимо получить аккредитацию на электронной площадке в порядке, установленном оператором электронной площадки.</w:t>
      </w:r>
    </w:p>
    <w:p>
      <w:pPr>
        <w:pStyle w:val="4"/>
        <w:tabs>
          <w:tab w:val="clear" w:pos="709"/>
          <w:tab w:val="left" w:pos="142" w:leader="none"/>
          <w:tab w:val="left" w:pos="1276" w:leader="none"/>
        </w:tabs>
        <w:spacing w:before="0" w:after="0"/>
        <w:rPr/>
      </w:pPr>
      <w:r>
        <w:rPr>
          <w:b w:val="false"/>
          <w:sz w:val="22"/>
          <w:lang w:val="ru-RU"/>
        </w:rPr>
        <w:t xml:space="preserve">Участник подает заявку на участие в процедуре закупки в соответствии с регламентом ЭП в сроки, </w:t>
      </w:r>
      <w:r>
        <w:rPr>
          <w:b w:val="false"/>
          <w:sz w:val="22"/>
          <w:lang w:val="ru-RU" w:eastAsia="ru-RU" w:bidi="ar-SA"/>
        </w:rPr>
        <w:t xml:space="preserve">согласно </w:t>
      </w:r>
      <w:r>
        <w:rPr>
          <w:b w:val="false"/>
          <w:sz w:val="22"/>
          <w:lang w:val="ru-RU"/>
        </w:rPr>
        <w:t xml:space="preserve">форме, </w:t>
      </w:r>
      <w:r>
        <w:rPr>
          <w:b w:val="false"/>
          <w:sz w:val="22"/>
          <w:lang w:val="ru-RU" w:eastAsia="ru-RU" w:bidi="ar-SA"/>
        </w:rPr>
        <w:t>требованиям к содержанию, оформлению и составу заявки на участие в закупке</w:t>
      </w:r>
      <w:r>
        <w:rPr>
          <w:b w:val="false"/>
          <w:sz w:val="22"/>
          <w:lang w:val="ru-RU"/>
        </w:rPr>
        <w:t xml:space="preserve"> предусмотренные настоящей документацией.</w:t>
      </w:r>
    </w:p>
    <w:p>
      <w:pPr>
        <w:pStyle w:val="Normal"/>
        <w:rPr/>
      </w:pPr>
      <w:r>
        <w:rPr>
          <w:color w:val="000000"/>
          <w:sz w:val="22"/>
          <w:lang w:val="ru-RU" w:eastAsia="ru-RU"/>
        </w:rPr>
        <w:t>Электронные документы участника закупки в электронной форме, Заказчика, оператора электронной площадки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p>
    <w:p>
      <w:pPr>
        <w:pStyle w:val="4"/>
        <w:numPr>
          <w:ilvl w:val="0"/>
          <w:numId w:val="27"/>
        </w:numPr>
        <w:tabs>
          <w:tab w:val="clear" w:pos="709"/>
          <w:tab w:val="left" w:pos="142" w:leader="none"/>
          <w:tab w:val="left" w:pos="1276" w:leader="none"/>
        </w:tabs>
        <w:spacing w:before="0" w:after="0"/>
        <w:ind w:left="0" w:right="0" w:firstLine="567"/>
        <w:rPr>
          <w:b w:val="false"/>
          <w:b w:val="false"/>
          <w:sz w:val="22"/>
          <w:lang w:val="ru-RU"/>
        </w:rPr>
      </w:pPr>
      <w:r>
        <w:rPr>
          <w:b w:val="false"/>
          <w:sz w:val="22"/>
          <w:lang w:val="ru-RU"/>
        </w:rPr>
        <w:t>Заявка на участие в электронном аукционе признается надлежащей, если она соответствует требованиям, установленным настоящей документацией.</w:t>
      </w:r>
    </w:p>
    <w:p>
      <w:pPr>
        <w:pStyle w:val="ListParagraph"/>
        <w:numPr>
          <w:ilvl w:val="0"/>
          <w:numId w:val="27"/>
        </w:numPr>
        <w:tabs>
          <w:tab w:val="clear" w:pos="709"/>
          <w:tab w:val="left" w:pos="142" w:leader="none"/>
          <w:tab w:val="left" w:pos="1418" w:leader="none"/>
        </w:tabs>
        <w:ind w:left="0" w:right="0" w:firstLine="567"/>
        <w:rPr>
          <w:sz w:val="22"/>
          <w:lang w:val="ru-RU"/>
        </w:rPr>
      </w:pPr>
      <w:r>
        <w:rPr>
          <w:sz w:val="22"/>
          <w:lang w:val="ru-RU"/>
        </w:rPr>
        <w:t>Заявка на участие в аукционе в электронной форме состоит из двух частей.</w:t>
      </w:r>
    </w:p>
    <w:p>
      <w:pPr>
        <w:pStyle w:val="ListParagraph"/>
        <w:numPr>
          <w:ilvl w:val="0"/>
          <w:numId w:val="27"/>
        </w:numPr>
        <w:tabs>
          <w:tab w:val="clear" w:pos="709"/>
          <w:tab w:val="left" w:pos="142" w:leader="none"/>
          <w:tab w:val="left" w:pos="1418" w:leader="none"/>
        </w:tabs>
        <w:ind w:left="0" w:right="0" w:firstLine="567"/>
        <w:rPr/>
      </w:pPr>
      <w:r>
        <w:rPr>
          <w:rStyle w:val="Blk"/>
          <w:b/>
          <w:sz w:val="22"/>
          <w:lang w:val="ru-RU"/>
        </w:rPr>
        <w:t>Первая часть заявки</w:t>
      </w:r>
      <w:r>
        <w:rPr>
          <w:rStyle w:val="Blk"/>
          <w:sz w:val="22"/>
          <w:lang w:val="ru-RU"/>
        </w:rPr>
        <w:t xml:space="preserve"> на участие в электронном аукционе должна содержать указанную в одном из следующих пунктов информацию:</w:t>
      </w:r>
    </w:p>
    <w:p>
      <w:pPr>
        <w:pStyle w:val="ListParagraph"/>
        <w:tabs>
          <w:tab w:val="clear" w:pos="709"/>
          <w:tab w:val="left" w:pos="142" w:leader="none"/>
          <w:tab w:val="left" w:pos="1418" w:leader="none"/>
        </w:tabs>
        <w:ind w:left="0" w:right="0" w:firstLine="567"/>
        <w:rPr/>
      </w:pPr>
      <w:r>
        <w:rPr>
          <w:rStyle w:val="Blk"/>
          <w:sz w:val="22"/>
          <w:lang w:val="ru-RU"/>
        </w:rPr>
        <w:t>1) при заключении договора на поставку товара:</w:t>
      </w:r>
    </w:p>
    <w:p>
      <w:pPr>
        <w:pStyle w:val="ListParagraph"/>
        <w:shd w:val="clear" w:fill="FFFFFF"/>
        <w:tabs>
          <w:tab w:val="clear" w:pos="709"/>
          <w:tab w:val="left" w:pos="993" w:leader="none"/>
        </w:tabs>
        <w:ind w:left="0" w:right="0" w:firstLine="567"/>
        <w:rPr/>
      </w:pPr>
      <w:r>
        <w:rPr>
          <w:rStyle w:val="Blk"/>
          <w:sz w:val="22"/>
          <w:lang w:val="ru-RU"/>
        </w:rPr>
        <w:t>а) согласие участника такого аукциона на поставку товара в случае, если этот участник предлагает для поставки товар,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p>
      <w:pPr>
        <w:pStyle w:val="ListParagraph"/>
        <w:shd w:val="clear" w:fill="FFFFFF"/>
        <w:tabs>
          <w:tab w:val="clear" w:pos="709"/>
          <w:tab w:val="left" w:pos="993" w:leader="none"/>
        </w:tabs>
        <w:ind w:left="0" w:right="0" w:firstLine="567"/>
        <w:rPr/>
      </w:pPr>
      <w:r>
        <w:rPr>
          <w:rStyle w:val="Blk"/>
          <w:sz w:val="22"/>
          <w:lang w:val="ru-RU"/>
        </w:rPr>
        <w:t>б) в случае, если документацией о проведении аукциона указана возможность о допуске к аукциону заявок, содержащих в себе предложение о поставке эквивалентных товаров, согласие участника такого аукциона на поставку товара, конкретные показатели, соответствующие значениям, установленным документацией о таком аукционе, и указание на товарный знак (его словесное обозначение), а при его отсутствии объяснение в произвольной форме причин не указания товарного знака в заявке участника,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pPr>
        <w:pStyle w:val="ListParagraph"/>
        <w:shd w:val="clear" w:fill="FFFFFF"/>
        <w:tabs>
          <w:tab w:val="clear" w:pos="709"/>
          <w:tab w:val="left" w:pos="993" w:leader="none"/>
        </w:tabs>
        <w:ind w:left="0" w:right="0" w:firstLine="567"/>
        <w:rPr/>
      </w:pPr>
      <w:r>
        <w:rPr>
          <w:rStyle w:val="Blk"/>
          <w:sz w:val="22"/>
          <w:lang w:val="ru-RU"/>
        </w:rPr>
        <w:t>2) согласие участника такого аукциона на выполнение работы или оказание услуги на условиях, предусмотренных документацией о таком аукционе, при проведении такого аукциона на выполнение работы или оказание услуги;</w:t>
      </w:r>
    </w:p>
    <w:p>
      <w:pPr>
        <w:pStyle w:val="ListParagraph"/>
        <w:shd w:val="clear" w:fill="FFFFFF"/>
        <w:tabs>
          <w:tab w:val="clear" w:pos="709"/>
          <w:tab w:val="left" w:pos="993" w:leader="none"/>
        </w:tabs>
        <w:ind w:left="0" w:right="0" w:firstLine="567"/>
        <w:rPr/>
      </w:pPr>
      <w:r>
        <w:rPr>
          <w:rStyle w:val="Blk"/>
          <w:sz w:val="22"/>
          <w:lang w:val="ru-RU"/>
        </w:rPr>
        <w:t>3) при заключении договора на выполнение работы или оказание услуги, для выполнения или оказания которых используется товар:</w:t>
      </w:r>
    </w:p>
    <w:p>
      <w:pPr>
        <w:pStyle w:val="ListParagraph"/>
        <w:shd w:val="clear" w:fill="FFFFFF"/>
        <w:tabs>
          <w:tab w:val="clear" w:pos="709"/>
          <w:tab w:val="left" w:pos="993" w:leader="none"/>
        </w:tabs>
        <w:ind w:left="0" w:right="0" w:firstLine="567"/>
        <w:rPr/>
      </w:pPr>
      <w:r>
        <w:rPr>
          <w:rStyle w:val="Blk"/>
          <w:sz w:val="22"/>
          <w:lang w:val="ru-RU"/>
        </w:rPr>
        <w:t>а) согласие, предусмотренное настоящей документацией, в том числе согласие на использование товара,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p>
      <w:pPr>
        <w:pStyle w:val="ListParagraph"/>
        <w:shd w:val="clear" w:fill="FFFFFF"/>
        <w:tabs>
          <w:tab w:val="clear" w:pos="709"/>
          <w:tab w:val="left" w:pos="993" w:leader="none"/>
        </w:tabs>
        <w:ind w:left="0" w:right="0" w:firstLine="567"/>
        <w:rPr/>
      </w:pPr>
      <w:r>
        <w:rPr>
          <w:rStyle w:val="Blk"/>
          <w:sz w:val="22"/>
          <w:lang w:val="ru-RU"/>
        </w:rPr>
        <w:t>б)  в случае, если документацией о проведении аукциона указана возможность о допуске к  аукциону заявок, содержащих в себе предложение о поставке эквивалентных товаров, которые будут использованы при выполнении работ или оказании услуг по договору, согласие, предусмотренное настоящей документацией, а так 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а при его отсутствии объяснение в произвольной форме причин не указания товарного знака в заявке участника,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pPr>
        <w:pStyle w:val="ListParagraph"/>
        <w:numPr>
          <w:ilvl w:val="0"/>
          <w:numId w:val="27"/>
        </w:numPr>
        <w:shd w:val="clear" w:fill="FFFFFF"/>
        <w:tabs>
          <w:tab w:val="clear" w:pos="709"/>
          <w:tab w:val="left" w:pos="993" w:leader="none"/>
        </w:tabs>
        <w:ind w:left="0" w:right="0" w:firstLine="567"/>
        <w:rPr/>
      </w:pPr>
      <w:bookmarkStart w:id="24" w:name="dst100855"/>
      <w:bookmarkEnd w:id="24"/>
      <w:r>
        <w:rPr>
          <w:rStyle w:val="Blk"/>
          <w:sz w:val="22"/>
          <w:lang w:val="ru-RU"/>
        </w:rPr>
        <w:t xml:space="preserve">Первая часть заявки на участие в электронном аукционе, предусмотренная </w:t>
      </w:r>
      <w:r>
        <w:rPr>
          <w:rStyle w:val="Appleconvertedspace"/>
          <w:sz w:val="22"/>
          <w:lang w:val="ru-RU"/>
        </w:rPr>
        <w:t xml:space="preserve"> </w:t>
      </w:r>
      <w:r>
        <w:rPr>
          <w:rStyle w:val="Blk"/>
          <w:sz w:val="22"/>
          <w:lang w:val="ru-RU"/>
        </w:rPr>
        <w:t>настоящей документацией, может содержать эскиз, рисунок, чертеж, фотографию, иное изображение товара, на поставку которого заключается договор.</w:t>
      </w:r>
    </w:p>
    <w:p>
      <w:pPr>
        <w:pStyle w:val="ListParagraph"/>
        <w:numPr>
          <w:ilvl w:val="0"/>
          <w:numId w:val="27"/>
        </w:numPr>
        <w:shd w:val="clear" w:fill="FFFFFF"/>
        <w:tabs>
          <w:tab w:val="clear" w:pos="709"/>
          <w:tab w:val="left" w:pos="993" w:leader="none"/>
        </w:tabs>
        <w:ind w:left="0" w:right="0" w:firstLine="567"/>
        <w:rPr/>
      </w:pPr>
      <w:r>
        <w:rPr>
          <w:b/>
          <w:sz w:val="22"/>
          <w:lang w:val="ru-RU"/>
        </w:rPr>
        <w:t>Вторая часть заявки</w:t>
      </w:r>
      <w:r>
        <w:rPr>
          <w:sz w:val="22"/>
          <w:lang w:val="ru-RU"/>
        </w:rPr>
        <w:t xml:space="preserve"> на участие в электронном аукционе должна содержать следующие документы и информацию:</w:t>
      </w:r>
    </w:p>
    <w:p>
      <w:pPr>
        <w:pStyle w:val="ListParagraph"/>
        <w:shd w:val="clear" w:fill="FFFFFF"/>
        <w:tabs>
          <w:tab w:val="clear" w:pos="709"/>
          <w:tab w:val="left" w:pos="993" w:leader="none"/>
        </w:tabs>
        <w:ind w:left="0" w:right="0" w:firstLine="426"/>
        <w:rPr>
          <w:sz w:val="22"/>
          <w:lang w:val="ru-RU"/>
        </w:rPr>
      </w:pPr>
      <w:r>
        <w:rPr>
          <w:sz w:val="22"/>
          <w:lang w:val="ru-RU"/>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банковские реквизиты участника закупки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p>
    <w:p>
      <w:pPr>
        <w:pStyle w:val="ListParagraph"/>
        <w:shd w:val="clear" w:fill="FFFFFF"/>
        <w:tabs>
          <w:tab w:val="clear" w:pos="709"/>
          <w:tab w:val="left" w:pos="993" w:leader="none"/>
        </w:tabs>
        <w:ind w:left="0" w:right="0" w:firstLine="426"/>
        <w:rPr>
          <w:sz w:val="22"/>
          <w:lang w:val="ru-RU"/>
        </w:rPr>
      </w:pPr>
      <w:r>
        <w:rPr>
          <w:sz w:val="22"/>
          <w:lang w:val="ru-RU"/>
        </w:rPr>
        <w:t>2)  копии учредительных документов участника закупки;</w:t>
      </w:r>
    </w:p>
    <w:p>
      <w:pPr>
        <w:pStyle w:val="ListParagraph"/>
        <w:shd w:val="clear" w:fill="FFFFFF"/>
        <w:tabs>
          <w:tab w:val="clear" w:pos="709"/>
          <w:tab w:val="left" w:pos="993" w:leader="none"/>
        </w:tabs>
        <w:ind w:left="0" w:right="0" w:firstLine="426"/>
        <w:rPr>
          <w:sz w:val="22"/>
          <w:highlight w:val="white"/>
          <w:lang w:val="ru-RU"/>
        </w:rPr>
      </w:pPr>
      <w:r>
        <w:rPr>
          <w:sz w:val="22"/>
          <w:highlight w:val="white"/>
          <w:lang w:val="ru-RU"/>
        </w:rPr>
        <w:t>3) документы, подтверждающие соответствие участника такого аукциона требованиям, установленным документацией о проведении электронного аукциона;</w:t>
      </w:r>
    </w:p>
    <w:p>
      <w:pPr>
        <w:pStyle w:val="ListParagraph"/>
        <w:shd w:val="clear" w:fill="FFFFFF"/>
        <w:tabs>
          <w:tab w:val="clear" w:pos="709"/>
          <w:tab w:val="left" w:pos="993" w:leader="none"/>
        </w:tabs>
        <w:ind w:left="0" w:right="0" w:firstLine="426"/>
        <w:rPr/>
      </w:pPr>
      <w:r>
        <w:rPr>
          <w:sz w:val="22"/>
          <w:highlight w:val="white"/>
          <w:lang w:val="ru-RU"/>
        </w:rPr>
        <w:t>4)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pPr>
        <w:pStyle w:val="Normal"/>
        <w:tabs>
          <w:tab w:val="clear" w:pos="709"/>
          <w:tab w:val="left" w:pos="993" w:leader="none"/>
        </w:tabs>
        <w:ind w:left="0" w:right="0" w:firstLine="426"/>
        <w:rPr>
          <w:sz w:val="22"/>
          <w:highlight w:val="white"/>
          <w:lang w:val="ru-RU"/>
        </w:rPr>
      </w:pPr>
      <w:r>
        <w:rPr>
          <w:sz w:val="22"/>
          <w:highlight w:val="white"/>
          <w:lang w:val="ru-RU"/>
        </w:rPr>
        <w:t>5) документ, подтверждающий полномочия лица на осуществление действий от имени участника аукциона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аукциона без доверенности (далее в настоящей статье – руководитель). В случае, если от имени участника аукциона действует иное лицо, заявка на участие в аукционе должна содержать также доверенность на осуществление действий от имени участника аукциона, заверенную печатью участника аукциона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аукционе должна содержать также документ, подтверждающий полномочия такого лица;</w:t>
      </w:r>
    </w:p>
    <w:p>
      <w:pPr>
        <w:pStyle w:val="Normal"/>
        <w:tabs>
          <w:tab w:val="clear" w:pos="709"/>
          <w:tab w:val="left" w:pos="993" w:leader="none"/>
        </w:tabs>
        <w:ind w:left="0" w:right="0" w:firstLine="426"/>
        <w:rPr/>
      </w:pPr>
      <w:r>
        <w:rPr>
          <w:sz w:val="22"/>
          <w:highlight w:val="white"/>
          <w:lang w:val="ru-RU"/>
        </w:rPr>
        <w:t>6)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w:t>
      </w:r>
      <w:r>
        <w:rPr>
          <w:rStyle w:val="Appleconvertedspace"/>
          <w:sz w:val="22"/>
          <w:highlight w:val="white"/>
          <w:lang w:val="ru-RU"/>
        </w:rPr>
        <w:t> </w:t>
      </w:r>
      <w:r>
        <w:rPr>
          <w:sz w:val="22"/>
          <w:lang w:val="ru-RU"/>
        </w:rPr>
        <w:t>законодательством</w:t>
      </w:r>
      <w:r>
        <w:rPr>
          <w:rStyle w:val="Appleconvertedspace"/>
          <w:sz w:val="22"/>
          <w:highlight w:val="white"/>
          <w:lang w:val="ru-RU"/>
        </w:rPr>
        <w:t> </w:t>
      </w:r>
      <w:r>
        <w:rPr>
          <w:sz w:val="22"/>
          <w:highlight w:val="white"/>
          <w:lang w:val="ru-RU"/>
        </w:rPr>
        <w:t xml:space="preserve">Российской Федерации, учредительными документами юридического лица и для участника открытого </w:t>
      </w:r>
      <w:r>
        <w:rPr>
          <w:rFonts w:eastAsia="Times New Roman" w:cs="Times New Roman"/>
          <w:color w:val="auto"/>
          <w:kern w:val="0"/>
          <w:sz w:val="22"/>
          <w:szCs w:val="22"/>
          <w:highlight w:val="white"/>
          <w:lang w:val="ru-RU" w:eastAsia="en-US" w:bidi="en-US"/>
        </w:rPr>
        <w:t>аукцион</w:t>
      </w:r>
      <w:r>
        <w:rPr>
          <w:sz w:val="22"/>
          <w:highlight w:val="white"/>
          <w:lang w:val="ru-RU"/>
        </w:rPr>
        <w:t>а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обеспечения исполнения договора является крупной сделкой, или письмо, составленное в произвольной форме, в котором участник закупки объясняет отсутствие в заявке решения об одобрении или о совершении крупной сделки;</w:t>
      </w:r>
    </w:p>
    <w:p>
      <w:pPr>
        <w:pStyle w:val="Normal"/>
        <w:tabs>
          <w:tab w:val="clear" w:pos="709"/>
          <w:tab w:val="left" w:pos="993" w:leader="none"/>
        </w:tabs>
        <w:ind w:left="0" w:right="0" w:firstLine="426"/>
        <w:rPr/>
      </w:pPr>
      <w:r>
        <w:rPr>
          <w:sz w:val="22"/>
          <w:highlight w:val="white"/>
          <w:lang w:val="ru-RU"/>
        </w:rPr>
        <w:t xml:space="preserve">7) копии документов, подтверждающих соответствие товара, работы или услуги </w:t>
      </w:r>
      <w:r>
        <w:rPr>
          <w:sz w:val="22"/>
          <w:lang w:val="ru-RU"/>
        </w:rPr>
        <w:t>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pPr>
        <w:pStyle w:val="ListParagraph"/>
        <w:tabs>
          <w:tab w:val="clear" w:pos="709"/>
          <w:tab w:val="left" w:pos="284" w:leader="none"/>
        </w:tabs>
        <w:ind w:left="0" w:right="0" w:firstLine="426"/>
        <w:rPr>
          <w:sz w:val="22"/>
          <w:lang w:val="ru-RU"/>
        </w:rPr>
      </w:pPr>
      <w:r>
        <w:rPr>
          <w:sz w:val="22"/>
          <w:lang w:val="ru-RU"/>
        </w:rPr>
        <w:t>В случае, если в документации о проведении аукциона предусмотрен этап предквалификационного отбора участников, то в составе второй части заявки участник закупки обязан предоставить документы, подтверждающие его квалификацию. При этом отсутствие указанных документов является основанием для признания заявки участника аукциона не соответствующей требованиям документации.</w:t>
      </w:r>
    </w:p>
    <w:p>
      <w:pPr>
        <w:pStyle w:val="ListParagraph"/>
        <w:numPr>
          <w:ilvl w:val="0"/>
          <w:numId w:val="27"/>
        </w:numPr>
        <w:tabs>
          <w:tab w:val="clear" w:pos="709"/>
          <w:tab w:val="left" w:pos="142" w:leader="none"/>
          <w:tab w:val="left" w:pos="1418" w:leader="none"/>
        </w:tabs>
        <w:ind w:left="0" w:right="0" w:firstLine="567"/>
        <w:rPr>
          <w:sz w:val="22"/>
          <w:lang w:val="ru-RU"/>
        </w:rPr>
      </w:pPr>
      <w:r>
        <w:rPr>
          <w:sz w:val="22"/>
          <w:lang w:val="ru-RU"/>
        </w:rPr>
        <w:t>Заявка на участие в закупке может содержать эскиз, рисунок, чертеж, фотографию, иное изображение товара на поставку которого размещается закупка.</w:t>
      </w:r>
    </w:p>
    <w:p>
      <w:pPr>
        <w:pStyle w:val="Default"/>
        <w:numPr>
          <w:ilvl w:val="0"/>
          <w:numId w:val="27"/>
        </w:numPr>
        <w:tabs>
          <w:tab w:val="left" w:pos="142" w:leader="none"/>
          <w:tab w:val="left" w:pos="709" w:leader="none"/>
          <w:tab w:val="left" w:pos="1418" w:leader="none"/>
        </w:tabs>
        <w:spacing w:before="0" w:after="0"/>
        <w:ind w:left="0" w:right="0" w:firstLine="567"/>
        <w:contextualSpacing/>
        <w:jc w:val="both"/>
        <w:rPr>
          <w:sz w:val="22"/>
          <w:szCs w:val="22"/>
        </w:rPr>
      </w:pPr>
      <w:r>
        <w:rPr>
          <w:sz w:val="22"/>
          <w:szCs w:val="22"/>
        </w:rPr>
        <w:t>Заявка на участие в закупке, все документы и корреспонденция между Заказчиком и Участником закупки, относящиеся к заявке, должны быть составлены на русском языке. Документы на иностранном языке, входящие в состав заявки на участие в закупке, должны сопровождаться точным переводом на русский язык, заверенным в соответствии с законодательством и международными договорами Российской Федерации.</w:t>
      </w:r>
    </w:p>
    <w:p>
      <w:pPr>
        <w:pStyle w:val="Default"/>
        <w:numPr>
          <w:ilvl w:val="0"/>
          <w:numId w:val="27"/>
        </w:numPr>
        <w:tabs>
          <w:tab w:val="left" w:pos="142" w:leader="none"/>
          <w:tab w:val="left" w:pos="709" w:leader="none"/>
          <w:tab w:val="left" w:pos="1418" w:leader="none"/>
        </w:tabs>
        <w:spacing w:before="0" w:after="0"/>
        <w:ind w:left="0" w:right="0" w:firstLine="567"/>
        <w:contextualSpacing/>
        <w:jc w:val="both"/>
        <w:rPr>
          <w:sz w:val="22"/>
          <w:szCs w:val="22"/>
        </w:rPr>
      </w:pPr>
      <w:r>
        <w:rPr>
          <w:sz w:val="22"/>
          <w:szCs w:val="22"/>
        </w:rPr>
        <w:t>Сведения, которые содержатся в заявке Участника закупки, не должны допускать двусмысленных толкований. При этом наличие двусмысленных толкований в заявке Участника закупки является основанием для отказа в допуске к участию в закупке.</w:t>
      </w:r>
    </w:p>
    <w:p>
      <w:pPr>
        <w:pStyle w:val="ListParagraph"/>
        <w:tabs>
          <w:tab w:val="clear" w:pos="709"/>
          <w:tab w:val="left" w:pos="1276" w:leader="none"/>
          <w:tab w:val="left" w:pos="1418" w:leader="none"/>
        </w:tabs>
        <w:ind w:left="1287" w:right="0" w:hanging="0"/>
        <w:rPr>
          <w:sz w:val="22"/>
          <w:lang w:val="ru-RU" w:eastAsia="ru-RU"/>
        </w:rPr>
      </w:pPr>
      <w:r>
        <w:rPr>
          <w:sz w:val="22"/>
          <w:lang w:val="ru-RU" w:eastAsia="ru-RU"/>
        </w:rPr>
      </w:r>
    </w:p>
    <w:p>
      <w:pPr>
        <w:pStyle w:val="4"/>
        <w:numPr>
          <w:ilvl w:val="0"/>
          <w:numId w:val="26"/>
        </w:numPr>
        <w:tabs>
          <w:tab w:val="clear" w:pos="709"/>
          <w:tab w:val="left" w:pos="1276" w:leader="none"/>
          <w:tab w:val="left" w:pos="1418" w:leader="none"/>
          <w:tab w:val="left" w:pos="1560" w:leader="none"/>
        </w:tabs>
        <w:spacing w:before="0" w:after="0"/>
        <w:ind w:left="0" w:right="0" w:firstLine="567"/>
        <w:rPr>
          <w:sz w:val="22"/>
          <w:lang w:val="ru-RU"/>
        </w:rPr>
      </w:pPr>
      <w:r>
        <w:rPr>
          <w:sz w:val="22"/>
          <w:lang w:val="ru-RU"/>
        </w:rPr>
        <w:t>Порядок подачи, изменения и отзыва заявок</w:t>
      </w:r>
    </w:p>
    <w:p>
      <w:pPr>
        <w:pStyle w:val="4"/>
        <w:numPr>
          <w:ilvl w:val="0"/>
          <w:numId w:val="28"/>
        </w:numPr>
        <w:tabs>
          <w:tab w:val="clear" w:pos="709"/>
          <w:tab w:val="left" w:pos="1276" w:leader="none"/>
          <w:tab w:val="left" w:pos="1418" w:leader="none"/>
          <w:tab w:val="left" w:pos="1560" w:leader="none"/>
        </w:tabs>
        <w:spacing w:before="0" w:after="0"/>
        <w:ind w:left="0" w:right="0" w:firstLine="567"/>
        <w:rPr/>
      </w:pPr>
      <w:r>
        <w:rPr>
          <w:b w:val="false"/>
          <w:color w:val="000000"/>
          <w:sz w:val="22"/>
          <w:lang w:val="ru-RU"/>
        </w:rPr>
        <w:t>Заявки</w:t>
      </w:r>
      <w:r>
        <w:rPr>
          <w:b w:val="false"/>
          <w:sz w:val="22"/>
          <w:lang w:val="ru-RU"/>
        </w:rPr>
        <w:t xml:space="preserve"> Участн</w:t>
      </w:r>
      <w:r>
        <w:rPr>
          <w:b w:val="false"/>
          <w:color w:val="000000"/>
          <w:sz w:val="22"/>
          <w:lang w:val="ru-RU"/>
        </w:rPr>
        <w:t>иков закупки подаются в форме электронного документа с использованием ЭП в срок, по форме и в порядке, установленными извещением и настоящей документацией, а также регламентом ЭП.</w:t>
      </w:r>
    </w:p>
    <w:p>
      <w:pPr>
        <w:pStyle w:val="4"/>
        <w:numPr>
          <w:ilvl w:val="0"/>
          <w:numId w:val="28"/>
        </w:numPr>
        <w:tabs>
          <w:tab w:val="clear" w:pos="709"/>
          <w:tab w:val="left" w:pos="1276" w:leader="none"/>
          <w:tab w:val="left" w:pos="1418" w:leader="none"/>
          <w:tab w:val="left" w:pos="1560" w:leader="none"/>
        </w:tabs>
        <w:spacing w:before="0" w:after="0"/>
        <w:ind w:left="0" w:right="0" w:firstLine="567"/>
        <w:rPr>
          <w:b w:val="false"/>
          <w:b w:val="false"/>
          <w:color w:val="000000"/>
          <w:sz w:val="22"/>
          <w:lang w:val="ru-RU"/>
        </w:rPr>
      </w:pPr>
      <w:r>
        <w:rPr>
          <w:b w:val="false"/>
          <w:color w:val="000000"/>
          <w:sz w:val="22"/>
          <w:lang w:val="ru-RU"/>
        </w:rPr>
        <w:t>Участник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на участие  в таком аукционе.</w:t>
      </w:r>
    </w:p>
    <w:p>
      <w:pPr>
        <w:pStyle w:val="4"/>
        <w:numPr>
          <w:ilvl w:val="0"/>
          <w:numId w:val="28"/>
        </w:numPr>
        <w:tabs>
          <w:tab w:val="clear" w:pos="709"/>
          <w:tab w:val="left" w:pos="1276" w:leader="none"/>
          <w:tab w:val="left" w:pos="1418" w:leader="none"/>
          <w:tab w:val="left" w:pos="1560" w:leader="none"/>
        </w:tabs>
        <w:spacing w:before="0" w:after="0"/>
        <w:ind w:left="0" w:right="0" w:firstLine="567"/>
        <w:rPr>
          <w:b w:val="false"/>
          <w:b w:val="false"/>
          <w:color w:val="000000"/>
          <w:sz w:val="22"/>
          <w:lang w:val="ru-RU"/>
        </w:rPr>
      </w:pPr>
      <w:r>
        <w:rPr>
          <w:b w:val="false"/>
          <w:color w:val="000000"/>
          <w:sz w:val="22"/>
          <w:lang w:val="ru-RU"/>
        </w:rPr>
        <w:t>Каждый Участник закупки может подать только одну заявку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w:t>
      </w:r>
    </w:p>
    <w:p>
      <w:pPr>
        <w:pStyle w:val="4"/>
        <w:numPr>
          <w:ilvl w:val="0"/>
          <w:numId w:val="28"/>
        </w:numPr>
        <w:tabs>
          <w:tab w:val="clear" w:pos="709"/>
          <w:tab w:val="left" w:pos="1276" w:leader="none"/>
          <w:tab w:val="left" w:pos="1418" w:leader="none"/>
          <w:tab w:val="left" w:pos="1560" w:leader="none"/>
        </w:tabs>
        <w:spacing w:before="0" w:after="0"/>
        <w:ind w:left="0" w:right="0" w:firstLine="567"/>
        <w:rPr/>
      </w:pPr>
      <w:r>
        <w:rPr>
          <w:b w:val="false"/>
          <w:color w:val="000000"/>
          <w:sz w:val="22"/>
          <w:lang w:val="ru-RU"/>
        </w:rPr>
        <w:t>Участник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pPr>
        <w:pStyle w:val="4"/>
        <w:numPr>
          <w:ilvl w:val="0"/>
          <w:numId w:val="28"/>
        </w:numPr>
        <w:tabs>
          <w:tab w:val="clear" w:pos="709"/>
          <w:tab w:val="left" w:pos="1276" w:leader="none"/>
          <w:tab w:val="left" w:pos="1418" w:leader="none"/>
          <w:tab w:val="left" w:pos="1560" w:leader="none"/>
        </w:tabs>
        <w:spacing w:before="0" w:after="0"/>
        <w:ind w:left="0" w:right="0" w:firstLine="567"/>
        <w:rPr>
          <w:b w:val="false"/>
          <w:b w:val="false"/>
          <w:color w:val="000000"/>
          <w:sz w:val="22"/>
          <w:lang w:val="ru-RU"/>
        </w:rPr>
      </w:pPr>
      <w:r>
        <w:rPr>
          <w:b w:val="false"/>
          <w:color w:val="000000"/>
          <w:sz w:val="22"/>
          <w:lang w:val="ru-RU"/>
        </w:rPr>
        <w:t xml:space="preserve">Документы и формы, предусмотренные настоящей документацией и входящие в состав заявки, должны быть предоставлены Участником закупки через оператора электронной площадки в доступном для прочтения виде. Все файлы заявки, размещенные Участником закупки через оператора электронной площадки, должны иметь название или комментарий, позволяющие идентифицировать содержание данного файла заявки.  </w:t>
      </w:r>
    </w:p>
    <w:p>
      <w:pPr>
        <w:pStyle w:val="4"/>
        <w:numPr>
          <w:ilvl w:val="0"/>
          <w:numId w:val="28"/>
        </w:numPr>
        <w:tabs>
          <w:tab w:val="clear" w:pos="709"/>
          <w:tab w:val="left" w:pos="1276" w:leader="none"/>
          <w:tab w:val="left" w:pos="1418" w:leader="none"/>
          <w:tab w:val="left" w:pos="1560" w:leader="none"/>
        </w:tabs>
        <w:spacing w:before="0" w:after="0"/>
        <w:ind w:left="0" w:right="0" w:firstLine="567"/>
        <w:rPr>
          <w:b w:val="false"/>
          <w:b w:val="false"/>
          <w:color w:val="000000"/>
          <w:sz w:val="22"/>
          <w:lang w:val="ru-RU"/>
        </w:rPr>
      </w:pPr>
      <w:r>
        <w:rPr>
          <w:b w:val="false"/>
          <w:color w:val="000000"/>
          <w:sz w:val="22"/>
          <w:lang w:val="ru-RU"/>
        </w:rPr>
        <w:t>Обмен между участником конкурентной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конкурентной закупки в электронной форме, осуществляется на электронной площадке в форме электронных документов.</w:t>
      </w:r>
    </w:p>
    <w:p>
      <w:pPr>
        <w:pStyle w:val="4"/>
        <w:numPr>
          <w:ilvl w:val="0"/>
          <w:numId w:val="28"/>
        </w:numPr>
        <w:tabs>
          <w:tab w:val="clear" w:pos="709"/>
          <w:tab w:val="left" w:pos="1276" w:leader="none"/>
          <w:tab w:val="left" w:pos="1418" w:leader="none"/>
          <w:tab w:val="left" w:pos="1560" w:leader="none"/>
        </w:tabs>
        <w:spacing w:before="0" w:after="0"/>
        <w:ind w:left="0" w:right="0" w:hanging="0"/>
        <w:rPr>
          <w:b w:val="false"/>
          <w:b w:val="false"/>
          <w:color w:val="000000"/>
          <w:sz w:val="22"/>
          <w:lang w:val="ru-RU"/>
        </w:rPr>
      </w:pPr>
      <w:r>
        <w:rPr>
          <w:b w:val="false"/>
          <w:color w:val="000000"/>
          <w:sz w:val="22"/>
          <w:lang w:val="ru-RU"/>
        </w:rPr>
        <w:t>Электронные документы участника конкурентной закупки в электронной форме, должны быть подписаны электронной подписью 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p>
    <w:p>
      <w:pPr>
        <w:pStyle w:val="Normal"/>
        <w:rPr>
          <w:sz w:val="22"/>
          <w:lang w:val="ru-RU"/>
        </w:rPr>
      </w:pPr>
      <w:r>
        <w:rPr>
          <w:sz w:val="22"/>
          <w:lang w:val="ru-RU"/>
        </w:rPr>
      </w:r>
    </w:p>
    <w:p>
      <w:pPr>
        <w:pStyle w:val="4"/>
        <w:numPr>
          <w:ilvl w:val="0"/>
          <w:numId w:val="26"/>
        </w:numPr>
        <w:tabs>
          <w:tab w:val="clear" w:pos="709"/>
          <w:tab w:val="left" w:pos="1276" w:leader="none"/>
          <w:tab w:val="left" w:pos="1418" w:leader="none"/>
          <w:tab w:val="left" w:pos="1560" w:leader="none"/>
        </w:tabs>
        <w:spacing w:before="0" w:after="0"/>
        <w:ind w:left="0" w:right="0" w:firstLine="567"/>
        <w:rPr>
          <w:sz w:val="22"/>
          <w:lang w:val="ru-RU"/>
        </w:rPr>
      </w:pPr>
      <w:r>
        <w:rPr>
          <w:sz w:val="22"/>
          <w:lang w:val="ru-RU"/>
        </w:rPr>
        <w:t>Требования к описанию подлежащих поставке товаров (выполнению работ, оказанию услуг)</w:t>
      </w:r>
    </w:p>
    <w:p>
      <w:pPr>
        <w:pStyle w:val="ListParagraph"/>
        <w:numPr>
          <w:ilvl w:val="0"/>
          <w:numId w:val="24"/>
        </w:numPr>
        <w:tabs>
          <w:tab w:val="clear" w:pos="709"/>
          <w:tab w:val="left" w:pos="1560" w:leader="none"/>
        </w:tabs>
        <w:ind w:left="0" w:right="0" w:firstLine="567"/>
        <w:rPr>
          <w:sz w:val="22"/>
          <w:lang w:val="ru-RU"/>
        </w:rPr>
      </w:pPr>
      <w:r>
        <w:rPr>
          <w:sz w:val="22"/>
          <w:lang w:val="ru-RU"/>
        </w:rPr>
        <w:t>Наименования, виды (содержание), технические характеристики, объемы и количество поставляемых товаров, выполняемых работ, оказываемых услуг, а также сопутствующих поставке работ, указанные в технической части документации о закупке (техническом задании, спецификации, др.), в предложении Участника аукциона о функциональных и качественных характеристиках товаров (качестве работ, услуг) должны совпадать. В случае их несовпадения или невозможности достоверно определить соответствие товаров (работ, услуг), предлагаемых к поставке (выполнению, оказанию) Участником аукциона, технической части документации о закупке (техническому заданию, спецификации, др.), заявка на участие в аукционе признается несоответствующей требованиям документации о закупке, что влечет за собой отказ в допуске в соответствии с пунктом 6.1 документации о закупке.</w:t>
      </w:r>
    </w:p>
    <w:p>
      <w:pPr>
        <w:pStyle w:val="ListParagraph"/>
        <w:numPr>
          <w:ilvl w:val="0"/>
          <w:numId w:val="24"/>
        </w:numPr>
        <w:tabs>
          <w:tab w:val="clear" w:pos="709"/>
          <w:tab w:val="left" w:pos="1560" w:leader="none"/>
        </w:tabs>
        <w:ind w:left="0" w:right="0" w:firstLine="567"/>
        <w:rPr/>
      </w:pPr>
      <w:r>
        <w:rPr>
          <w:sz w:val="22"/>
          <w:lang w:val="ru-RU"/>
        </w:rPr>
        <w:t xml:space="preserve">Предложение Участника </w:t>
      </w:r>
      <w:r>
        <w:rPr>
          <w:sz w:val="22"/>
          <w:lang w:val="ru-RU" w:eastAsia="ru-RU"/>
        </w:rPr>
        <w:t xml:space="preserve">о функциональных характеристиках (потребительских свойствах) и качественных характеристиках товара, о качестве работ, услуг </w:t>
      </w:r>
      <w:r>
        <w:rPr>
          <w:sz w:val="22"/>
          <w:lang w:val="ru-RU"/>
        </w:rPr>
        <w:t>должно содержать подробное описание товаров, работ, услуг, их технических характеристик, требований к качеству товаров, работ, услуг и т.д. в точном соответствии с технической частью документации о закупке (техническим заданием, спецификацией, др.). При этом указание в заявке на участие в аукционе ссылок на соответствие технической части (техническому заданию, спецификации, др.) документации о закупке не допускается.</w:t>
      </w:r>
    </w:p>
    <w:p>
      <w:pPr>
        <w:pStyle w:val="4"/>
        <w:numPr>
          <w:ilvl w:val="0"/>
          <w:numId w:val="26"/>
        </w:numPr>
        <w:tabs>
          <w:tab w:val="clear" w:pos="709"/>
          <w:tab w:val="left" w:pos="1134" w:leader="none"/>
          <w:tab w:val="left" w:pos="1418" w:leader="none"/>
          <w:tab w:val="left" w:pos="1560" w:leader="none"/>
        </w:tabs>
        <w:spacing w:before="0" w:after="0"/>
        <w:ind w:left="0" w:right="0" w:firstLine="567"/>
        <w:rPr>
          <w:b w:val="false"/>
          <w:b w:val="false"/>
          <w:bCs w:val="false"/>
          <w:sz w:val="22"/>
          <w:lang w:val="ru-RU"/>
        </w:rPr>
      </w:pPr>
      <w:r>
        <w:rPr>
          <w:b w:val="false"/>
          <w:bCs w:val="false"/>
          <w:sz w:val="22"/>
          <w:lang w:val="ru-RU"/>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pPr>
        <w:pStyle w:val="4"/>
        <w:numPr>
          <w:ilvl w:val="2"/>
          <w:numId w:val="39"/>
        </w:numPr>
        <w:tabs>
          <w:tab w:val="clear" w:pos="709"/>
          <w:tab w:val="left" w:pos="1276" w:leader="none"/>
        </w:tabs>
        <w:spacing w:before="0" w:after="0"/>
        <w:ind w:left="0" w:right="0" w:firstLine="567"/>
        <w:rPr>
          <w:b w:val="false"/>
          <w:b w:val="false"/>
          <w:sz w:val="22"/>
          <w:lang w:val="ru-RU"/>
        </w:rPr>
      </w:pPr>
      <w:r>
        <w:rPr>
          <w:b w:val="false"/>
          <w:sz w:val="22"/>
          <w:lang w:val="ru-RU"/>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установлены в части 4 и части 5 аукционной документации.</w:t>
      </w:r>
    </w:p>
    <w:p>
      <w:pPr>
        <w:pStyle w:val="Default"/>
        <w:spacing w:before="0" w:after="0"/>
        <w:contextualSpacing/>
        <w:jc w:val="both"/>
        <w:rPr>
          <w:sz w:val="22"/>
          <w:szCs w:val="22"/>
        </w:rPr>
      </w:pPr>
      <w:r>
        <w:rPr>
          <w:sz w:val="22"/>
          <w:szCs w:val="22"/>
        </w:rPr>
      </w:r>
    </w:p>
    <w:p>
      <w:pPr>
        <w:pStyle w:val="3"/>
        <w:numPr>
          <w:ilvl w:val="0"/>
          <w:numId w:val="1"/>
        </w:numPr>
        <w:spacing w:before="120" w:after="120"/>
        <w:ind w:left="0" w:right="0" w:hanging="0"/>
        <w:contextualSpacing/>
        <w:rPr>
          <w:sz w:val="22"/>
        </w:rPr>
      </w:pPr>
      <w:bookmarkStart w:id="25" w:name="__RefHeading___Toc10255_953328800"/>
      <w:bookmarkStart w:id="26" w:name="_Toc520982936"/>
      <w:bookmarkStart w:id="27" w:name="_Toc412532382"/>
      <w:bookmarkEnd w:id="25"/>
      <w:r>
        <w:rPr>
          <w:sz w:val="22"/>
        </w:rPr>
        <w:t>ПОРЯДОК РАССМОТРЕНИЯ ЗАЯВОК И ОПРЕДЕЛЕНИЯ УЧАСТНИКОВ АУКЦИОНА И (ИЛИ) ОЦЕНКИ ЗАЯВОК УЧАСТНИКОВ АУКЦИОНА И ОСОБЕННОСТИ ПРОВЕДЕНИЕ АУКЦИОНА</w:t>
      </w:r>
      <w:bookmarkEnd w:id="26"/>
      <w:bookmarkEnd w:id="27"/>
    </w:p>
    <w:p>
      <w:pPr>
        <w:pStyle w:val="Default"/>
        <w:numPr>
          <w:ilvl w:val="0"/>
          <w:numId w:val="36"/>
        </w:numPr>
        <w:tabs>
          <w:tab w:val="clear" w:pos="709"/>
          <w:tab w:val="left" w:pos="1134" w:leader="none"/>
        </w:tabs>
        <w:ind w:left="0" w:right="0" w:firstLine="567"/>
        <w:jc w:val="both"/>
        <w:rPr>
          <w:sz w:val="22"/>
          <w:szCs w:val="22"/>
        </w:rPr>
      </w:pPr>
      <w:r>
        <w:rPr>
          <w:sz w:val="22"/>
          <w:szCs w:val="22"/>
        </w:rPr>
        <w:t xml:space="preserve">Единая комиссия рассматривает заявки на участие в аукционе на соответствие требованиям, установленным Положением о закупке и настоящей аукционной документацией. </w:t>
      </w:r>
    </w:p>
    <w:p>
      <w:pPr>
        <w:pStyle w:val="Default"/>
        <w:numPr>
          <w:ilvl w:val="0"/>
          <w:numId w:val="36"/>
        </w:numPr>
        <w:tabs>
          <w:tab w:val="clear" w:pos="709"/>
          <w:tab w:val="left" w:pos="1134" w:leader="none"/>
        </w:tabs>
        <w:ind w:left="0" w:right="0" w:firstLine="567"/>
        <w:jc w:val="both"/>
        <w:rPr>
          <w:sz w:val="22"/>
          <w:szCs w:val="22"/>
        </w:rPr>
      </w:pPr>
      <w:r>
        <w:rPr>
          <w:sz w:val="22"/>
          <w:szCs w:val="22"/>
        </w:rPr>
        <w:t xml:space="preserve">Срок рассмотрения заявок на участие в аукционе не может превышать 10 (Десять) дней со дня окончания подачи заявок на участие в аукционе. </w:t>
      </w:r>
    </w:p>
    <w:p>
      <w:pPr>
        <w:pStyle w:val="Default"/>
        <w:numPr>
          <w:ilvl w:val="0"/>
          <w:numId w:val="36"/>
        </w:numPr>
        <w:tabs>
          <w:tab w:val="clear" w:pos="709"/>
          <w:tab w:val="left" w:pos="1134" w:leader="none"/>
        </w:tabs>
        <w:ind w:left="0" w:right="0" w:firstLine="567"/>
        <w:jc w:val="both"/>
        <w:rPr>
          <w:sz w:val="22"/>
          <w:szCs w:val="22"/>
        </w:rPr>
      </w:pPr>
      <w:r>
        <w:rPr>
          <w:sz w:val="22"/>
          <w:szCs w:val="22"/>
        </w:rPr>
        <w:t xml:space="preserve">В случае установления факта подачи одним Участником процедуры закупки двух и более заявок на участие в аукционе в отношении одного и того же лота при условии, что поданные ранее заявки таким Участником не отозваны, все заявки на участие в аукционе такого Участника процедуры закупки, поданные в отношении данного лота, не рассматриваются и возвращаются такому Участнику. </w:t>
      </w:r>
    </w:p>
    <w:p>
      <w:pPr>
        <w:pStyle w:val="Default"/>
        <w:numPr>
          <w:ilvl w:val="0"/>
          <w:numId w:val="36"/>
        </w:numPr>
        <w:tabs>
          <w:tab w:val="clear" w:pos="709"/>
          <w:tab w:val="left" w:pos="1134" w:leader="none"/>
        </w:tabs>
        <w:ind w:left="0" w:right="0" w:firstLine="567"/>
        <w:jc w:val="both"/>
        <w:rPr>
          <w:sz w:val="22"/>
          <w:szCs w:val="22"/>
        </w:rPr>
      </w:pPr>
      <w:r>
        <w:rPr>
          <w:sz w:val="22"/>
          <w:szCs w:val="22"/>
        </w:rPr>
        <w:t>На основании результатов рассмотрения заявок на участие в аукционе оформляется протокол рассмотрения заявок на участие в аукционе, который ведется Единой комиссией и подписывается всеми присутствующими на заседании членами Единой комиссии и Заказчиком.</w:t>
      </w:r>
    </w:p>
    <w:p>
      <w:pPr>
        <w:pStyle w:val="Default"/>
        <w:numPr>
          <w:ilvl w:val="0"/>
          <w:numId w:val="36"/>
        </w:numPr>
        <w:tabs>
          <w:tab w:val="clear" w:pos="709"/>
          <w:tab w:val="left" w:pos="1134" w:leader="none"/>
        </w:tabs>
        <w:ind w:left="0" w:right="0" w:firstLine="567"/>
        <w:jc w:val="both"/>
        <w:rPr>
          <w:sz w:val="22"/>
          <w:szCs w:val="22"/>
        </w:rPr>
      </w:pPr>
      <w:r>
        <w:rPr>
          <w:sz w:val="22"/>
          <w:szCs w:val="22"/>
        </w:rPr>
        <w:t xml:space="preserve">Протокол рассмотрения заявок на участие в аукционе должен содержать: </w:t>
      </w:r>
    </w:p>
    <w:p>
      <w:pPr>
        <w:pStyle w:val="Default"/>
        <w:numPr>
          <w:ilvl w:val="0"/>
          <w:numId w:val="40"/>
        </w:numPr>
        <w:tabs>
          <w:tab w:val="clear" w:pos="709"/>
          <w:tab w:val="left" w:pos="993" w:leader="none"/>
        </w:tabs>
        <w:ind w:left="0" w:right="0" w:firstLine="567"/>
        <w:jc w:val="both"/>
        <w:rPr>
          <w:sz w:val="22"/>
          <w:szCs w:val="22"/>
          <w:lang w:eastAsia="ru-RU"/>
        </w:rPr>
      </w:pPr>
      <w:r>
        <w:rPr>
          <w:sz w:val="22"/>
          <w:szCs w:val="22"/>
          <w:lang w:eastAsia="ru-RU"/>
        </w:rPr>
        <w:t>дата подписания протокола;</w:t>
      </w:r>
    </w:p>
    <w:p>
      <w:pPr>
        <w:pStyle w:val="Default"/>
        <w:numPr>
          <w:ilvl w:val="0"/>
          <w:numId w:val="40"/>
        </w:numPr>
        <w:tabs>
          <w:tab w:val="clear" w:pos="709"/>
          <w:tab w:val="left" w:pos="993" w:leader="none"/>
        </w:tabs>
        <w:ind w:left="0" w:right="0" w:firstLine="567"/>
        <w:jc w:val="both"/>
        <w:rPr>
          <w:sz w:val="22"/>
          <w:szCs w:val="22"/>
          <w:lang w:eastAsia="ru-RU"/>
        </w:rPr>
      </w:pPr>
      <w:r>
        <w:rPr>
          <w:sz w:val="22"/>
          <w:szCs w:val="22"/>
          <w:lang w:eastAsia="ru-RU"/>
        </w:rPr>
        <w:t>количество поданных на участие в закупке (этапе закупки) заявок, а также дата и время регистрации каждой такой заявки;</w:t>
      </w:r>
    </w:p>
    <w:p>
      <w:pPr>
        <w:pStyle w:val="Default"/>
        <w:numPr>
          <w:ilvl w:val="0"/>
          <w:numId w:val="40"/>
        </w:numPr>
        <w:tabs>
          <w:tab w:val="clear" w:pos="709"/>
          <w:tab w:val="left" w:pos="993" w:leader="none"/>
        </w:tabs>
        <w:ind w:left="0" w:right="0" w:firstLine="567"/>
        <w:jc w:val="both"/>
        <w:rPr>
          <w:sz w:val="22"/>
          <w:szCs w:val="22"/>
          <w:lang w:eastAsia="ru-RU"/>
        </w:rPr>
      </w:pPr>
      <w:r>
        <w:rPr>
          <w:sz w:val="22"/>
          <w:szCs w:val="22"/>
          <w:lang w:eastAsia="ru-RU"/>
        </w:rPr>
        <w:t>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pPr>
        <w:pStyle w:val="Default"/>
        <w:numPr>
          <w:ilvl w:val="0"/>
          <w:numId w:val="40"/>
        </w:numPr>
        <w:tabs>
          <w:tab w:val="clear" w:pos="709"/>
          <w:tab w:val="left" w:pos="993" w:leader="none"/>
        </w:tabs>
        <w:ind w:left="0" w:right="0" w:firstLine="567"/>
        <w:jc w:val="both"/>
        <w:rPr>
          <w:sz w:val="22"/>
          <w:szCs w:val="22"/>
          <w:lang w:eastAsia="ru-RU"/>
        </w:rPr>
      </w:pPr>
      <w:r>
        <w:rPr>
          <w:sz w:val="22"/>
          <w:szCs w:val="22"/>
          <w:lang w:eastAsia="ru-RU"/>
        </w:rPr>
        <w:t>количества заявок на участие в закупке, которые отклонены;</w:t>
      </w:r>
    </w:p>
    <w:p>
      <w:pPr>
        <w:pStyle w:val="Default"/>
        <w:numPr>
          <w:ilvl w:val="0"/>
          <w:numId w:val="40"/>
        </w:numPr>
        <w:tabs>
          <w:tab w:val="clear" w:pos="709"/>
          <w:tab w:val="left" w:pos="993" w:leader="none"/>
        </w:tabs>
        <w:ind w:left="0" w:right="0" w:firstLine="567"/>
        <w:jc w:val="both"/>
        <w:rPr>
          <w:sz w:val="22"/>
          <w:szCs w:val="22"/>
          <w:lang w:eastAsia="ru-RU"/>
        </w:rPr>
      </w:pPr>
      <w:r>
        <w:rPr>
          <w:sz w:val="22"/>
          <w:szCs w:val="22"/>
          <w:lang w:eastAsia="ru-RU"/>
        </w:rPr>
        <w:t>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pPr>
        <w:pStyle w:val="Default"/>
        <w:numPr>
          <w:ilvl w:val="0"/>
          <w:numId w:val="40"/>
        </w:numPr>
        <w:tabs>
          <w:tab w:val="clear" w:pos="709"/>
          <w:tab w:val="left" w:pos="993" w:leader="none"/>
        </w:tabs>
        <w:ind w:left="0" w:right="0" w:firstLine="567"/>
        <w:jc w:val="both"/>
        <w:rPr>
          <w:sz w:val="22"/>
          <w:szCs w:val="22"/>
          <w:lang w:eastAsia="ru-RU"/>
        </w:rPr>
      </w:pPr>
      <w:r>
        <w:rPr>
          <w:sz w:val="22"/>
          <w:szCs w:val="22"/>
          <w:lang w:eastAsia="ru-RU"/>
        </w:rPr>
        <w:t>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pPr>
        <w:pStyle w:val="Default"/>
        <w:numPr>
          <w:ilvl w:val="0"/>
          <w:numId w:val="40"/>
        </w:numPr>
        <w:tabs>
          <w:tab w:val="clear" w:pos="709"/>
          <w:tab w:val="left" w:pos="993" w:leader="none"/>
        </w:tabs>
        <w:ind w:left="0" w:right="0" w:firstLine="567"/>
        <w:jc w:val="both"/>
        <w:rPr>
          <w:sz w:val="22"/>
          <w:szCs w:val="22"/>
          <w:lang w:eastAsia="ru-RU"/>
        </w:rPr>
      </w:pPr>
      <w:r>
        <w:rPr>
          <w:sz w:val="22"/>
          <w:szCs w:val="22"/>
          <w:lang w:eastAsia="ru-RU"/>
        </w:rPr>
        <w:t>причины, по которым конкурентная закупка признана несостоявшейся, в случае ее признания таковой;</w:t>
      </w:r>
    </w:p>
    <w:p>
      <w:pPr>
        <w:pStyle w:val="Default"/>
        <w:numPr>
          <w:ilvl w:val="0"/>
          <w:numId w:val="40"/>
        </w:numPr>
        <w:tabs>
          <w:tab w:val="clear" w:pos="709"/>
          <w:tab w:val="left" w:pos="993" w:leader="none"/>
        </w:tabs>
        <w:ind w:left="0" w:right="0" w:firstLine="567"/>
        <w:jc w:val="both"/>
        <w:rPr>
          <w:sz w:val="22"/>
          <w:szCs w:val="22"/>
          <w:lang w:eastAsia="ru-RU"/>
        </w:rPr>
      </w:pPr>
      <w:r>
        <w:rPr>
          <w:sz w:val="22"/>
          <w:szCs w:val="22"/>
          <w:lang w:eastAsia="ru-RU"/>
        </w:rPr>
        <w:t>иные сведения в случае, если необходимость их указания в протоколе предусмотрена положением о закупке.</w:t>
      </w:r>
    </w:p>
    <w:p>
      <w:pPr>
        <w:pStyle w:val="Default"/>
        <w:numPr>
          <w:ilvl w:val="0"/>
          <w:numId w:val="36"/>
        </w:numPr>
        <w:tabs>
          <w:tab w:val="clear" w:pos="709"/>
          <w:tab w:val="left" w:pos="1134" w:leader="none"/>
        </w:tabs>
        <w:ind w:left="0" w:right="0" w:firstLine="567"/>
        <w:jc w:val="both"/>
        <w:rPr>
          <w:sz w:val="22"/>
          <w:szCs w:val="22"/>
        </w:rPr>
      </w:pPr>
      <w:r>
        <w:rPr>
          <w:sz w:val="22"/>
          <w:szCs w:val="22"/>
        </w:rPr>
        <w:t xml:space="preserve">Протокол рассмотрения заявок подписывается всеми присутствующими на заседании членами Единой комиссии, уполномоченным представителем Заказчика и размещается в единой информационной системе не позднее чем через 3 (Три) дня со дня подписания данного протокола. </w:t>
      </w:r>
    </w:p>
    <w:p>
      <w:pPr>
        <w:pStyle w:val="Normal"/>
        <w:keepNext w:val="true"/>
        <w:rPr>
          <w:sz w:val="22"/>
          <w:lang w:val="ru-RU"/>
        </w:rPr>
      </w:pPr>
      <w:r>
        <w:rPr>
          <w:sz w:val="22"/>
          <w:lang w:val="ru-RU"/>
        </w:rPr>
        <w:t>Датой подписания протокола считается дата подписания протокола со стороны Заказчика.</w:t>
      </w:r>
    </w:p>
    <w:p>
      <w:pPr>
        <w:pStyle w:val="Default"/>
        <w:numPr>
          <w:ilvl w:val="0"/>
          <w:numId w:val="36"/>
        </w:numPr>
        <w:tabs>
          <w:tab w:val="clear" w:pos="709"/>
          <w:tab w:val="left" w:pos="1134" w:leader="none"/>
        </w:tabs>
        <w:ind w:left="0" w:right="0" w:firstLine="567"/>
        <w:jc w:val="both"/>
        <w:rPr>
          <w:sz w:val="22"/>
          <w:szCs w:val="22"/>
        </w:rPr>
      </w:pPr>
      <w:r>
        <w:rPr>
          <w:sz w:val="22"/>
          <w:szCs w:val="22"/>
        </w:rPr>
        <w:t>Порядок  и особенности проведения аукциона установлены регламентом ЭП.</w:t>
      </w:r>
    </w:p>
    <w:p>
      <w:pPr>
        <w:pStyle w:val="Default"/>
        <w:tabs>
          <w:tab w:val="clear" w:pos="709"/>
          <w:tab w:val="left" w:pos="1134" w:leader="none"/>
        </w:tabs>
        <w:ind w:left="567" w:right="0" w:firstLine="567"/>
        <w:jc w:val="both"/>
        <w:rPr>
          <w:sz w:val="22"/>
          <w:szCs w:val="22"/>
        </w:rPr>
      </w:pPr>
      <w:r>
        <w:rPr>
          <w:sz w:val="22"/>
          <w:szCs w:val="22"/>
        </w:rPr>
      </w:r>
    </w:p>
    <w:p>
      <w:pPr>
        <w:pStyle w:val="3"/>
        <w:numPr>
          <w:ilvl w:val="0"/>
          <w:numId w:val="1"/>
        </w:numPr>
        <w:spacing w:before="120" w:after="120"/>
        <w:ind w:left="0" w:right="0" w:hanging="0"/>
        <w:contextualSpacing/>
        <w:rPr>
          <w:sz w:val="22"/>
        </w:rPr>
      </w:pPr>
      <w:bookmarkStart w:id="28" w:name="__RefHeading___Toc10257_953328800"/>
      <w:bookmarkStart w:id="29" w:name="_Toc412532383"/>
      <w:bookmarkStart w:id="30" w:name="_Toc520982937"/>
      <w:bookmarkEnd w:id="28"/>
      <w:r>
        <w:rPr>
          <w:sz w:val="22"/>
        </w:rPr>
        <w:t>УСЛОВИЯ ДОПУСКА К УЧАСТИЮ В АУКЦИОНЕ</w:t>
      </w:r>
      <w:bookmarkEnd w:id="29"/>
      <w:bookmarkEnd w:id="30"/>
    </w:p>
    <w:p>
      <w:pPr>
        <w:pStyle w:val="4"/>
        <w:numPr>
          <w:ilvl w:val="0"/>
          <w:numId w:val="22"/>
        </w:numPr>
        <w:ind w:left="0" w:right="0" w:firstLine="567"/>
        <w:rPr>
          <w:sz w:val="22"/>
          <w:lang w:val="ru-RU"/>
        </w:rPr>
      </w:pPr>
      <w:r>
        <w:rPr>
          <w:sz w:val="22"/>
          <w:lang w:val="ru-RU"/>
        </w:rPr>
        <w:t>Условия допуска к участию в аукционе</w:t>
      </w:r>
    </w:p>
    <w:p>
      <w:pPr>
        <w:pStyle w:val="Default"/>
        <w:numPr>
          <w:ilvl w:val="0"/>
          <w:numId w:val="23"/>
        </w:numPr>
        <w:tabs>
          <w:tab w:val="clear" w:pos="709"/>
          <w:tab w:val="left" w:pos="1418" w:leader="none"/>
        </w:tabs>
        <w:spacing w:before="0" w:after="0"/>
        <w:ind w:left="0" w:right="0" w:firstLine="567"/>
        <w:contextualSpacing/>
        <w:jc w:val="both"/>
        <w:rPr>
          <w:sz w:val="22"/>
          <w:szCs w:val="22"/>
        </w:rPr>
      </w:pPr>
      <w:r>
        <w:rPr>
          <w:sz w:val="22"/>
          <w:szCs w:val="22"/>
        </w:rPr>
        <w:t>Заказчик отклоняет заявку на участие в аукционе в следующих случаях:</w:t>
      </w:r>
    </w:p>
    <w:p>
      <w:pPr>
        <w:pStyle w:val="Normal"/>
        <w:numPr>
          <w:ilvl w:val="0"/>
          <w:numId w:val="29"/>
        </w:numPr>
        <w:tabs>
          <w:tab w:val="clear" w:pos="709"/>
          <w:tab w:val="left" w:pos="993" w:leader="none"/>
        </w:tabs>
        <w:spacing w:before="0" w:after="200"/>
        <w:ind w:left="0" w:right="0" w:firstLine="567"/>
        <w:contextualSpacing/>
        <w:rPr>
          <w:sz w:val="22"/>
          <w:lang w:val="ru-RU"/>
        </w:rPr>
      </w:pPr>
      <w:r>
        <w:rPr>
          <w:sz w:val="22"/>
          <w:lang w:val="ru-RU"/>
        </w:rPr>
        <w:t>непредставление Участником обязательных документов, установленных документацией о закупке, входящих в состав заявки на участие в закупке;</w:t>
      </w:r>
    </w:p>
    <w:p>
      <w:pPr>
        <w:pStyle w:val="Normal"/>
        <w:numPr>
          <w:ilvl w:val="0"/>
          <w:numId w:val="29"/>
        </w:numPr>
        <w:tabs>
          <w:tab w:val="clear" w:pos="709"/>
          <w:tab w:val="left" w:pos="993" w:leader="none"/>
        </w:tabs>
        <w:spacing w:before="0" w:after="200"/>
        <w:ind w:left="0" w:right="0" w:firstLine="567"/>
        <w:contextualSpacing/>
        <w:rPr>
          <w:sz w:val="22"/>
          <w:lang w:val="ru-RU"/>
        </w:rPr>
      </w:pPr>
      <w:r>
        <w:rPr>
          <w:sz w:val="22"/>
          <w:lang w:val="ru-RU"/>
        </w:rPr>
        <w:t>несоответствие Участника требованиям, указанным в документации о закупке;</w:t>
      </w:r>
    </w:p>
    <w:p>
      <w:pPr>
        <w:pStyle w:val="Normal"/>
        <w:numPr>
          <w:ilvl w:val="0"/>
          <w:numId w:val="29"/>
        </w:numPr>
        <w:tabs>
          <w:tab w:val="clear" w:pos="709"/>
          <w:tab w:val="left" w:pos="993" w:leader="none"/>
        </w:tabs>
        <w:spacing w:before="0" w:after="0"/>
        <w:ind w:left="0" w:right="0" w:firstLine="567"/>
        <w:contextualSpacing/>
        <w:rPr>
          <w:sz w:val="22"/>
          <w:lang w:val="ru-RU"/>
        </w:rPr>
      </w:pPr>
      <w:r>
        <w:rPr>
          <w:sz w:val="22"/>
          <w:lang w:val="ru-RU"/>
        </w:rPr>
        <w:t>несоответствия заявки на участие в закупке требованиям документации о закупке, в том числе наличие в таких заявках предложения о цене договора, превышающей начальную (максимальную) цену договору (цену лота), начальную (максимальную) цену единицы товара, начальную (максимальную) цену запасных частей (каждой запасной части) к технике, к оборудованию, начальную (максимальную) цену единицы услуги и (или) работы, а также отсутствие в заявке на участие в закупке сведений о стране происхождения товара в случае, если закупка проводится на право заключения договора, предметом которого является поставка товаров, в отношении которых федеральным органом исполнительной власти установлены требования о предоставлении преимуществ;</w:t>
      </w:r>
    </w:p>
    <w:p>
      <w:pPr>
        <w:pStyle w:val="ListParagraph"/>
        <w:numPr>
          <w:ilvl w:val="0"/>
          <w:numId w:val="29"/>
        </w:numPr>
        <w:tabs>
          <w:tab w:val="clear" w:pos="709"/>
          <w:tab w:val="left" w:pos="993" w:leader="none"/>
        </w:tabs>
        <w:ind w:left="0" w:right="0" w:firstLine="567"/>
        <w:rPr>
          <w:sz w:val="22"/>
          <w:lang w:val="ru-RU" w:eastAsia="ru-RU" w:bidi="ar-SA"/>
        </w:rPr>
      </w:pPr>
      <w:r>
        <w:rPr>
          <w:sz w:val="22"/>
          <w:lang w:val="ru-RU" w:eastAsia="ru-RU" w:bidi="ar-SA"/>
        </w:rPr>
        <w:t>в случае содержания в первой части заявки на участие в  аукционе в электронной форме  сведений об участнике аукциона и (или) о ценовом предложении либо содержания во второй части данной заявки сведений о ценовом предложении.</w:t>
      </w:r>
    </w:p>
    <w:p>
      <w:pPr>
        <w:pStyle w:val="Default"/>
        <w:numPr>
          <w:ilvl w:val="0"/>
          <w:numId w:val="23"/>
        </w:numPr>
        <w:tabs>
          <w:tab w:val="clear" w:pos="709"/>
          <w:tab w:val="left" w:pos="1418" w:leader="none"/>
        </w:tabs>
        <w:spacing w:before="0" w:after="0"/>
        <w:ind w:left="0" w:right="0" w:firstLine="567"/>
        <w:contextualSpacing/>
        <w:jc w:val="both"/>
        <w:rPr>
          <w:sz w:val="22"/>
          <w:szCs w:val="22"/>
        </w:rPr>
      </w:pPr>
      <w:r>
        <w:rPr>
          <w:sz w:val="22"/>
          <w:szCs w:val="22"/>
        </w:rPr>
        <w:t>Заказчик вправе отклонить заявку Участника закупки и отстранить Участника закупки от участия в закупке на любом этапе ее проведения в случае:</w:t>
      </w:r>
    </w:p>
    <w:p>
      <w:pPr>
        <w:pStyle w:val="Normal"/>
        <w:numPr>
          <w:ilvl w:val="0"/>
          <w:numId w:val="30"/>
        </w:numPr>
        <w:tabs>
          <w:tab w:val="clear" w:pos="709"/>
          <w:tab w:val="left" w:pos="993" w:leader="none"/>
        </w:tabs>
        <w:spacing w:before="0" w:after="200"/>
        <w:ind w:left="0" w:right="0" w:firstLine="567"/>
        <w:contextualSpacing/>
        <w:rPr>
          <w:sz w:val="22"/>
          <w:lang w:val="ru-RU"/>
        </w:rPr>
      </w:pPr>
      <w:r>
        <w:rPr>
          <w:sz w:val="22"/>
          <w:lang w:val="ru-RU"/>
        </w:rPr>
        <w:t>установления недостоверности сведений, содержащихся в документах, представленных Участником закупки в соответствии с документацией о закупке;</w:t>
      </w:r>
    </w:p>
    <w:p>
      <w:pPr>
        <w:pStyle w:val="Normal"/>
        <w:numPr>
          <w:ilvl w:val="0"/>
          <w:numId w:val="30"/>
        </w:numPr>
        <w:tabs>
          <w:tab w:val="clear" w:pos="709"/>
          <w:tab w:val="left" w:pos="993" w:leader="none"/>
        </w:tabs>
        <w:spacing w:before="0" w:after="200"/>
        <w:ind w:left="0" w:right="0" w:firstLine="567"/>
        <w:contextualSpacing/>
        <w:rPr>
          <w:sz w:val="22"/>
          <w:lang w:val="ru-RU"/>
        </w:rPr>
      </w:pPr>
      <w:r>
        <w:rPr>
          <w:sz w:val="22"/>
          <w:lang w:val="ru-RU"/>
        </w:rPr>
        <w:t>установления факта проведения ликвидации в отношении Участника закупки – юридического лица или принятия арбитражным судом решения о признании Участника закупки – юридического лица, индивидуального предпринимателя банкротом и об открытии конкурсного производства;</w:t>
      </w:r>
    </w:p>
    <w:p>
      <w:pPr>
        <w:pStyle w:val="Normal"/>
        <w:numPr>
          <w:ilvl w:val="0"/>
          <w:numId w:val="30"/>
        </w:numPr>
        <w:tabs>
          <w:tab w:val="clear" w:pos="709"/>
          <w:tab w:val="left" w:pos="993" w:leader="none"/>
        </w:tabs>
        <w:spacing w:before="0" w:after="200"/>
        <w:ind w:left="0" w:right="0" w:firstLine="567"/>
        <w:contextualSpacing/>
        <w:rPr>
          <w:sz w:val="22"/>
          <w:lang w:val="ru-RU"/>
        </w:rPr>
      </w:pPr>
      <w:r>
        <w:rPr>
          <w:sz w:val="22"/>
          <w:lang w:val="ru-RU"/>
        </w:rPr>
        <w:t>установления факта приостановления деятельности Участника закупки — юридического лица, индивидуального предпринимателя в порядке, предусмотренном Кодексом Российской Федерации об административных правонарушениях;</w:t>
      </w:r>
    </w:p>
    <w:p>
      <w:pPr>
        <w:pStyle w:val="Normal"/>
        <w:numPr>
          <w:ilvl w:val="0"/>
          <w:numId w:val="30"/>
        </w:numPr>
        <w:tabs>
          <w:tab w:val="clear" w:pos="709"/>
          <w:tab w:val="left" w:pos="993" w:leader="none"/>
        </w:tabs>
        <w:spacing w:before="0" w:after="200"/>
        <w:ind w:left="0" w:right="0" w:firstLine="567"/>
        <w:contextualSpacing/>
        <w:rPr>
          <w:sz w:val="22"/>
          <w:lang w:val="ru-RU"/>
        </w:rPr>
      </w:pPr>
      <w:r>
        <w:rPr>
          <w:sz w:val="22"/>
          <w:lang w:val="ru-RU"/>
        </w:rPr>
        <w:t>установления факта наличия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такого Участника по данным бухгалтерской отчетности за последний завершенный отчетный период, при условии, что Участник закупки не обжалует наличие указанной задолженности в соответствии с законодательством Российской Федерации.</w:t>
      </w:r>
    </w:p>
    <w:p>
      <w:pPr>
        <w:pStyle w:val="3"/>
        <w:numPr>
          <w:ilvl w:val="0"/>
          <w:numId w:val="1"/>
        </w:numPr>
        <w:spacing w:before="120" w:after="120"/>
        <w:ind w:left="0" w:right="0" w:hanging="0"/>
        <w:contextualSpacing/>
        <w:rPr>
          <w:sz w:val="22"/>
        </w:rPr>
      </w:pPr>
      <w:bookmarkStart w:id="31" w:name="__RefHeading___Toc10259_953328800"/>
      <w:bookmarkStart w:id="32" w:name="_Toc520982938"/>
      <w:bookmarkStart w:id="33" w:name="_Toc412532384"/>
      <w:bookmarkEnd w:id="31"/>
      <w:r>
        <w:rPr>
          <w:sz w:val="22"/>
        </w:rPr>
        <w:t>РАЗМЕР И ПОРЯДОК ВНЕСЕНИЯ ОБЕСПЕЧЕНИЯ ЗАЯВКИ НА УЧАСТИЕ В ОТКРЫТОМ АУКЦИОНЕ В ЭЛЕКТРОННОЙ ФОРМЕ</w:t>
      </w:r>
      <w:bookmarkEnd w:id="32"/>
      <w:bookmarkEnd w:id="33"/>
    </w:p>
    <w:p>
      <w:pPr>
        <w:pStyle w:val="Default"/>
        <w:numPr>
          <w:ilvl w:val="0"/>
          <w:numId w:val="15"/>
        </w:numPr>
        <w:tabs>
          <w:tab w:val="clear" w:pos="709"/>
          <w:tab w:val="left" w:pos="1134" w:leader="none"/>
        </w:tabs>
        <w:spacing w:before="0" w:after="0"/>
        <w:ind w:left="0" w:right="0" w:firstLine="567"/>
        <w:contextualSpacing/>
        <w:jc w:val="both"/>
        <w:rPr/>
      </w:pPr>
      <w:r>
        <w:rPr>
          <w:sz w:val="22"/>
          <w:szCs w:val="22"/>
          <w:lang w:eastAsia="ru-RU"/>
        </w:rPr>
        <w:t>Заказчик не устанавливает в документации о конкурентной закупке требование обеспечения заявок на участие в закупке, если начальная (максимальная) цена договора не превышает 5 000 000</w:t>
      </w:r>
      <w:bookmarkStart w:id="34" w:name="__DdeLink__1855_91705655"/>
      <w:r>
        <w:rPr>
          <w:sz w:val="22"/>
          <w:szCs w:val="22"/>
          <w:lang w:eastAsia="ru-RU"/>
        </w:rPr>
        <w:t xml:space="preserve"> (пять миллионов)</w:t>
      </w:r>
      <w:bookmarkEnd w:id="34"/>
      <w:r>
        <w:rPr>
          <w:sz w:val="22"/>
          <w:szCs w:val="22"/>
          <w:lang w:eastAsia="ru-RU"/>
        </w:rPr>
        <w:t xml:space="preserve"> рублей. В случае, если начальная (максимальная) цена договора превышает 5 000 000</w:t>
      </w:r>
      <w:bookmarkStart w:id="35" w:name="__DdeLink__1855_917056551"/>
      <w:r>
        <w:rPr>
          <w:sz w:val="22"/>
          <w:szCs w:val="22"/>
          <w:lang w:eastAsia="ru-RU"/>
        </w:rPr>
        <w:t xml:space="preserve"> (пять миллионов)</w:t>
      </w:r>
      <w:bookmarkEnd w:id="35"/>
      <w:r>
        <w:rPr>
          <w:sz w:val="22"/>
          <w:szCs w:val="22"/>
          <w:lang w:eastAsia="ru-RU"/>
        </w:rPr>
        <w:t xml:space="preserve"> рублей, заказчик вправе установить в документации о закупке требование к обеспечению заявок на участие в закупке в размере не более 5 (Пяти) процентов начальной (максимальной) цены договора.</w:t>
      </w:r>
    </w:p>
    <w:p>
      <w:pPr>
        <w:pStyle w:val="Default"/>
        <w:numPr>
          <w:ilvl w:val="0"/>
          <w:numId w:val="15"/>
        </w:numPr>
        <w:tabs>
          <w:tab w:val="clear" w:pos="709"/>
          <w:tab w:val="left" w:pos="1134" w:leader="none"/>
        </w:tabs>
        <w:spacing w:before="0" w:after="0"/>
        <w:ind w:left="0" w:right="0" w:firstLine="567"/>
        <w:contextualSpacing/>
        <w:jc w:val="both"/>
        <w:rPr/>
      </w:pPr>
      <w:r>
        <w:rPr>
          <w:sz w:val="22"/>
          <w:szCs w:val="22"/>
          <w:lang w:eastAsia="ru-RU"/>
        </w:rPr>
        <w:t xml:space="preserve">Обеспечение заявки на участие в конкурентной закупке может предоставляться участником конкурентной закупки путем внесения денежных средств, предоставления банковской гарантии или иным способом, предусмотренным Гражданским </w:t>
      </w:r>
      <w:hyperlink r:id="rId6">
        <w:r>
          <w:rPr>
            <w:rStyle w:val="Style"/>
            <w:sz w:val="22"/>
            <w:szCs w:val="22"/>
          </w:rPr>
          <w:t>кодексом</w:t>
        </w:r>
      </w:hyperlink>
      <w:r>
        <w:rPr>
          <w:sz w:val="22"/>
          <w:szCs w:val="22"/>
          <w:lang w:eastAsia="ru-RU"/>
        </w:rPr>
        <w:t xml:space="preserve"> Российской Федерации, за исключением закупки участниками которой могут быть только субъекты малого и среднего предпринимательства. Выбор способа обеспечения заявки на участие в закупке участником осуществляется самостоятельно.</w:t>
      </w:r>
    </w:p>
    <w:p>
      <w:pPr>
        <w:pStyle w:val="Default"/>
        <w:numPr>
          <w:ilvl w:val="0"/>
          <w:numId w:val="15"/>
        </w:numPr>
        <w:tabs>
          <w:tab w:val="clear" w:pos="709"/>
          <w:tab w:val="left" w:pos="1134" w:leader="none"/>
        </w:tabs>
        <w:spacing w:before="0" w:after="0"/>
        <w:ind w:left="0" w:right="0" w:firstLine="567"/>
        <w:contextualSpacing/>
        <w:jc w:val="both"/>
        <w:rPr>
          <w:sz w:val="22"/>
          <w:szCs w:val="22"/>
          <w:lang w:eastAsia="ru-RU"/>
        </w:rPr>
      </w:pPr>
      <w:r>
        <w:rPr>
          <w:sz w:val="22"/>
          <w:szCs w:val="22"/>
          <w:lang w:eastAsia="ru-RU"/>
        </w:rPr>
        <w:t>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в соответствии с настоящей статьей или предоставления банковской гарантии. Выбор способа обеспечения заявки на участие в такой закупке осуществляется участником такой закупки.</w:t>
      </w:r>
    </w:p>
    <w:p>
      <w:pPr>
        <w:pStyle w:val="Default"/>
        <w:numPr>
          <w:ilvl w:val="0"/>
          <w:numId w:val="15"/>
        </w:numPr>
        <w:tabs>
          <w:tab w:val="clear" w:pos="709"/>
          <w:tab w:val="left" w:pos="1134" w:leader="none"/>
        </w:tabs>
        <w:spacing w:before="0" w:after="0"/>
        <w:ind w:left="0" w:right="0" w:firstLine="567"/>
        <w:contextualSpacing/>
        <w:jc w:val="both"/>
        <w:rPr>
          <w:sz w:val="22"/>
          <w:szCs w:val="22"/>
          <w:lang w:eastAsia="ru-RU"/>
        </w:rPr>
      </w:pPr>
      <w:r>
        <w:rPr>
          <w:sz w:val="22"/>
          <w:szCs w:val="22"/>
          <w:lang w:eastAsia="ru-RU"/>
        </w:rPr>
        <w:t>При осуществлении конкурентной закупки с участием субъектов малого и среднего предпринимательства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pPr>
        <w:pStyle w:val="Default"/>
        <w:numPr>
          <w:ilvl w:val="0"/>
          <w:numId w:val="15"/>
        </w:numPr>
        <w:tabs>
          <w:tab w:val="clear" w:pos="709"/>
          <w:tab w:val="left" w:pos="1134" w:leader="none"/>
        </w:tabs>
        <w:spacing w:before="0" w:after="0"/>
        <w:ind w:left="0" w:right="0" w:firstLine="567"/>
        <w:contextualSpacing/>
        <w:jc w:val="both"/>
        <w:rPr/>
      </w:pPr>
      <w:r>
        <w:rPr>
          <w:sz w:val="22"/>
          <w:szCs w:val="22"/>
          <w:lang w:eastAsia="ru-RU"/>
        </w:rPr>
        <w:t>Денежные средства, внесенные на специальный банковский счет в качестве обеспечения заявок на участие в конкурентной закупке с участием субъектов малого и среднего предпринимательства, перечисляются на счет заказчика, указанный в извещении об осуществлении такой закупки, документации о конкурентной закупке, в случае уклонения, в том числе непредоставления или предоставления с нарушением условий, установленных извещением об осуществлении такой закупки, документацией о конкурентной закупке, до заключения договора заказчику обеспечения исполнения договора (если в извещении об осуществлении такой закупки, документации о конкурентной закупке установлено требование об обеспечении исполнения договора), или отказа участника такой закупки заключить договор.</w:t>
      </w:r>
      <w:r>
        <w:rPr>
          <w:sz w:val="22"/>
          <w:szCs w:val="22"/>
        </w:rPr>
        <w:t>Возврат участнику конкурентной закупки обеспечения заявки на участие в закупке не производится в следующих случаях:</w:t>
      </w:r>
    </w:p>
    <w:p>
      <w:pPr>
        <w:pStyle w:val="Normal"/>
        <w:ind w:left="0" w:right="0" w:hanging="0"/>
        <w:rPr>
          <w:sz w:val="22"/>
          <w:lang w:val="ru-RU"/>
        </w:rPr>
      </w:pPr>
      <w:r>
        <w:rPr>
          <w:sz w:val="22"/>
          <w:lang w:val="ru-RU"/>
        </w:rPr>
        <w:t>1) уклонение или отказ участника закупки от заключения договора;</w:t>
      </w:r>
    </w:p>
    <w:p>
      <w:pPr>
        <w:pStyle w:val="Normal"/>
        <w:tabs>
          <w:tab w:val="clear" w:pos="709"/>
          <w:tab w:val="left" w:pos="1134" w:leader="none"/>
        </w:tabs>
        <w:ind w:left="0" w:right="0" w:hanging="0"/>
        <w:rPr>
          <w:sz w:val="22"/>
          <w:lang w:val="ru-RU" w:eastAsia="ru-RU" w:bidi="ar-SA"/>
        </w:rPr>
      </w:pPr>
      <w:r>
        <w:rPr>
          <w:sz w:val="22"/>
          <w:lang w:val="ru-RU" w:eastAsia="ru-RU" w:bidi="ar-SA"/>
        </w:rPr>
        <w:t>2) непредоставление или предоставление с нарушением условий, установленных Федеральным законом № 223-ФЗ,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pPr>
        <w:pStyle w:val="Default"/>
        <w:tabs>
          <w:tab w:val="clear" w:pos="709"/>
          <w:tab w:val="left" w:pos="1134" w:leader="none"/>
        </w:tabs>
        <w:spacing w:before="0" w:after="0"/>
        <w:ind w:left="567" w:right="0" w:firstLine="567"/>
        <w:contextualSpacing/>
        <w:jc w:val="both"/>
        <w:rPr>
          <w:sz w:val="22"/>
          <w:szCs w:val="22"/>
          <w:lang w:eastAsia="ru-RU"/>
        </w:rPr>
      </w:pPr>
      <w:r>
        <w:rPr>
          <w:sz w:val="22"/>
          <w:szCs w:val="22"/>
          <w:lang w:eastAsia="ru-RU"/>
        </w:rPr>
      </w:r>
    </w:p>
    <w:p>
      <w:pPr>
        <w:pStyle w:val="3"/>
        <w:numPr>
          <w:ilvl w:val="0"/>
          <w:numId w:val="1"/>
        </w:numPr>
        <w:spacing w:before="120" w:after="120"/>
        <w:ind w:left="0" w:right="0" w:hanging="0"/>
        <w:contextualSpacing/>
        <w:rPr/>
      </w:pPr>
      <w:bookmarkStart w:id="36" w:name="__RefHeading___Toc10261_953328800"/>
      <w:bookmarkStart w:id="37" w:name="_Toc520982939"/>
      <w:bookmarkStart w:id="38" w:name="_Toc412532385"/>
      <w:bookmarkEnd w:id="36"/>
      <w:r>
        <w:rPr>
          <w:sz w:val="22"/>
        </w:rPr>
        <w:t>ОБЕСПЕЧЕНИЕ ИСПОЛНЕНИЯ ДОГОВОРА И ГАРАНТИЙНЫХ ОБЯЗАТЕЛЬСТВ</w:t>
      </w:r>
      <w:bookmarkEnd w:id="37"/>
      <w:bookmarkEnd w:id="38"/>
      <w:r>
        <w:rPr>
          <w:sz w:val="22"/>
        </w:rPr>
        <w:t xml:space="preserve"> </w:t>
      </w:r>
    </w:p>
    <w:p>
      <w:pPr>
        <w:pStyle w:val="Default"/>
        <w:numPr>
          <w:ilvl w:val="0"/>
          <w:numId w:val="16"/>
        </w:numPr>
        <w:tabs>
          <w:tab w:val="clear" w:pos="709"/>
          <w:tab w:val="left" w:pos="1134" w:leader="none"/>
        </w:tabs>
        <w:spacing w:before="0" w:after="0"/>
        <w:ind w:left="0" w:right="0" w:firstLine="567"/>
        <w:contextualSpacing/>
        <w:jc w:val="both"/>
        <w:rPr/>
      </w:pPr>
      <w:r>
        <w:rPr>
          <w:sz w:val="22"/>
          <w:szCs w:val="22"/>
        </w:rPr>
        <w:t>Заказчик вправе установить в Информационной карте аукциона требование об обеспечении исполнения договора, заключаемого по результатам проведения аукциона, размер которого устанавливается Информационной карте аукциона. Обеспечение исполнение контракта может быть представлено в виде безотзывной банковской гарантии или передачи заказчику денежных средств. Срок обеспечения исполнения договора может превышать срок исполнения обязательств по договору с поставщиком (подрядчиком, исполнителем), но не более чем на 365 календарных дней.</w:t>
      </w:r>
    </w:p>
    <w:p>
      <w:pPr>
        <w:pStyle w:val="Default"/>
        <w:numPr>
          <w:ilvl w:val="0"/>
          <w:numId w:val="16"/>
        </w:numPr>
        <w:tabs>
          <w:tab w:val="clear" w:pos="709"/>
          <w:tab w:val="left" w:pos="1134" w:leader="none"/>
        </w:tabs>
        <w:spacing w:before="0" w:after="0"/>
        <w:ind w:left="0" w:right="0" w:firstLine="709"/>
        <w:contextualSpacing/>
        <w:jc w:val="both"/>
        <w:rPr>
          <w:sz w:val="22"/>
          <w:szCs w:val="22"/>
        </w:rPr>
      </w:pPr>
      <w:r>
        <w:rPr>
          <w:sz w:val="22"/>
          <w:szCs w:val="22"/>
        </w:rPr>
        <w:t xml:space="preserve">В случае, если закупка осуществляется только у субъектов МСП и в документации о закупке установлено требование к обеспечению исполнения договора, размер такого обеспечения: </w:t>
      </w:r>
    </w:p>
    <w:p>
      <w:pPr>
        <w:pStyle w:val="Normal"/>
        <w:numPr>
          <w:ilvl w:val="0"/>
          <w:numId w:val="37"/>
        </w:numPr>
        <w:tabs>
          <w:tab w:val="clear" w:pos="709"/>
          <w:tab w:val="left" w:pos="1134" w:leader="none"/>
        </w:tabs>
        <w:ind w:left="0" w:right="0" w:firstLine="709"/>
        <w:rPr>
          <w:sz w:val="22"/>
          <w:lang w:val="ru-RU" w:eastAsia="ru-RU"/>
        </w:rPr>
      </w:pPr>
      <w:r>
        <w:rPr>
          <w:sz w:val="22"/>
          <w:lang w:val="ru-RU" w:eastAsia="ru-RU"/>
        </w:rPr>
        <w:t>не может превышать 5 процентов начальной (максимальной) цены договора (цены лота), если договором не предусмотрена выплата аванса;</w:t>
      </w:r>
    </w:p>
    <w:p>
      <w:pPr>
        <w:pStyle w:val="Normal"/>
        <w:numPr>
          <w:ilvl w:val="0"/>
          <w:numId w:val="37"/>
        </w:numPr>
        <w:tabs>
          <w:tab w:val="clear" w:pos="709"/>
          <w:tab w:val="left" w:pos="1134" w:leader="none"/>
        </w:tabs>
        <w:ind w:left="0" w:right="0" w:firstLine="709"/>
        <w:rPr>
          <w:sz w:val="22"/>
          <w:lang w:val="ru-RU" w:eastAsia="ru-RU"/>
        </w:rPr>
      </w:pPr>
      <w:r>
        <w:rPr>
          <w:sz w:val="22"/>
          <w:lang w:val="ru-RU" w:eastAsia="ru-RU"/>
        </w:rPr>
        <w:t>устанавливается в размере аванса, если договором предусмотрена выплата аванса.</w:t>
      </w:r>
    </w:p>
    <w:p>
      <w:pPr>
        <w:pStyle w:val="Default"/>
        <w:numPr>
          <w:ilvl w:val="0"/>
          <w:numId w:val="16"/>
        </w:numPr>
        <w:tabs>
          <w:tab w:val="clear" w:pos="709"/>
          <w:tab w:val="left" w:pos="1134" w:leader="none"/>
        </w:tabs>
        <w:spacing w:before="0" w:after="0"/>
        <w:ind w:left="0" w:right="0" w:firstLine="709"/>
        <w:contextualSpacing/>
        <w:jc w:val="both"/>
        <w:rPr>
          <w:sz w:val="22"/>
          <w:szCs w:val="22"/>
        </w:rPr>
      </w:pPr>
      <w:r>
        <w:rPr>
          <w:sz w:val="22"/>
          <w:szCs w:val="22"/>
        </w:rPr>
        <w:t>Обеспечение исполнения договора должно обеспечивать исполнение всех обязательств поставщика (исполнителя, подрядчика) по договору, в том числе по возврату аванса, уплате неустоек (пени, штрафов), предусмотренных договором.</w:t>
      </w:r>
    </w:p>
    <w:p>
      <w:pPr>
        <w:pStyle w:val="Default"/>
        <w:numPr>
          <w:ilvl w:val="0"/>
          <w:numId w:val="16"/>
        </w:numPr>
        <w:tabs>
          <w:tab w:val="clear" w:pos="709"/>
          <w:tab w:val="left" w:pos="1134" w:leader="none"/>
        </w:tabs>
        <w:spacing w:before="0" w:after="0"/>
        <w:ind w:left="0" w:right="0" w:firstLine="567"/>
        <w:contextualSpacing/>
        <w:jc w:val="both"/>
        <w:rPr>
          <w:sz w:val="22"/>
          <w:szCs w:val="22"/>
        </w:rPr>
      </w:pPr>
      <w:r>
        <w:rPr>
          <w:sz w:val="22"/>
          <w:szCs w:val="22"/>
        </w:rPr>
        <w:t xml:space="preserve">Если условиями аукциона предусмотрена выплата аванса, то Заказчик в случае наличия риска неисполнения Участником, с которым будет заключен договор, своих обязательств вправе установить в документации о закупке требование о предоставлении обеспечения исполнения договора в размере аванса. </w:t>
      </w:r>
    </w:p>
    <w:p>
      <w:pPr>
        <w:pStyle w:val="Default"/>
        <w:numPr>
          <w:ilvl w:val="0"/>
          <w:numId w:val="16"/>
        </w:numPr>
        <w:tabs>
          <w:tab w:val="clear" w:pos="709"/>
          <w:tab w:val="left" w:pos="1134" w:leader="none"/>
        </w:tabs>
        <w:spacing w:before="0" w:after="0"/>
        <w:ind w:left="0" w:right="0" w:firstLine="567"/>
        <w:contextualSpacing/>
        <w:jc w:val="both"/>
        <w:rPr>
          <w:sz w:val="22"/>
          <w:szCs w:val="22"/>
        </w:rPr>
      </w:pPr>
      <w:r>
        <w:rPr>
          <w:sz w:val="22"/>
          <w:szCs w:val="22"/>
        </w:rPr>
        <w:t xml:space="preserve"> </w:t>
      </w:r>
      <w:r>
        <w:rPr>
          <w:sz w:val="22"/>
          <w:szCs w:val="22"/>
        </w:rPr>
        <w:t xml:space="preserve">Заказчик в документации о закупке (проекте договора, содержащегося в документации) вправе также установить требование об обеспечении исполнения гарантийных обязательств, предусмотренных договором. </w:t>
      </w:r>
    </w:p>
    <w:p>
      <w:pPr>
        <w:pStyle w:val="Default"/>
        <w:numPr>
          <w:ilvl w:val="0"/>
          <w:numId w:val="16"/>
        </w:numPr>
        <w:tabs>
          <w:tab w:val="clear" w:pos="709"/>
          <w:tab w:val="left" w:pos="1134" w:leader="none"/>
        </w:tabs>
        <w:spacing w:before="0" w:after="0"/>
        <w:ind w:left="0" w:right="0" w:firstLine="567"/>
        <w:contextualSpacing/>
        <w:jc w:val="both"/>
        <w:rPr>
          <w:sz w:val="22"/>
          <w:szCs w:val="22"/>
        </w:rPr>
      </w:pPr>
      <w:r>
        <w:rPr>
          <w:sz w:val="22"/>
          <w:szCs w:val="22"/>
        </w:rPr>
        <w:t xml:space="preserve"> </w:t>
      </w:r>
      <w:r>
        <w:rPr>
          <w:sz w:val="22"/>
          <w:szCs w:val="22"/>
        </w:rPr>
        <w:t xml:space="preserve">Обеспечение исполнения договора должно быть предоставлено Участником аукциона до заключения договора, за исключением случаев, предусмотренных в настоящей статье. </w:t>
      </w:r>
    </w:p>
    <w:p>
      <w:pPr>
        <w:pStyle w:val="Default"/>
        <w:tabs>
          <w:tab w:val="clear" w:pos="709"/>
          <w:tab w:val="left" w:pos="1276" w:leader="none"/>
        </w:tabs>
        <w:spacing w:before="0" w:after="0"/>
        <w:ind w:left="0" w:right="0" w:firstLine="567"/>
        <w:contextualSpacing/>
        <w:jc w:val="both"/>
        <w:rPr>
          <w:sz w:val="22"/>
          <w:szCs w:val="22"/>
        </w:rPr>
      </w:pPr>
      <w:r>
        <w:rPr>
          <w:sz w:val="22"/>
          <w:szCs w:val="22"/>
        </w:rPr>
        <w:t>Срок предоставления победителем аукциона или иным Участником, с которым заключается договор в соответствии с Положением о закупке, обеспечения исполнения договора в размере аванса должен быть установлен в Информационной карте аукциона и не должен составлять более 10 календарных дней со дня размещения в единой информационной системе протокола аукциона, на основании которого с победителем аукциона или с иным Участником заключается такой договор.</w:t>
      </w:r>
    </w:p>
    <w:p>
      <w:pPr>
        <w:pStyle w:val="Default"/>
        <w:tabs>
          <w:tab w:val="clear" w:pos="709"/>
          <w:tab w:val="left" w:pos="1276" w:leader="none"/>
        </w:tabs>
        <w:spacing w:before="0" w:after="0"/>
        <w:ind w:left="0" w:right="0" w:firstLine="567"/>
        <w:contextualSpacing/>
        <w:jc w:val="both"/>
        <w:rPr>
          <w:sz w:val="22"/>
          <w:szCs w:val="22"/>
        </w:rPr>
      </w:pPr>
      <w:r>
        <w:rPr>
          <w:sz w:val="22"/>
          <w:szCs w:val="22"/>
        </w:rPr>
        <w:t xml:space="preserve">В случае, если аукционной документацией установлено требование о предоставлении обеспечения исполнения договора до заключения договора и в срок, установленный аукционной документацией, победитель аукциона или иной Участник, с которым заключается договор, не предоставил обеспечение исполнения договора,  такой Участник (победитель) признается уклонившимся от заключения договора и Заказчик вправе заключить договор с Участником аукциона, предложившим лучшие условия после победителя. </w:t>
      </w:r>
    </w:p>
    <w:p>
      <w:pPr>
        <w:pStyle w:val="Default"/>
        <w:numPr>
          <w:ilvl w:val="0"/>
          <w:numId w:val="16"/>
        </w:numPr>
        <w:tabs>
          <w:tab w:val="clear" w:pos="709"/>
          <w:tab w:val="left" w:pos="1276" w:leader="none"/>
        </w:tabs>
        <w:spacing w:before="0" w:after="0"/>
        <w:ind w:left="0" w:right="0" w:firstLine="567"/>
        <w:contextualSpacing/>
        <w:jc w:val="both"/>
        <w:rPr>
          <w:sz w:val="22"/>
          <w:szCs w:val="22"/>
        </w:rPr>
      </w:pPr>
      <w:r>
        <w:rPr>
          <w:sz w:val="22"/>
          <w:szCs w:val="22"/>
        </w:rPr>
        <w:t xml:space="preserve">Обеспечение исполнения гарантийных обязательств, если это предусмотрено условиями договора, содержащимися в документации о закупке, может предоставляться после подписания сторонами по договору документа, подтверждающего выполнение контрагентом основных обязательств по договору (акта приема-передачи товара, работ, услуг, акта/разрешения на ввод объекта в эксплуатацию и т.п.). </w:t>
      </w:r>
    </w:p>
    <w:p>
      <w:pPr>
        <w:pStyle w:val="Default"/>
        <w:tabs>
          <w:tab w:val="clear" w:pos="709"/>
          <w:tab w:val="left" w:pos="1276" w:leader="none"/>
        </w:tabs>
        <w:spacing w:before="0" w:after="0"/>
        <w:ind w:left="0" w:right="0" w:firstLine="567"/>
        <w:contextualSpacing/>
        <w:jc w:val="both"/>
        <w:rPr>
          <w:sz w:val="22"/>
          <w:szCs w:val="22"/>
        </w:rPr>
      </w:pPr>
      <w:r>
        <w:rPr>
          <w:sz w:val="22"/>
          <w:szCs w:val="22"/>
        </w:rPr>
        <w:t>В случае установления требования о предоставлении обеспечения гарантийных обязательств, документация о закупке должна содержать: 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При этом проектом договора и договором, заключаемым по итогам процедуры аукциона, должны быть предусмотрены гарантийные случаи, дата начала и окончания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непредставление (несвоевременное предоставление) такого обеспечения.</w:t>
      </w:r>
    </w:p>
    <w:p>
      <w:pPr>
        <w:pStyle w:val="Default"/>
        <w:tabs>
          <w:tab w:val="clear" w:pos="709"/>
          <w:tab w:val="left" w:pos="1276" w:leader="none"/>
        </w:tabs>
        <w:spacing w:before="0" w:after="0"/>
        <w:ind w:left="0" w:right="0" w:firstLine="567"/>
        <w:contextualSpacing/>
        <w:jc w:val="both"/>
        <w:rPr>
          <w:sz w:val="22"/>
          <w:szCs w:val="22"/>
        </w:rPr>
      </w:pPr>
      <w:r>
        <w:rPr>
          <w:sz w:val="22"/>
          <w:szCs w:val="22"/>
        </w:rPr>
      </w:r>
    </w:p>
    <w:p>
      <w:pPr>
        <w:pStyle w:val="3"/>
        <w:numPr>
          <w:ilvl w:val="0"/>
          <w:numId w:val="1"/>
        </w:numPr>
        <w:spacing w:before="120" w:after="120"/>
        <w:ind w:left="0" w:right="0" w:hanging="0"/>
        <w:contextualSpacing/>
        <w:rPr>
          <w:sz w:val="22"/>
        </w:rPr>
      </w:pPr>
      <w:bookmarkStart w:id="39" w:name="__RefHeading___Toc10263_953328800"/>
      <w:bookmarkStart w:id="40" w:name="_Toc520982940"/>
      <w:bookmarkStart w:id="41" w:name="_Toc412532386"/>
      <w:bookmarkEnd w:id="39"/>
      <w:r>
        <w:rPr>
          <w:sz w:val="22"/>
        </w:rPr>
        <w:t>РАСХОДЫ НА УЧАСТИЕ В АУКЦИОНЕ И ПРИ ЗАКЛЮЧЕНИИ ДОГОВОРА</w:t>
      </w:r>
      <w:bookmarkEnd w:id="40"/>
      <w:bookmarkEnd w:id="41"/>
    </w:p>
    <w:p>
      <w:pPr>
        <w:pStyle w:val="ListParagraph"/>
        <w:numPr>
          <w:ilvl w:val="0"/>
          <w:numId w:val="38"/>
        </w:numPr>
        <w:tabs>
          <w:tab w:val="clear" w:pos="709"/>
          <w:tab w:val="left" w:pos="1276" w:leader="none"/>
        </w:tabs>
        <w:ind w:left="0" w:right="0" w:firstLine="567"/>
        <w:rPr>
          <w:sz w:val="22"/>
          <w:lang w:val="ru-RU"/>
        </w:rPr>
      </w:pPr>
      <w:r>
        <w:rPr>
          <w:sz w:val="22"/>
          <w:lang w:val="ru-RU"/>
        </w:rPr>
        <w:t>Участник аукциона несет все расходы, связанные с подготовкой и подачей заявки на участие в аукционе, участием в аукционе и заключением договора, а заказчик не имеет обязательств в связи с такими расходами, за исключением случаев, прямо предусмотренных законодательством Российской Федерации.</w:t>
      </w:r>
    </w:p>
    <w:p>
      <w:pPr>
        <w:pStyle w:val="Normal"/>
        <w:tabs>
          <w:tab w:val="clear" w:pos="709"/>
          <w:tab w:val="left" w:pos="1276" w:leader="none"/>
        </w:tabs>
        <w:ind w:left="0" w:right="0" w:hanging="0"/>
        <w:rPr>
          <w:sz w:val="22"/>
          <w:lang w:val="ru-RU"/>
        </w:rPr>
      </w:pPr>
      <w:r>
        <w:rPr>
          <w:sz w:val="22"/>
          <w:lang w:val="ru-RU"/>
        </w:rPr>
      </w:r>
    </w:p>
    <w:p>
      <w:pPr>
        <w:pStyle w:val="3"/>
        <w:numPr>
          <w:ilvl w:val="0"/>
          <w:numId w:val="1"/>
        </w:numPr>
        <w:spacing w:before="120" w:after="120"/>
        <w:ind w:left="0" w:right="0" w:hanging="0"/>
        <w:contextualSpacing/>
        <w:rPr>
          <w:sz w:val="22"/>
        </w:rPr>
      </w:pPr>
      <w:bookmarkStart w:id="42" w:name="__RefHeading___Toc10265_953328800"/>
      <w:bookmarkStart w:id="43" w:name="_Toc520982941"/>
      <w:bookmarkStart w:id="44" w:name="_Toc412532387"/>
      <w:bookmarkEnd w:id="42"/>
      <w:r>
        <w:rPr>
          <w:sz w:val="22"/>
        </w:rPr>
        <w:t>ЗАКЛЮЧЕНИЕ И ИСПОЛНЕНИЕ ДОГОВОРА</w:t>
      </w:r>
      <w:bookmarkEnd w:id="43"/>
      <w:bookmarkEnd w:id="44"/>
    </w:p>
    <w:p>
      <w:pPr>
        <w:pStyle w:val="4"/>
        <w:numPr>
          <w:ilvl w:val="0"/>
          <w:numId w:val="17"/>
        </w:numPr>
        <w:ind w:left="0" w:right="0" w:firstLine="567"/>
        <w:rPr>
          <w:sz w:val="22"/>
          <w:lang w:val="ru-RU"/>
        </w:rPr>
      </w:pPr>
      <w:r>
        <w:rPr>
          <w:sz w:val="22"/>
          <w:lang w:val="ru-RU"/>
        </w:rPr>
        <w:t>Общие положения по заключению договора</w:t>
      </w:r>
    </w:p>
    <w:p>
      <w:pPr>
        <w:pStyle w:val="Normal"/>
        <w:numPr>
          <w:ilvl w:val="0"/>
          <w:numId w:val="18"/>
        </w:numPr>
        <w:tabs>
          <w:tab w:val="clear" w:pos="709"/>
          <w:tab w:val="left" w:pos="540" w:leader="none"/>
          <w:tab w:val="left" w:pos="993" w:leader="none"/>
        </w:tabs>
        <w:spacing w:before="0" w:after="0"/>
        <w:ind w:left="0" w:right="0" w:firstLine="567"/>
        <w:contextualSpacing/>
        <w:rPr>
          <w:sz w:val="22"/>
          <w:lang w:val="ru-RU"/>
        </w:rPr>
      </w:pPr>
      <w:r>
        <w:rPr>
          <w:sz w:val="22"/>
          <w:lang w:val="ru-RU"/>
        </w:rPr>
        <w:t>Порядок заключения и исполнения договора регулируется Гражданским кодексом Российской Федерации, иными нормативными правовыми актами Российской Федерации, локальными актами Заказчика.</w:t>
      </w:r>
    </w:p>
    <w:p>
      <w:pPr>
        <w:pStyle w:val="Normal"/>
        <w:numPr>
          <w:ilvl w:val="0"/>
          <w:numId w:val="18"/>
        </w:numPr>
        <w:tabs>
          <w:tab w:val="clear" w:pos="709"/>
          <w:tab w:val="left" w:pos="540" w:leader="none"/>
          <w:tab w:val="left" w:pos="993" w:leader="none"/>
        </w:tabs>
        <w:spacing w:before="0" w:after="0"/>
        <w:ind w:left="0" w:right="0" w:firstLine="567"/>
        <w:contextualSpacing/>
        <w:rPr>
          <w:sz w:val="22"/>
          <w:lang w:val="ru-RU"/>
        </w:rPr>
      </w:pPr>
      <w:r>
        <w:rPr>
          <w:sz w:val="22"/>
          <w:lang w:val="ru-RU"/>
        </w:rPr>
        <w:t>Договоры на поставку товаров, выполнение работ, оказание услуг заключаются Заказчиком в соответствии с планом закупки, размещенным в единой информационной системе (если информация о таких закупках подлежит размещению в единой информационной системе в соответствии с Законом о закупках), за исключением случаев возникновения потребности в закупке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w:t>
      </w:r>
    </w:p>
    <w:p>
      <w:pPr>
        <w:pStyle w:val="Normal"/>
        <w:numPr>
          <w:ilvl w:val="0"/>
          <w:numId w:val="18"/>
        </w:numPr>
        <w:tabs>
          <w:tab w:val="clear" w:pos="709"/>
          <w:tab w:val="left" w:pos="540" w:leader="none"/>
          <w:tab w:val="left" w:pos="993" w:leader="none"/>
        </w:tabs>
        <w:spacing w:before="0" w:after="0"/>
        <w:ind w:left="0" w:right="0" w:firstLine="567"/>
        <w:contextualSpacing/>
        <w:rPr>
          <w:sz w:val="22"/>
          <w:lang w:val="ru-RU"/>
        </w:rPr>
      </w:pPr>
      <w:r>
        <w:rPr>
          <w:sz w:val="22"/>
          <w:lang w:val="ru-RU"/>
        </w:rPr>
        <w:t xml:space="preserve">По результатам аукциона заключается договор, формируемый путем включения цены, предложенной Участником, с которым заключается договор, в проект договора, являющийся неотъемлемой частью документации о закупке. </w:t>
      </w:r>
    </w:p>
    <w:p>
      <w:pPr>
        <w:pStyle w:val="Normal"/>
        <w:numPr>
          <w:ilvl w:val="0"/>
          <w:numId w:val="18"/>
        </w:numPr>
        <w:tabs>
          <w:tab w:val="clear" w:pos="709"/>
          <w:tab w:val="left" w:pos="540" w:leader="none"/>
          <w:tab w:val="left" w:pos="993" w:leader="none"/>
        </w:tabs>
        <w:spacing w:before="0" w:after="0"/>
        <w:ind w:left="0" w:right="0" w:firstLine="567"/>
        <w:contextualSpacing/>
        <w:rPr>
          <w:sz w:val="22"/>
          <w:lang w:val="ru-RU"/>
        </w:rPr>
      </w:pPr>
      <w:r>
        <w:rPr>
          <w:sz w:val="22"/>
          <w:lang w:val="ru-RU"/>
        </w:rPr>
        <w:t>Заключение договора по итогам процедуры аукциона осуществляется в сроки и в порядке, указанном в документации о закупке. При этом данный срок и порядок должны соответствовать требованиям, установленным Гражданским кодексом Российской Федерации и локальным актам Заказчика. Срок заключения договора продлевается в случае обжалования действий Заказчика в антимонопольный орган на период такого обжалования.</w:t>
      </w:r>
    </w:p>
    <w:p>
      <w:pPr>
        <w:pStyle w:val="Normal"/>
        <w:numPr>
          <w:ilvl w:val="0"/>
          <w:numId w:val="18"/>
        </w:numPr>
        <w:tabs>
          <w:tab w:val="clear" w:pos="709"/>
          <w:tab w:val="left" w:pos="540" w:leader="none"/>
          <w:tab w:val="left" w:pos="993" w:leader="none"/>
        </w:tabs>
        <w:spacing w:before="0" w:after="0"/>
        <w:ind w:left="0" w:right="0" w:firstLine="567"/>
        <w:contextualSpacing/>
        <w:rPr>
          <w:sz w:val="22"/>
          <w:lang w:val="ru-RU"/>
        </w:rPr>
      </w:pPr>
      <w:r>
        <w:rPr>
          <w:sz w:val="22"/>
          <w:lang w:val="ru-RU"/>
        </w:rPr>
        <w:t xml:space="preserve">Договор по результатам конкурентной закупки не ранее чем через 10 (Десять) дней и не позднее чем через 20 (Двадцать) дней с даты размещения в единой информационной системе итогового протокола, составленного по результатам конкурентной закупки. </w:t>
      </w:r>
    </w:p>
    <w:p>
      <w:pPr>
        <w:pStyle w:val="Normal"/>
        <w:numPr>
          <w:ilvl w:val="0"/>
          <w:numId w:val="18"/>
        </w:numPr>
        <w:tabs>
          <w:tab w:val="clear" w:pos="709"/>
          <w:tab w:val="left" w:pos="540" w:leader="none"/>
          <w:tab w:val="left" w:pos="993" w:leader="none"/>
        </w:tabs>
        <w:spacing w:before="0" w:after="0"/>
        <w:ind w:left="0" w:right="0" w:firstLine="567"/>
        <w:contextualSpacing/>
        <w:rPr>
          <w:sz w:val="22"/>
          <w:lang w:val="ru-RU"/>
        </w:rPr>
      </w:pPr>
      <w:r>
        <w:rPr>
          <w:sz w:val="22"/>
          <w:lang w:val="ru-RU"/>
        </w:rPr>
        <w:t>Договор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pPr>
        <w:pStyle w:val="Normal"/>
        <w:numPr>
          <w:ilvl w:val="0"/>
          <w:numId w:val="18"/>
        </w:numPr>
        <w:tabs>
          <w:tab w:val="clear" w:pos="709"/>
          <w:tab w:val="left" w:pos="540" w:leader="none"/>
          <w:tab w:val="left" w:pos="993" w:leader="none"/>
        </w:tabs>
        <w:spacing w:before="0" w:after="0"/>
        <w:ind w:left="0" w:right="0" w:firstLine="567"/>
        <w:contextualSpacing/>
        <w:rPr>
          <w:sz w:val="22"/>
          <w:lang w:val="ru-RU"/>
        </w:rPr>
      </w:pPr>
      <w:r>
        <w:rPr>
          <w:sz w:val="22"/>
          <w:lang w:val="ru-RU"/>
        </w:rPr>
        <w:t>Договор по результатам конкурентной закупки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pPr>
        <w:pStyle w:val="Normal"/>
        <w:numPr>
          <w:ilvl w:val="0"/>
          <w:numId w:val="18"/>
        </w:numPr>
        <w:tabs>
          <w:tab w:val="clear" w:pos="709"/>
          <w:tab w:val="left" w:pos="540" w:leader="none"/>
          <w:tab w:val="left" w:pos="993" w:leader="none"/>
        </w:tabs>
        <w:spacing w:before="0" w:after="0"/>
        <w:ind w:left="0" w:right="0" w:firstLine="567"/>
        <w:contextualSpacing/>
        <w:rPr>
          <w:sz w:val="22"/>
          <w:lang w:val="ru-RU"/>
        </w:rPr>
      </w:pPr>
      <w:r>
        <w:rPr>
          <w:sz w:val="22"/>
          <w:lang w:val="ru-RU"/>
        </w:rPr>
        <w:t>В случае, если Участник, с которым заключается договор, в срок, установленный в документации о закупке, не представил обеспечение исполнения договора либо не подписал договор, то он признается уклонившимся от заключения договора. Заказчик вправе обратиться в суд с исковым заявлением о понуждении Участника, уклоняющегося от заключения договора, заключить договор, а также о возмещении убытков, причиненных уклонением от заключения договора.</w:t>
      </w:r>
    </w:p>
    <w:p>
      <w:pPr>
        <w:pStyle w:val="Normal"/>
        <w:numPr>
          <w:ilvl w:val="0"/>
          <w:numId w:val="18"/>
        </w:numPr>
        <w:tabs>
          <w:tab w:val="clear" w:pos="709"/>
          <w:tab w:val="left" w:pos="540" w:leader="none"/>
          <w:tab w:val="left" w:pos="993" w:leader="none"/>
        </w:tabs>
        <w:spacing w:before="0" w:after="0"/>
        <w:ind w:left="0" w:right="0" w:firstLine="567"/>
        <w:contextualSpacing/>
        <w:rPr>
          <w:sz w:val="22"/>
          <w:lang w:val="ru-RU"/>
        </w:rPr>
      </w:pPr>
      <w:r>
        <w:rPr>
          <w:sz w:val="22"/>
          <w:lang w:val="ru-RU"/>
        </w:rPr>
        <w:t>После определения Участника, с которым должен быть заключен договор, в срок, предусмотренный для заключения договора, заказчик вправе отказаться от заключения договора с таким Участником в случае установления следующих фактов:</w:t>
      </w:r>
    </w:p>
    <w:p>
      <w:pPr>
        <w:pStyle w:val="Default"/>
        <w:numPr>
          <w:ilvl w:val="1"/>
          <w:numId w:val="18"/>
        </w:numPr>
        <w:tabs>
          <w:tab w:val="clear" w:pos="709"/>
          <w:tab w:val="left" w:pos="1134" w:leader="none"/>
        </w:tabs>
        <w:spacing w:lineRule="auto" w:line="276" w:before="0" w:after="0"/>
        <w:ind w:left="-142" w:right="0" w:firstLine="709"/>
        <w:contextualSpacing/>
        <w:jc w:val="both"/>
        <w:rPr>
          <w:sz w:val="22"/>
          <w:szCs w:val="22"/>
        </w:rPr>
      </w:pPr>
      <w:r>
        <w:rPr>
          <w:sz w:val="22"/>
          <w:szCs w:val="22"/>
        </w:rPr>
        <w:t>установления факта предоставления Участником закупки недостоверных сведений, содержащихся в представленных ими документах в составе заявки;</w:t>
      </w:r>
    </w:p>
    <w:p>
      <w:pPr>
        <w:pStyle w:val="Default"/>
        <w:numPr>
          <w:ilvl w:val="1"/>
          <w:numId w:val="18"/>
        </w:numPr>
        <w:tabs>
          <w:tab w:val="clear" w:pos="709"/>
          <w:tab w:val="left" w:pos="1134" w:leader="none"/>
        </w:tabs>
        <w:spacing w:lineRule="auto" w:line="276" w:before="0" w:after="0"/>
        <w:ind w:left="-142" w:right="0" w:firstLine="709"/>
        <w:contextualSpacing/>
        <w:jc w:val="both"/>
        <w:rPr/>
      </w:pPr>
      <w:r>
        <w:rPr>
          <w:sz w:val="22"/>
          <w:szCs w:val="22"/>
        </w:rPr>
        <w:t xml:space="preserve">возникновения </w:t>
      </w:r>
      <w:r>
        <w:rPr>
          <w:color w:val="auto"/>
          <w:sz w:val="22"/>
          <w:szCs w:val="22"/>
        </w:rPr>
        <w:t xml:space="preserve">обстоятельств </w:t>
      </w:r>
      <w:hyperlink r:id="rId7">
        <w:r>
          <w:rPr>
            <w:rStyle w:val="Style"/>
            <w:sz w:val="22"/>
            <w:szCs w:val="22"/>
          </w:rPr>
          <w:t>непреодолимой силы</w:t>
        </w:r>
      </w:hyperlink>
      <w:r>
        <w:rPr>
          <w:color w:val="auto"/>
          <w:sz w:val="22"/>
          <w:szCs w:val="22"/>
        </w:rPr>
        <w:t xml:space="preserve"> в соответствии с гражданским законодательством.</w:t>
      </w:r>
    </w:p>
    <w:p>
      <w:pPr>
        <w:pStyle w:val="Normal"/>
        <w:numPr>
          <w:ilvl w:val="0"/>
          <w:numId w:val="18"/>
        </w:numPr>
        <w:tabs>
          <w:tab w:val="clear" w:pos="709"/>
          <w:tab w:val="left" w:pos="540" w:leader="none"/>
          <w:tab w:val="left" w:pos="993" w:leader="none"/>
        </w:tabs>
        <w:spacing w:before="0" w:after="0"/>
        <w:ind w:left="0" w:right="0" w:firstLine="567"/>
        <w:contextualSpacing/>
        <w:rPr>
          <w:sz w:val="22"/>
          <w:lang w:val="ru-RU"/>
        </w:rPr>
      </w:pPr>
      <w:r>
        <w:rPr>
          <w:sz w:val="22"/>
          <w:lang w:val="ru-RU"/>
        </w:rPr>
        <w:t>В случае, если аукционной документацией установлено требование обеспечения исполнения договора, договор может быть заключен только после предоставления Участником аукциона, с которым заключается договор, обеспечения исполнения договора в письменной форме и в порядке, форме и в размере, указанным в документации о закупке. Порядок рассмотрения и согласования банковских гарантий производиться следующим образом:</w:t>
      </w:r>
    </w:p>
    <w:p>
      <w:pPr>
        <w:pStyle w:val="Default"/>
        <w:tabs>
          <w:tab w:val="clear" w:pos="709"/>
          <w:tab w:val="left" w:pos="993" w:leader="none"/>
        </w:tabs>
        <w:spacing w:before="0" w:after="0"/>
        <w:ind w:left="0" w:right="0" w:firstLine="567"/>
        <w:contextualSpacing/>
        <w:jc w:val="both"/>
        <w:rPr>
          <w:sz w:val="22"/>
          <w:szCs w:val="22"/>
        </w:rPr>
      </w:pPr>
      <w:r>
        <w:rPr>
          <w:sz w:val="22"/>
          <w:szCs w:val="22"/>
        </w:rPr>
        <w:t>а) рассмотрение представленного исполнителем проекта банковской гарантии, в том числе в электронном виде, оценка соответствия представленного проекта требованиям законодательства РФ, документации о торгах и положениям договора, в обеспечение которого она выдается;</w:t>
      </w:r>
    </w:p>
    <w:p>
      <w:pPr>
        <w:pStyle w:val="Default"/>
        <w:tabs>
          <w:tab w:val="clear" w:pos="709"/>
          <w:tab w:val="left" w:pos="993" w:leader="none"/>
        </w:tabs>
        <w:spacing w:before="0" w:after="0"/>
        <w:ind w:left="0" w:right="0" w:firstLine="567"/>
        <w:contextualSpacing/>
        <w:jc w:val="both"/>
        <w:rPr>
          <w:sz w:val="22"/>
          <w:szCs w:val="22"/>
        </w:rPr>
      </w:pPr>
      <w:r>
        <w:rPr>
          <w:sz w:val="22"/>
          <w:szCs w:val="22"/>
        </w:rPr>
        <w:t>б) направление исполнителю замечаний по представленному проекту;</w:t>
      </w:r>
    </w:p>
    <w:p>
      <w:pPr>
        <w:pStyle w:val="Default"/>
        <w:tabs>
          <w:tab w:val="clear" w:pos="709"/>
          <w:tab w:val="left" w:pos="993" w:leader="none"/>
        </w:tabs>
        <w:spacing w:before="0" w:after="0"/>
        <w:ind w:left="0" w:right="0" w:firstLine="567"/>
        <w:contextualSpacing/>
        <w:jc w:val="both"/>
        <w:rPr>
          <w:sz w:val="22"/>
          <w:szCs w:val="22"/>
        </w:rPr>
      </w:pPr>
      <w:r>
        <w:rPr>
          <w:sz w:val="22"/>
          <w:szCs w:val="22"/>
        </w:rPr>
        <w:t>в) согласование проекта;</w:t>
      </w:r>
    </w:p>
    <w:p>
      <w:pPr>
        <w:pStyle w:val="Default"/>
        <w:tabs>
          <w:tab w:val="clear" w:pos="709"/>
          <w:tab w:val="left" w:pos="993" w:leader="none"/>
        </w:tabs>
        <w:spacing w:before="0" w:after="0"/>
        <w:ind w:left="0" w:right="0" w:firstLine="567"/>
        <w:contextualSpacing/>
        <w:jc w:val="both"/>
        <w:rPr/>
      </w:pPr>
      <w:r>
        <w:rPr>
          <w:sz w:val="22"/>
          <w:szCs w:val="22"/>
        </w:rPr>
        <w:t>г) рассмотрение представленной исполнителем гарантии, проверка полномочий банка на выдачу гарантии (в соответствии с нотариальной копией лицензии), полномочий подписантов (согласно представленной копии выписки из протокола о назначении единоличного исполнительно органа, доверенности, копии приказа на главного бухгалтера);</w:t>
      </w:r>
    </w:p>
    <w:p>
      <w:pPr>
        <w:pStyle w:val="Default"/>
        <w:tabs>
          <w:tab w:val="clear" w:pos="709"/>
          <w:tab w:val="left" w:pos="993" w:leader="none"/>
        </w:tabs>
        <w:spacing w:before="0" w:after="0"/>
        <w:ind w:left="0" w:right="0" w:firstLine="567"/>
        <w:contextualSpacing/>
        <w:jc w:val="both"/>
        <w:rPr>
          <w:sz w:val="22"/>
          <w:szCs w:val="22"/>
        </w:rPr>
      </w:pPr>
      <w:r>
        <w:rPr>
          <w:sz w:val="22"/>
          <w:szCs w:val="22"/>
        </w:rPr>
        <w:t>д) направление в выдавший гарантию банк запроса с целью подтверждения факта выдачи и достоверности представленной исполнителем банковской гарантии. При необходимости запрос указанных копий недостающих документов (если не предоставил исполнитель).</w:t>
      </w:r>
    </w:p>
    <w:p>
      <w:pPr>
        <w:pStyle w:val="Normal"/>
        <w:numPr>
          <w:ilvl w:val="0"/>
          <w:numId w:val="18"/>
        </w:numPr>
        <w:tabs>
          <w:tab w:val="clear" w:pos="709"/>
          <w:tab w:val="left" w:pos="540" w:leader="none"/>
          <w:tab w:val="left" w:pos="993" w:leader="none"/>
        </w:tabs>
        <w:spacing w:before="0" w:after="0"/>
        <w:ind w:left="0" w:right="0" w:firstLine="567"/>
        <w:contextualSpacing/>
        <w:rPr>
          <w:sz w:val="22"/>
          <w:lang w:val="ru-RU"/>
        </w:rPr>
      </w:pPr>
      <w:r>
        <w:rPr>
          <w:sz w:val="22"/>
          <w:lang w:val="ru-RU"/>
        </w:rPr>
        <w:t>Согласно ч. 2 ст. 425 ГК Российской Федерации стороны вправе установить, что условия заключенного ими договора применяются к отношениям, возникшим до заключения договора.</w:t>
      </w:r>
    </w:p>
    <w:p>
      <w:pPr>
        <w:pStyle w:val="4"/>
        <w:numPr>
          <w:ilvl w:val="0"/>
          <w:numId w:val="19"/>
        </w:numPr>
        <w:ind w:left="0" w:right="0" w:firstLine="567"/>
        <w:rPr>
          <w:sz w:val="22"/>
          <w:lang w:val="ru-RU"/>
        </w:rPr>
      </w:pPr>
      <w:r>
        <w:rPr>
          <w:sz w:val="22"/>
          <w:lang w:val="ru-RU"/>
        </w:rPr>
        <w:t>Изменения условий договора. Расторжение договора</w:t>
      </w:r>
    </w:p>
    <w:p>
      <w:pPr>
        <w:pStyle w:val="Default"/>
        <w:numPr>
          <w:ilvl w:val="0"/>
          <w:numId w:val="20"/>
        </w:numPr>
        <w:spacing w:before="0" w:after="0"/>
        <w:ind w:left="0" w:right="0" w:firstLine="567"/>
        <w:contextualSpacing/>
        <w:jc w:val="both"/>
        <w:rPr>
          <w:sz w:val="22"/>
          <w:szCs w:val="22"/>
        </w:rPr>
      </w:pPr>
      <w:r>
        <w:rPr>
          <w:sz w:val="22"/>
          <w:szCs w:val="22"/>
        </w:rPr>
        <w:t>Заказчик по согласованию с контрагентом при заключении и исполнении договора вправе изменить не более чем на 30 (Тридцать) процентов объем, цену закупаемых товаров, работ, услуг по сравнению с указанным в протоколе, составленном по результатам аукциона.</w:t>
      </w:r>
    </w:p>
    <w:p>
      <w:pPr>
        <w:pStyle w:val="Default"/>
        <w:spacing w:before="0" w:after="0"/>
        <w:ind w:left="0" w:right="0" w:firstLine="567"/>
        <w:contextualSpacing/>
        <w:jc w:val="both"/>
        <w:rPr>
          <w:sz w:val="22"/>
          <w:szCs w:val="22"/>
        </w:rPr>
      </w:pPr>
      <w:r>
        <w:rPr>
          <w:sz w:val="22"/>
          <w:szCs w:val="22"/>
        </w:rPr>
        <w:t>Заказчик по согласованию с контрагентом при заключении и исполнении договора вправе изменить срок поставки товара, оказания услуг, выполнения работ.</w:t>
      </w:r>
    </w:p>
    <w:p>
      <w:pPr>
        <w:pStyle w:val="Default"/>
        <w:spacing w:before="0" w:after="0"/>
        <w:ind w:left="0" w:right="0" w:firstLine="567"/>
        <w:contextualSpacing/>
        <w:jc w:val="both"/>
        <w:rPr>
          <w:sz w:val="22"/>
          <w:szCs w:val="22"/>
        </w:rPr>
      </w:pPr>
      <w:r>
        <w:rPr>
          <w:sz w:val="22"/>
          <w:szCs w:val="22"/>
        </w:rPr>
        <w:t>Решение об изменении цены договора, количества товаров, объемов работ и услуг более чем на тридцать процентов принимается руководителем Заказчика.</w:t>
      </w:r>
    </w:p>
    <w:p>
      <w:pPr>
        <w:pStyle w:val="Default"/>
        <w:numPr>
          <w:ilvl w:val="0"/>
          <w:numId w:val="20"/>
        </w:numPr>
        <w:spacing w:before="0" w:after="0"/>
        <w:ind w:left="0" w:right="0" w:firstLine="567"/>
        <w:contextualSpacing/>
        <w:jc w:val="both"/>
        <w:rPr>
          <w:sz w:val="22"/>
          <w:szCs w:val="22"/>
        </w:rPr>
      </w:pPr>
      <w:r>
        <w:rPr>
          <w:sz w:val="22"/>
          <w:szCs w:val="22"/>
        </w:rPr>
        <w:t>Заказчик по согласованию с контрагентом при заключении и исполнении договора вправе изменить иные не существенные условия договора.</w:t>
      </w:r>
    </w:p>
    <w:p>
      <w:pPr>
        <w:pStyle w:val="Default"/>
        <w:numPr>
          <w:ilvl w:val="0"/>
          <w:numId w:val="20"/>
        </w:numPr>
        <w:spacing w:before="0" w:after="0"/>
        <w:ind w:left="0" w:right="0" w:firstLine="567"/>
        <w:contextualSpacing/>
        <w:jc w:val="both"/>
        <w:rPr>
          <w:sz w:val="22"/>
          <w:szCs w:val="22"/>
        </w:rPr>
      </w:pPr>
      <w:r>
        <w:rPr>
          <w:sz w:val="22"/>
          <w:szCs w:val="22"/>
        </w:rPr>
        <w:t>Договор может быть расторгнут по основаниям, предусмотренным гражданским законодательством Российской Федерации, включая одностороннее расторжение договора путем направления уведомления об одностороннем расторжении договора в порядке, предусмотренном аукционной документацией и локальными актами Заказчика.</w:t>
      </w:r>
    </w:p>
    <w:p>
      <w:pPr>
        <w:pStyle w:val="Default"/>
        <w:numPr>
          <w:ilvl w:val="0"/>
          <w:numId w:val="20"/>
        </w:numPr>
        <w:spacing w:before="0" w:after="0"/>
        <w:ind w:left="0" w:right="0" w:firstLine="567"/>
        <w:contextualSpacing/>
        <w:jc w:val="both"/>
        <w:rPr>
          <w:sz w:val="22"/>
          <w:szCs w:val="22"/>
        </w:rPr>
      </w:pPr>
      <w:r>
        <w:rPr>
          <w:sz w:val="22"/>
          <w:szCs w:val="22"/>
        </w:rPr>
        <w:t>В случае заключения договора на срок более 1 (Одного) года, в договоре может быть предусмотрена возможность корректировки цены закупаемых товаров, работ, услуг в соответствии с коэффициентами инфляции, официально опубликованными уполномоченным федеральным органом исполнительной власти, и согласно утвержденному Заказчиком порядку определения начальной (максимальной) цены договора.</w:t>
      </w:r>
    </w:p>
    <w:p>
      <w:pPr>
        <w:pStyle w:val="3"/>
        <w:numPr>
          <w:ilvl w:val="0"/>
          <w:numId w:val="1"/>
        </w:numPr>
        <w:spacing w:before="120" w:after="120"/>
        <w:ind w:left="0" w:right="0" w:hanging="0"/>
        <w:contextualSpacing/>
        <w:rPr>
          <w:sz w:val="22"/>
        </w:rPr>
      </w:pPr>
      <w:bookmarkStart w:id="45" w:name="__RefHeading___Toc10267_953328800"/>
      <w:bookmarkStart w:id="46" w:name="_Toc520982942"/>
      <w:bookmarkStart w:id="47" w:name="_Toc412532388"/>
      <w:bookmarkEnd w:id="45"/>
      <w:r>
        <w:rPr>
          <w:sz w:val="22"/>
        </w:rPr>
        <w:t>ПРИЗНАНИЕ АУКЦИОНА НЕСОСТОЯВШИМСЯ</w:t>
      </w:r>
      <w:bookmarkEnd w:id="46"/>
      <w:bookmarkEnd w:id="47"/>
    </w:p>
    <w:p>
      <w:pPr>
        <w:pStyle w:val="4"/>
        <w:numPr>
          <w:ilvl w:val="0"/>
          <w:numId w:val="21"/>
        </w:numPr>
        <w:tabs>
          <w:tab w:val="clear" w:pos="709"/>
          <w:tab w:val="left" w:pos="993" w:leader="none"/>
          <w:tab w:val="left" w:pos="1276" w:leader="none"/>
        </w:tabs>
        <w:ind w:left="0" w:right="0" w:firstLine="567"/>
        <w:rPr>
          <w:sz w:val="22"/>
          <w:lang w:val="ru-RU"/>
        </w:rPr>
      </w:pPr>
      <w:r>
        <w:rPr>
          <w:sz w:val="22"/>
          <w:lang w:val="ru-RU"/>
        </w:rPr>
        <w:t>Основания и последствия признания аукциона несостоявшимся</w:t>
      </w:r>
    </w:p>
    <w:p>
      <w:pPr>
        <w:pStyle w:val="Normal"/>
        <w:numPr>
          <w:ilvl w:val="0"/>
          <w:numId w:val="31"/>
        </w:numPr>
        <w:tabs>
          <w:tab w:val="clear" w:pos="709"/>
          <w:tab w:val="left" w:pos="993" w:leader="none"/>
          <w:tab w:val="left" w:pos="1418" w:leader="none"/>
        </w:tabs>
        <w:spacing w:before="0" w:after="0"/>
        <w:ind w:left="0" w:right="0" w:firstLine="567"/>
        <w:contextualSpacing/>
        <w:rPr>
          <w:sz w:val="22"/>
          <w:lang w:val="ru-RU"/>
        </w:rPr>
      </w:pPr>
      <w:r>
        <w:rPr>
          <w:sz w:val="22"/>
          <w:lang w:val="ru-RU"/>
        </w:rPr>
        <w:t>Заказчик признает закупку несостоявшейся в следующих случаях:</w:t>
      </w:r>
    </w:p>
    <w:p>
      <w:pPr>
        <w:pStyle w:val="ListParagraph"/>
        <w:numPr>
          <w:ilvl w:val="0"/>
          <w:numId w:val="32"/>
        </w:numPr>
        <w:tabs>
          <w:tab w:val="clear" w:pos="709"/>
          <w:tab w:val="left" w:pos="993" w:leader="none"/>
        </w:tabs>
        <w:ind w:left="0" w:right="0" w:firstLine="567"/>
        <w:rPr>
          <w:sz w:val="22"/>
          <w:lang w:val="ru-RU"/>
        </w:rPr>
      </w:pPr>
      <w:r>
        <w:rPr>
          <w:sz w:val="22"/>
          <w:lang w:val="ru-RU"/>
        </w:rPr>
        <w:t>если не было подано ни одной заявки;</w:t>
      </w:r>
    </w:p>
    <w:p>
      <w:pPr>
        <w:pStyle w:val="ListParagraph"/>
        <w:numPr>
          <w:ilvl w:val="0"/>
          <w:numId w:val="32"/>
        </w:numPr>
        <w:tabs>
          <w:tab w:val="clear" w:pos="709"/>
          <w:tab w:val="left" w:pos="993" w:leader="none"/>
        </w:tabs>
        <w:ind w:left="0" w:right="0" w:firstLine="567"/>
        <w:rPr>
          <w:sz w:val="22"/>
          <w:lang w:val="ru-RU"/>
        </w:rPr>
      </w:pPr>
      <w:r>
        <w:rPr>
          <w:sz w:val="22"/>
          <w:lang w:val="ru-RU"/>
        </w:rPr>
        <w:t>если ни одна из поданных заявок не была допущена к участию в закупке по причине несоответствия требованиям, установленным документацией о закупке;</w:t>
      </w:r>
    </w:p>
    <w:p>
      <w:pPr>
        <w:pStyle w:val="ListParagraph"/>
        <w:numPr>
          <w:ilvl w:val="0"/>
          <w:numId w:val="32"/>
        </w:numPr>
        <w:tabs>
          <w:tab w:val="clear" w:pos="709"/>
          <w:tab w:val="left" w:pos="993" w:leader="none"/>
        </w:tabs>
        <w:ind w:left="0" w:right="0" w:firstLine="567"/>
        <w:rPr>
          <w:sz w:val="22"/>
          <w:lang w:val="ru-RU"/>
        </w:rPr>
      </w:pPr>
      <w:r>
        <w:rPr>
          <w:sz w:val="22"/>
          <w:lang w:val="ru-RU"/>
        </w:rPr>
        <w:t>если по окончании срока подачи заявок на участие в закупке подана только одна заявка на участие в закупке, соответствующая требованиям документации о закупке;</w:t>
      </w:r>
    </w:p>
    <w:p>
      <w:pPr>
        <w:pStyle w:val="ListParagraph"/>
        <w:numPr>
          <w:ilvl w:val="0"/>
          <w:numId w:val="32"/>
        </w:numPr>
        <w:tabs>
          <w:tab w:val="clear" w:pos="709"/>
          <w:tab w:val="left" w:pos="993" w:leader="none"/>
        </w:tabs>
        <w:ind w:left="0" w:right="0" w:firstLine="567"/>
        <w:rPr>
          <w:sz w:val="22"/>
          <w:lang w:val="ru-RU"/>
        </w:rPr>
      </w:pPr>
      <w:r>
        <w:rPr>
          <w:sz w:val="22"/>
          <w:lang w:val="ru-RU"/>
        </w:rPr>
        <w:t>если Участник, с которым заключается договор, уклоняется от заключения договора.</w:t>
      </w:r>
    </w:p>
    <w:p>
      <w:pPr>
        <w:pStyle w:val="Normal"/>
        <w:numPr>
          <w:ilvl w:val="0"/>
          <w:numId w:val="31"/>
        </w:numPr>
        <w:tabs>
          <w:tab w:val="clear" w:pos="709"/>
          <w:tab w:val="left" w:pos="993" w:leader="none"/>
          <w:tab w:val="left" w:pos="1418" w:leader="none"/>
        </w:tabs>
        <w:ind w:left="0" w:right="0" w:firstLine="567"/>
        <w:rPr>
          <w:sz w:val="22"/>
          <w:lang w:val="ru-RU"/>
        </w:rPr>
      </w:pPr>
      <w:r>
        <w:rPr>
          <w:sz w:val="22"/>
          <w:lang w:val="ru-RU"/>
        </w:rPr>
        <w:t>Если конкурентная процедура закупки признана несостоявшейся, Заказчик вправе принять одно из следующих решений:</w:t>
      </w:r>
    </w:p>
    <w:p>
      <w:pPr>
        <w:pStyle w:val="ListParagraph"/>
        <w:numPr>
          <w:ilvl w:val="0"/>
          <w:numId w:val="33"/>
        </w:numPr>
        <w:tabs>
          <w:tab w:val="clear" w:pos="709"/>
          <w:tab w:val="left" w:pos="993" w:leader="none"/>
        </w:tabs>
        <w:ind w:left="0" w:right="0" w:firstLine="567"/>
        <w:rPr>
          <w:sz w:val="22"/>
          <w:lang w:val="ru-RU"/>
        </w:rPr>
      </w:pPr>
      <w:r>
        <w:rPr>
          <w:sz w:val="22"/>
          <w:lang w:val="ru-RU"/>
        </w:rPr>
        <w:t>о проведении повторной закупки, аналогичной или отличной от несостоявшейся, с изменением или без изменения способа закупки, условий документации о закупке;</w:t>
      </w:r>
    </w:p>
    <w:p>
      <w:pPr>
        <w:pStyle w:val="ListParagraph"/>
        <w:numPr>
          <w:ilvl w:val="0"/>
          <w:numId w:val="33"/>
        </w:numPr>
        <w:tabs>
          <w:tab w:val="clear" w:pos="709"/>
          <w:tab w:val="left" w:pos="993" w:leader="none"/>
        </w:tabs>
        <w:ind w:left="0" w:right="0" w:firstLine="567"/>
        <w:rPr>
          <w:sz w:val="22"/>
          <w:lang w:val="ru-RU"/>
        </w:rPr>
      </w:pPr>
      <w:r>
        <w:rPr>
          <w:sz w:val="22"/>
          <w:lang w:val="ru-RU"/>
        </w:rPr>
        <w:t>о заключении договора с Участником закупки, подавшим единственную заявку, соответствующую требованиям документации о закупке, на условиях предложенных таким Участником;</w:t>
      </w:r>
    </w:p>
    <w:p>
      <w:pPr>
        <w:pStyle w:val="ListParagraph"/>
        <w:numPr>
          <w:ilvl w:val="0"/>
          <w:numId w:val="33"/>
        </w:numPr>
        <w:tabs>
          <w:tab w:val="clear" w:pos="709"/>
          <w:tab w:val="left" w:pos="993" w:leader="none"/>
        </w:tabs>
        <w:ind w:left="0" w:right="0" w:firstLine="567"/>
        <w:rPr>
          <w:sz w:val="22"/>
          <w:lang w:val="ru-RU"/>
        </w:rPr>
      </w:pPr>
      <w:r>
        <w:rPr>
          <w:sz w:val="22"/>
          <w:lang w:val="ru-RU"/>
        </w:rPr>
        <w:t>о заключении договора с Участником закупки, чья заявка не была допущена к участию в закупке, при условии, что ни одна из поданных заявок не была допущена к участию в закупке, на условиях и по цене, предусмотренных заявкой такого Участника закупки. Цена договора не может превышать начальную (максимальную) цену договора (цену лота), указанную в извещении о проведении закупки, за исключением случаев, предусмотренных настоящим Положением</w:t>
      </w:r>
    </w:p>
    <w:p>
      <w:pPr>
        <w:pStyle w:val="ListParagraph"/>
        <w:numPr>
          <w:ilvl w:val="0"/>
          <w:numId w:val="33"/>
        </w:numPr>
        <w:tabs>
          <w:tab w:val="clear" w:pos="709"/>
          <w:tab w:val="left" w:pos="993" w:leader="none"/>
          <w:tab w:val="left" w:pos="1134" w:leader="none"/>
        </w:tabs>
        <w:ind w:left="0" w:right="0" w:firstLine="567"/>
        <w:rPr>
          <w:sz w:val="22"/>
          <w:lang w:val="ru-RU"/>
        </w:rPr>
      </w:pPr>
      <w:r>
        <w:rPr>
          <w:sz w:val="22"/>
          <w:lang w:val="ru-RU"/>
        </w:rPr>
        <w:t>о заключении договора с иным лицом по усмотрению Заказчика.</w:t>
      </w:r>
    </w:p>
    <w:p>
      <w:pPr>
        <w:pStyle w:val="Normal"/>
        <w:rPr>
          <w:sz w:val="22"/>
          <w:lang w:val="ru-RU"/>
        </w:rPr>
      </w:pPr>
      <w:r>
        <w:rPr>
          <w:sz w:val="22"/>
          <w:lang w:val="ru-RU"/>
        </w:rPr>
      </w:r>
    </w:p>
    <w:p>
      <w:pPr>
        <w:pStyle w:val="Normal"/>
        <w:rPr>
          <w:sz w:val="22"/>
          <w:lang w:val="ru-RU"/>
        </w:rPr>
      </w:pPr>
      <w:r>
        <w:rPr>
          <w:sz w:val="22"/>
          <w:lang w:val="ru-RU"/>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3"/>
        <w:rPr>
          <w:sz w:val="22"/>
        </w:rPr>
      </w:pPr>
      <w:bookmarkStart w:id="48" w:name="__RefHeading___Toc5751_1322379191"/>
      <w:bookmarkEnd w:id="48"/>
      <w:r>
        <w:rPr>
          <w:rFonts w:eastAsia="Times New Roman" w:cs="Times New Roman"/>
          <w:b/>
          <w:bCs/>
          <w:color w:val="auto"/>
          <w:kern w:val="0"/>
          <w:sz w:val="22"/>
          <w:szCs w:val="22"/>
          <w:u w:val="single"/>
          <w:lang w:val="ru-RU" w:eastAsia="en-US" w:bidi="en-US"/>
        </w:rPr>
        <w:t>РАЗДЕЛ 2</w:t>
      </w:r>
      <w:bookmarkStart w:id="49" w:name="_Toc412532389"/>
      <w:bookmarkStart w:id="50" w:name="_Toc520982943"/>
      <w:r>
        <w:rPr>
          <w:sz w:val="22"/>
        </w:rPr>
        <w:t>. ИНФОРМАЦИОННАЯ КАРТА АУКЦИОНА</w:t>
      </w:r>
      <w:bookmarkEnd w:id="49"/>
      <w:bookmarkEnd w:id="50"/>
    </w:p>
    <w:p>
      <w:pPr>
        <w:pStyle w:val="Normal"/>
        <w:spacing w:before="0" w:after="0"/>
        <w:contextualSpacing/>
        <w:rPr>
          <w:sz w:val="22"/>
          <w:lang w:val="ru-RU"/>
        </w:rPr>
      </w:pPr>
      <w:r>
        <w:rPr>
          <w:sz w:val="22"/>
          <w:lang w:val="ru-RU"/>
        </w:rPr>
        <w:t xml:space="preserve">Следующая информация и данные для конкретного аукциона на подлежащие закупке работы (товары) изменяют и/или дополняют положения </w:t>
      </w:r>
      <w:r>
        <w:rPr>
          <w:rFonts w:eastAsia="Times New Roman" w:cs="Times New Roman"/>
          <w:color w:val="auto"/>
          <w:kern w:val="0"/>
          <w:sz w:val="22"/>
          <w:szCs w:val="22"/>
          <w:lang w:val="ru-RU" w:eastAsia="en-US" w:bidi="en-US"/>
        </w:rPr>
        <w:t xml:space="preserve">Раздела </w:t>
      </w:r>
      <w:r>
        <w:rPr>
          <w:sz w:val="22"/>
          <w:lang w:val="ru-RU"/>
        </w:rPr>
        <w:t xml:space="preserve">1 документации о закупке. При возникновении противоречия в документации о закупке положения Информационной карты имеют приоритет над положениями </w:t>
      </w:r>
      <w:r>
        <w:rPr>
          <w:rFonts w:eastAsia="Times New Roman" w:cs="Times New Roman"/>
          <w:color w:val="auto"/>
          <w:kern w:val="0"/>
          <w:sz w:val="22"/>
          <w:szCs w:val="22"/>
          <w:lang w:val="ru-RU" w:eastAsia="en-US" w:bidi="en-US"/>
        </w:rPr>
        <w:t xml:space="preserve">Раздела </w:t>
      </w:r>
      <w:r>
        <w:rPr>
          <w:sz w:val="22"/>
          <w:lang w:val="ru-RU"/>
        </w:rPr>
        <w:t>1 документации о закупке.</w:t>
      </w:r>
    </w:p>
    <w:p>
      <w:pPr>
        <w:pStyle w:val="Normal"/>
        <w:spacing w:before="0" w:after="0"/>
        <w:contextualSpacing/>
        <w:rPr>
          <w:sz w:val="22"/>
          <w:lang w:val="ru-RU"/>
        </w:rPr>
      </w:pPr>
      <w:r>
        <w:rPr>
          <w:sz w:val="22"/>
          <w:lang w:val="ru-RU"/>
        </w:rPr>
      </w:r>
    </w:p>
    <w:tbl>
      <w:tblPr>
        <w:tblW w:w="9975" w:type="dxa"/>
        <w:jc w:val="left"/>
        <w:tblInd w:w="0" w:type="dxa"/>
        <w:tblCellMar>
          <w:top w:w="0" w:type="dxa"/>
          <w:left w:w="108" w:type="dxa"/>
          <w:bottom w:w="0" w:type="dxa"/>
          <w:right w:w="108" w:type="dxa"/>
        </w:tblCellMar>
      </w:tblPr>
      <w:tblGrid>
        <w:gridCol w:w="810"/>
        <w:gridCol w:w="2427"/>
        <w:gridCol w:w="6738"/>
      </w:tblGrid>
      <w:tr>
        <w:trPr>
          <w:tblHeader w:val="true"/>
          <w:trHeight w:val="395" w:hRule="atLeast"/>
        </w:trPr>
        <w:tc>
          <w:tcPr>
            <w:tcW w:w="810" w:type="dxa"/>
            <w:tcBorders>
              <w:top w:val="single" w:sz="4" w:space="0" w:color="000000"/>
              <w:left w:val="single" w:sz="4" w:space="0" w:color="000000"/>
              <w:bottom w:val="single" w:sz="4" w:space="0" w:color="000000"/>
              <w:right w:val="single" w:sz="4" w:space="0" w:color="000000"/>
            </w:tcBorders>
            <w:shd w:fill="auto" w:val="clear"/>
          </w:tcPr>
          <w:p>
            <w:pPr>
              <w:pStyle w:val="Style46"/>
              <w:widowControl w:val="false"/>
              <w:spacing w:before="0" w:after="0"/>
              <w:contextualSpacing/>
              <w:jc w:val="center"/>
              <w:rPr>
                <w:sz w:val="22"/>
                <w:szCs w:val="22"/>
                <w:lang w:val="ru-RU"/>
              </w:rPr>
            </w:pPr>
            <w:r>
              <w:rPr>
                <w:sz w:val="22"/>
                <w:szCs w:val="22"/>
                <w:lang w:val="ru-RU"/>
              </w:rPr>
              <w:t>№</w:t>
            </w:r>
          </w:p>
          <w:p>
            <w:pPr>
              <w:pStyle w:val="Style46"/>
              <w:widowControl w:val="false"/>
              <w:spacing w:before="0" w:after="0"/>
              <w:contextualSpacing/>
              <w:jc w:val="center"/>
              <w:rPr>
                <w:sz w:val="22"/>
                <w:szCs w:val="22"/>
                <w:lang w:val="ru-RU"/>
              </w:rPr>
            </w:pPr>
            <w:r>
              <w:rPr>
                <w:sz w:val="22"/>
                <w:szCs w:val="22"/>
                <w:lang w:val="ru-RU"/>
              </w:rPr>
              <w:t>п/п</w:t>
            </w:r>
          </w:p>
        </w:tc>
        <w:tc>
          <w:tcPr>
            <w:tcW w:w="2427" w:type="dxa"/>
            <w:tcBorders>
              <w:top w:val="single" w:sz="4" w:space="0" w:color="000000"/>
              <w:left w:val="single" w:sz="4" w:space="0" w:color="000000"/>
              <w:bottom w:val="single" w:sz="4" w:space="0" w:color="000000"/>
              <w:right w:val="single" w:sz="4" w:space="0" w:color="000000"/>
            </w:tcBorders>
            <w:shd w:fill="auto" w:val="clear"/>
          </w:tcPr>
          <w:p>
            <w:pPr>
              <w:pStyle w:val="Style46"/>
              <w:widowControl w:val="false"/>
              <w:spacing w:before="0" w:after="0"/>
              <w:contextualSpacing/>
              <w:jc w:val="left"/>
              <w:rPr>
                <w:rFonts w:ascii="Times New Roman" w:hAnsi="Times New Roman"/>
                <w:sz w:val="22"/>
                <w:szCs w:val="22"/>
                <w:lang w:val="ru-RU"/>
              </w:rPr>
            </w:pPr>
            <w:r>
              <w:rPr>
                <w:sz w:val="22"/>
                <w:szCs w:val="22"/>
                <w:lang w:val="ru-RU"/>
              </w:rPr>
              <w:t>Наименование пункта</w:t>
            </w:r>
          </w:p>
        </w:tc>
        <w:tc>
          <w:tcPr>
            <w:tcW w:w="6738" w:type="dxa"/>
            <w:tcBorders>
              <w:top w:val="single" w:sz="4" w:space="0" w:color="000000"/>
              <w:left w:val="single" w:sz="4" w:space="0" w:color="000000"/>
              <w:bottom w:val="single" w:sz="4" w:space="0" w:color="000000"/>
              <w:right w:val="single" w:sz="4" w:space="0" w:color="000000"/>
            </w:tcBorders>
            <w:shd w:fill="auto" w:val="clear"/>
          </w:tcPr>
          <w:p>
            <w:pPr>
              <w:pStyle w:val="Style46"/>
              <w:widowControl w:val="false"/>
              <w:spacing w:before="0" w:after="0"/>
              <w:contextualSpacing/>
              <w:rPr>
                <w:sz w:val="22"/>
                <w:szCs w:val="22"/>
                <w:lang w:val="ru-RU"/>
              </w:rPr>
            </w:pPr>
            <w:r>
              <w:rPr>
                <w:sz w:val="22"/>
                <w:szCs w:val="22"/>
                <w:lang w:val="ru-RU"/>
              </w:rPr>
              <w:t>Текст пояснений</w:t>
            </w:r>
          </w:p>
        </w:tc>
      </w:tr>
      <w:tr>
        <w:trPr/>
        <w:tc>
          <w:tcPr>
            <w:tcW w:w="810" w:type="dxa"/>
            <w:tcBorders>
              <w:top w:val="single" w:sz="4" w:space="0" w:color="000000"/>
              <w:left w:val="single" w:sz="4" w:space="0" w:color="000000"/>
              <w:bottom w:val="single" w:sz="4" w:space="0" w:color="000000"/>
              <w:right w:val="single" w:sz="4" w:space="0" w:color="000000"/>
            </w:tcBorders>
            <w:shd w:fill="auto" w:val="clear"/>
          </w:tcPr>
          <w:p>
            <w:pPr>
              <w:pStyle w:val="Style48"/>
              <w:widowControl w:val="false"/>
              <w:spacing w:before="0" w:after="0"/>
              <w:ind w:left="0" w:right="0" w:hanging="0"/>
              <w:contextualSpacing/>
              <w:jc w:val="center"/>
              <w:rPr>
                <w:sz w:val="22"/>
                <w:lang w:val="ru-RU"/>
              </w:rPr>
            </w:pPr>
            <w:r>
              <w:rPr>
                <w:sz w:val="22"/>
                <w:lang w:val="ru-RU"/>
              </w:rPr>
              <w:t>1.</w:t>
            </w:r>
          </w:p>
        </w:tc>
        <w:tc>
          <w:tcPr>
            <w:tcW w:w="2427" w:type="dxa"/>
            <w:tcBorders>
              <w:top w:val="single" w:sz="4" w:space="0" w:color="000000"/>
              <w:left w:val="single" w:sz="4" w:space="0" w:color="000000"/>
              <w:bottom w:val="single" w:sz="4" w:space="0" w:color="000000"/>
              <w:right w:val="single" w:sz="4" w:space="0" w:color="000000"/>
            </w:tcBorders>
            <w:shd w:fill="auto" w:val="clear"/>
          </w:tcPr>
          <w:p>
            <w:pPr>
              <w:pStyle w:val="Style48"/>
              <w:widowControl w:val="false"/>
              <w:spacing w:before="0" w:after="0"/>
              <w:contextualSpacing/>
              <w:jc w:val="left"/>
              <w:rPr>
                <w:rFonts w:ascii="Times New Roman" w:hAnsi="Times New Roman"/>
                <w:sz w:val="22"/>
                <w:lang w:val="ru-RU"/>
              </w:rPr>
            </w:pPr>
            <w:r>
              <w:rPr>
                <w:sz w:val="22"/>
                <w:lang w:val="ru-RU"/>
              </w:rPr>
              <w:t>Наименование Заказчика, адрес сайта Заказчика:</w:t>
            </w:r>
          </w:p>
        </w:tc>
        <w:tc>
          <w:tcPr>
            <w:tcW w:w="673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0" w:right="0" w:hanging="0"/>
              <w:jc w:val="both"/>
              <w:rPr/>
            </w:pPr>
            <w:r>
              <w:rPr>
                <w:rFonts w:eastAsia="" w:cs="Times New Roman"/>
                <w:b/>
                <w:color w:val="000000"/>
                <w:sz w:val="24"/>
                <w:szCs w:val="24"/>
                <w:lang w:val="ru-RU"/>
              </w:rPr>
              <w:t xml:space="preserve">Наименование (полное): </w:t>
            </w:r>
            <w:r>
              <w:rPr>
                <w:rFonts w:eastAsia="" w:cs="Times New Roman"/>
                <w:b w:val="false"/>
                <w:bCs w:val="false"/>
                <w:color w:val="000000"/>
                <w:sz w:val="24"/>
                <w:szCs w:val="24"/>
                <w:lang w:val="ru-RU"/>
              </w:rPr>
              <w:t>акционерное</w:t>
            </w:r>
            <w:r>
              <w:rPr>
                <w:rFonts w:eastAsia="" w:cs="Times New Roman"/>
                <w:b/>
                <w:color w:val="000000"/>
                <w:sz w:val="24"/>
                <w:szCs w:val="24"/>
                <w:lang w:val="ru-RU"/>
              </w:rPr>
              <w:t xml:space="preserve"> </w:t>
            </w:r>
            <w:r>
              <w:rPr>
                <w:rFonts w:eastAsia="" w:cs="Times New Roman"/>
                <w:b w:val="false"/>
                <w:bCs w:val="false"/>
                <w:color w:val="000000"/>
                <w:sz w:val="24"/>
                <w:szCs w:val="24"/>
                <w:lang w:val="ru-RU"/>
              </w:rPr>
              <w:t xml:space="preserve">общество  «Горэлектросеть», </w:t>
            </w:r>
            <w:r>
              <w:rPr>
                <w:rFonts w:eastAsia="" w:cs="Times New Roman"/>
                <w:b/>
                <w:color w:val="000000"/>
                <w:sz w:val="24"/>
                <w:szCs w:val="24"/>
                <w:lang w:val="ru-RU"/>
              </w:rPr>
              <w:t>сокращенное наименование</w:t>
            </w:r>
            <w:r>
              <w:rPr>
                <w:rFonts w:eastAsia="" w:cs="Times New Roman"/>
                <w:color w:val="000000"/>
                <w:sz w:val="24"/>
                <w:szCs w:val="24"/>
                <w:lang w:val="ru-RU"/>
              </w:rPr>
              <w:t xml:space="preserve"> </w:t>
            </w:r>
            <w:r>
              <w:rPr>
                <w:rFonts w:eastAsia="Times New Roman" w:cs="Times New Roman"/>
                <w:color w:val="000000"/>
                <w:kern w:val="0"/>
                <w:sz w:val="24"/>
                <w:szCs w:val="24"/>
                <w:lang w:val="ru-RU" w:eastAsia="en-US" w:bidi="en-US"/>
              </w:rPr>
              <w:t>АО «Горэлектросеть»</w:t>
            </w:r>
            <w:r>
              <w:rPr>
                <w:rFonts w:eastAsia="Times New Roman" w:cs="Times New Roman"/>
                <w:b/>
                <w:color w:val="000000"/>
                <w:kern w:val="0"/>
                <w:sz w:val="24"/>
                <w:szCs w:val="24"/>
                <w:lang w:val="ru-RU" w:eastAsia="en-US" w:bidi="en-US"/>
              </w:rPr>
              <w:t xml:space="preserve">, </w:t>
            </w:r>
            <w:r>
              <w:rPr>
                <w:rFonts w:eastAsia="Times New Roman" w:cs="Times New Roman"/>
                <w:b w:val="false"/>
                <w:i w:val="false"/>
                <w:caps w:val="false"/>
                <w:smallCaps w:val="false"/>
                <w:color w:val="000000"/>
                <w:spacing w:val="0"/>
                <w:kern w:val="0"/>
                <w:sz w:val="24"/>
                <w:szCs w:val="24"/>
                <w:lang w:val="ru-RU" w:eastAsia="en-US" w:bidi="en-US"/>
              </w:rPr>
              <w:t>623113  г. Первоуральск, Свердловская обл.,</w:t>
            </w:r>
            <w:r>
              <w:rPr>
                <w:rFonts w:eastAsia="Times New Roman" w:cs="Times New Roman"/>
                <w:b/>
                <w:i w:val="false"/>
                <w:caps w:val="false"/>
                <w:smallCaps w:val="false"/>
                <w:color w:val="000000"/>
                <w:spacing w:val="0"/>
                <w:kern w:val="0"/>
                <w:sz w:val="24"/>
                <w:szCs w:val="24"/>
                <w:lang w:val="ru-RU" w:eastAsia="en-US" w:bidi="en-US"/>
              </w:rPr>
              <w:t>ул. Стахова, 2А</w:t>
            </w:r>
          </w:p>
          <w:p>
            <w:pPr>
              <w:pStyle w:val="Normal"/>
              <w:widowControl w:val="false"/>
              <w:spacing w:lineRule="auto" w:line="240" w:before="0" w:after="0"/>
              <w:ind w:left="0" w:right="0" w:hanging="0"/>
              <w:rPr/>
            </w:pPr>
            <w:r>
              <w:rPr>
                <w:rFonts w:eastAsia="" w:cs="Times New Roman"/>
                <w:b/>
                <w:bCs/>
                <w:color w:val="000000"/>
                <w:sz w:val="24"/>
                <w:szCs w:val="24"/>
                <w:shd w:fill="auto" w:val="clear"/>
                <w:lang w:val="ru-RU"/>
              </w:rPr>
              <w:t xml:space="preserve">Контактное лицо: специалист по закупкам </w:t>
            </w:r>
            <w:r>
              <w:rPr>
                <w:rFonts w:eastAsia="Times New Roman" w:cs="Times New Roman"/>
                <w:b/>
                <w:bCs/>
                <w:color w:val="000000"/>
                <w:kern w:val="0"/>
                <w:sz w:val="24"/>
                <w:szCs w:val="24"/>
                <w:shd w:fill="auto" w:val="clear"/>
                <w:lang w:val="ru-RU" w:eastAsia="en-US" w:bidi="en-US"/>
              </w:rPr>
              <w:t>Дюрягина Евгения Алексеевна</w:t>
            </w:r>
          </w:p>
          <w:p>
            <w:pPr>
              <w:pStyle w:val="Normal"/>
              <w:widowControl w:val="false"/>
              <w:spacing w:lineRule="auto" w:line="240" w:before="0" w:after="0"/>
              <w:ind w:left="0" w:right="137" w:hanging="0"/>
              <w:jc w:val="both"/>
              <w:rPr/>
            </w:pPr>
            <w:r>
              <w:rPr>
                <w:rFonts w:eastAsia="" w:cs="Times New Roman"/>
                <w:b/>
                <w:color w:val="000000"/>
                <w:sz w:val="24"/>
                <w:szCs w:val="24"/>
                <w:shd w:fill="auto" w:val="clear"/>
                <w:lang w:eastAsia="ru-RU"/>
              </w:rPr>
              <w:t>Телефон:</w:t>
            </w:r>
            <w:r>
              <w:rPr>
                <w:rFonts w:eastAsia="" w:cs="Times New Roman"/>
                <w:color w:val="000000"/>
                <w:sz w:val="24"/>
                <w:szCs w:val="24"/>
                <w:shd w:fill="auto" w:val="clear"/>
                <w:lang w:eastAsia="ru-RU"/>
              </w:rPr>
              <w:t xml:space="preserve"> (343) 379-43-77, </w:t>
            </w:r>
            <w:r>
              <w:rPr>
                <w:rFonts w:eastAsia="" w:cs="Times New Roman"/>
                <w:b/>
                <w:color w:val="000000"/>
                <w:sz w:val="24"/>
                <w:szCs w:val="24"/>
                <w:shd w:fill="auto" w:val="clear"/>
                <w:lang w:eastAsia="ru-RU"/>
              </w:rPr>
              <w:t>факс:</w:t>
            </w:r>
            <w:r>
              <w:rPr>
                <w:rFonts w:eastAsia="" w:cs="Times New Roman"/>
                <w:color w:val="000000"/>
                <w:sz w:val="24"/>
                <w:szCs w:val="24"/>
                <w:shd w:fill="auto" w:val="clear"/>
                <w:lang w:eastAsia="ru-RU"/>
              </w:rPr>
              <w:t xml:space="preserve"> (343) 379-43-77</w:t>
            </w:r>
          </w:p>
          <w:p>
            <w:pPr>
              <w:pStyle w:val="Normal"/>
              <w:widowControl w:val="false"/>
              <w:spacing w:lineRule="auto" w:line="240" w:before="0" w:after="0"/>
              <w:ind w:left="0" w:right="0" w:hanging="0"/>
              <w:jc w:val="both"/>
              <w:rPr/>
            </w:pPr>
            <w:r>
              <w:rPr>
                <w:rFonts w:eastAsia="" w:cs="Times New Roman"/>
                <w:b w:val="false"/>
                <w:color w:val="000000"/>
                <w:sz w:val="24"/>
                <w:szCs w:val="24"/>
                <w:shd w:fill="auto" w:val="clear"/>
                <w:lang w:val="ru-RU" w:eastAsia="ru-RU"/>
              </w:rPr>
              <w:t xml:space="preserve">Адрес электронной почты: </w:t>
            </w:r>
            <w:r>
              <w:rPr>
                <w:rFonts w:eastAsia="" w:cs="Times New Roman"/>
                <w:b w:val="false"/>
                <w:color w:val="000000"/>
                <w:sz w:val="24"/>
                <w:szCs w:val="24"/>
                <w:shd w:fill="auto" w:val="clear"/>
                <w:lang w:val="en-US" w:eastAsia="ru-RU"/>
              </w:rPr>
              <w:t>evg.dyuryagina@inbox.ru</w:t>
            </w:r>
          </w:p>
          <w:p>
            <w:pPr>
              <w:pStyle w:val="Normal"/>
              <w:widowControl w:val="false"/>
              <w:spacing w:lineRule="auto" w:line="240" w:before="0" w:after="0"/>
              <w:ind w:left="0" w:right="137" w:hanging="0"/>
              <w:jc w:val="both"/>
              <w:rPr/>
            </w:pPr>
            <w:r>
              <w:rPr>
                <w:rFonts w:eastAsia="" w:cs="Times New Roman"/>
                <w:b/>
                <w:bCs/>
                <w:color w:val="000000"/>
                <w:sz w:val="24"/>
                <w:szCs w:val="24"/>
                <w:shd w:fill="auto" w:val="clear"/>
                <w:lang w:eastAsia="ru-RU"/>
              </w:rPr>
              <w:t>доб: 17</w:t>
            </w:r>
            <w:r>
              <w:rPr>
                <w:rFonts w:eastAsia="" w:cs="Times New Roman"/>
                <w:b/>
                <w:bCs/>
                <w:color w:val="000000"/>
                <w:sz w:val="24"/>
                <w:szCs w:val="24"/>
                <w:shd w:fill="auto" w:val="clear"/>
                <w:lang w:val="en-US" w:eastAsia="ru-RU"/>
              </w:rPr>
              <w:t>90</w:t>
            </w:r>
          </w:p>
          <w:p>
            <w:pPr>
              <w:pStyle w:val="Normal"/>
              <w:widowControl w:val="false"/>
              <w:spacing w:lineRule="auto" w:line="240" w:before="0" w:after="0"/>
              <w:ind w:left="0" w:right="137" w:hanging="0"/>
              <w:jc w:val="both"/>
              <w:rPr/>
            </w:pPr>
            <w:r>
              <w:rPr>
                <w:rFonts w:eastAsia="" w:cs="Times New Roman"/>
                <w:b/>
                <w:bCs/>
                <w:color w:val="000000"/>
                <w:sz w:val="24"/>
                <w:szCs w:val="24"/>
                <w:shd w:fill="auto" w:val="clear"/>
                <w:lang w:val="ru-RU" w:eastAsia="ru-RU"/>
              </w:rPr>
              <w:t>Контактное лицо по техническому заданию: инженер по охране труда П</w:t>
            </w:r>
            <w:r>
              <w:rPr>
                <w:rFonts w:eastAsia="" w:cs="Times New Roman"/>
                <w:b/>
                <w:bCs/>
                <w:color w:val="000000"/>
                <w:sz w:val="24"/>
                <w:szCs w:val="24"/>
                <w:shd w:fill="auto" w:val="clear"/>
                <w:lang w:val="en-US" w:eastAsia="ru-RU"/>
              </w:rPr>
              <w:t>ерина Елена Васильевна.</w:t>
            </w:r>
          </w:p>
          <w:p>
            <w:pPr>
              <w:pStyle w:val="Normal"/>
              <w:widowControl w:val="false"/>
              <w:spacing w:lineRule="auto" w:line="240" w:before="0" w:after="0"/>
              <w:ind w:left="0" w:right="137" w:hanging="0"/>
              <w:jc w:val="both"/>
              <w:rPr/>
            </w:pPr>
            <w:r>
              <w:rPr>
                <w:rFonts w:eastAsia="" w:cs="Times New Roman"/>
                <w:b/>
                <w:bCs/>
                <w:color w:val="000000"/>
                <w:sz w:val="24"/>
                <w:szCs w:val="24"/>
                <w:shd w:fill="auto" w:val="clear"/>
                <w:lang w:val="en-US" w:eastAsia="ru-RU"/>
              </w:rPr>
              <w:t>доб: 1115</w:t>
            </w:r>
          </w:p>
        </w:tc>
      </w:tr>
      <w:tr>
        <w:trPr/>
        <w:tc>
          <w:tcPr>
            <w:tcW w:w="810" w:type="dxa"/>
            <w:tcBorders>
              <w:top w:val="single" w:sz="4" w:space="0" w:color="000000"/>
              <w:left w:val="single" w:sz="4" w:space="0" w:color="000000"/>
              <w:bottom w:val="single" w:sz="4" w:space="0" w:color="000000"/>
              <w:right w:val="single" w:sz="4" w:space="0" w:color="000000"/>
            </w:tcBorders>
            <w:shd w:fill="auto" w:val="clear"/>
          </w:tcPr>
          <w:p>
            <w:pPr>
              <w:pStyle w:val="Style48"/>
              <w:widowControl w:val="false"/>
              <w:spacing w:before="0" w:after="0"/>
              <w:ind w:left="0" w:right="0" w:hanging="0"/>
              <w:contextualSpacing/>
              <w:jc w:val="center"/>
              <w:rPr>
                <w:sz w:val="22"/>
                <w:lang w:val="ru-RU"/>
              </w:rPr>
            </w:pPr>
            <w:r>
              <w:rPr>
                <w:sz w:val="22"/>
                <w:lang w:val="ru-RU"/>
              </w:rPr>
              <w:t>2.</w:t>
            </w:r>
          </w:p>
        </w:tc>
        <w:tc>
          <w:tcPr>
            <w:tcW w:w="2427" w:type="dxa"/>
            <w:tcBorders>
              <w:top w:val="single" w:sz="4" w:space="0" w:color="000000"/>
              <w:left w:val="single" w:sz="4" w:space="0" w:color="000000"/>
              <w:bottom w:val="single" w:sz="4" w:space="0" w:color="000000"/>
              <w:right w:val="single" w:sz="4" w:space="0" w:color="000000"/>
            </w:tcBorders>
            <w:shd w:fill="auto" w:val="clear"/>
          </w:tcPr>
          <w:p>
            <w:pPr>
              <w:pStyle w:val="Style48"/>
              <w:widowControl w:val="false"/>
              <w:spacing w:before="0" w:after="0"/>
              <w:contextualSpacing/>
              <w:jc w:val="left"/>
              <w:rPr>
                <w:rFonts w:ascii="Times New Roman" w:hAnsi="Times New Roman"/>
                <w:sz w:val="22"/>
                <w:lang w:val="ru-RU"/>
              </w:rPr>
            </w:pPr>
            <w:r>
              <w:rPr>
                <w:sz w:val="22"/>
                <w:lang w:val="ru-RU"/>
              </w:rPr>
              <w:t>Адрес электронной площадки</w:t>
            </w:r>
          </w:p>
        </w:tc>
        <w:tc>
          <w:tcPr>
            <w:tcW w:w="673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ind w:left="0" w:right="0" w:hanging="0"/>
              <w:rPr>
                <w:color w:val="000000"/>
                <w:sz w:val="22"/>
                <w:lang w:val="ru-RU" w:eastAsia="ru-RU" w:bidi="ar-SA"/>
              </w:rPr>
            </w:pPr>
            <w:r>
              <w:rPr>
                <w:color w:val="000000"/>
                <w:sz w:val="22"/>
                <w:lang w:val="ru-RU" w:eastAsia="ru-RU" w:bidi="ar-SA"/>
              </w:rPr>
              <w:t xml:space="preserve">ЭТП Регион </w:t>
            </w:r>
            <w:hyperlink r:id="rId8">
              <w:r>
                <w:rPr>
                  <w:rStyle w:val="Style"/>
                  <w:sz w:val="22"/>
                  <w:lang w:val="ru-RU" w:eastAsia="ru-RU" w:bidi="ar-SA"/>
                </w:rPr>
                <w:t>https://etp-region.ru</w:t>
              </w:r>
            </w:hyperlink>
          </w:p>
        </w:tc>
      </w:tr>
      <w:tr>
        <w:trPr/>
        <w:tc>
          <w:tcPr>
            <w:tcW w:w="810" w:type="dxa"/>
            <w:tcBorders>
              <w:top w:val="single" w:sz="4" w:space="0" w:color="000000"/>
              <w:left w:val="single" w:sz="4" w:space="0" w:color="000000"/>
              <w:bottom w:val="single" w:sz="4" w:space="0" w:color="000000"/>
              <w:right w:val="single" w:sz="4" w:space="0" w:color="000000"/>
            </w:tcBorders>
            <w:shd w:fill="auto" w:val="clear"/>
          </w:tcPr>
          <w:p>
            <w:pPr>
              <w:pStyle w:val="Style48"/>
              <w:widowControl w:val="false"/>
              <w:spacing w:before="0" w:after="0"/>
              <w:ind w:left="0" w:right="0" w:hanging="0"/>
              <w:contextualSpacing/>
              <w:jc w:val="center"/>
              <w:rPr>
                <w:sz w:val="22"/>
                <w:lang w:val="ru-RU"/>
              </w:rPr>
            </w:pPr>
            <w:r>
              <w:rPr>
                <w:sz w:val="22"/>
                <w:lang w:val="ru-RU"/>
              </w:rPr>
              <w:t>3.</w:t>
            </w:r>
          </w:p>
        </w:tc>
        <w:tc>
          <w:tcPr>
            <w:tcW w:w="2427" w:type="dxa"/>
            <w:tcBorders>
              <w:top w:val="single" w:sz="4" w:space="0" w:color="000000"/>
              <w:left w:val="single" w:sz="4" w:space="0" w:color="000000"/>
              <w:bottom w:val="single" w:sz="4" w:space="0" w:color="000000"/>
              <w:right w:val="single" w:sz="4" w:space="0" w:color="000000"/>
            </w:tcBorders>
            <w:shd w:fill="auto" w:val="clear"/>
          </w:tcPr>
          <w:p>
            <w:pPr>
              <w:pStyle w:val="Style48"/>
              <w:widowControl w:val="false"/>
              <w:spacing w:before="0" w:after="0"/>
              <w:contextualSpacing/>
              <w:jc w:val="left"/>
              <w:rPr>
                <w:rFonts w:ascii="Times New Roman" w:hAnsi="Times New Roman"/>
                <w:sz w:val="22"/>
                <w:lang w:val="ru-RU"/>
              </w:rPr>
            </w:pPr>
            <w:r>
              <w:rPr>
                <w:sz w:val="22"/>
                <w:lang w:val="ru-RU"/>
              </w:rPr>
              <w:t>Вид и предмет аукциона:</w:t>
            </w:r>
          </w:p>
        </w:tc>
        <w:tc>
          <w:tcPr>
            <w:tcW w:w="673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9"/>
                <w:tab w:val="left" w:pos="225" w:leader="none"/>
              </w:tabs>
              <w:bidi w:val="0"/>
              <w:spacing w:before="0" w:after="0"/>
              <w:ind w:left="0" w:right="42" w:hanging="0"/>
              <w:contextualSpacing/>
              <w:jc w:val="left"/>
              <w:rPr>
                <w:rFonts w:cs="Times New Roman"/>
                <w:b/>
                <w:b/>
                <w:bCs/>
                <w:i w:val="false"/>
                <w:i w:val="false"/>
                <w:iCs w:val="false"/>
                <w:color w:val="000000"/>
                <w:kern w:val="0"/>
                <w:sz w:val="24"/>
                <w:szCs w:val="24"/>
                <w:u w:val="none"/>
                <w:lang w:eastAsia="en-US"/>
              </w:rPr>
            </w:pPr>
            <w:r>
              <w:rPr>
                <w:rStyle w:val="3Cambria"/>
                <w:rFonts w:eastAsia="Times New Roman" w:cs="Times New Roman"/>
                <w:b/>
                <w:bCs/>
                <w:i w:val="false"/>
                <w:iCs w:val="false"/>
                <w:strike w:val="false"/>
                <w:dstrike w:val="false"/>
                <w:outline w:val="false"/>
                <w:shadow w:val="false"/>
                <w:color w:val="000000"/>
                <w:kern w:val="0"/>
                <w:sz w:val="24"/>
                <w:szCs w:val="24"/>
                <w:u w:val="none"/>
                <w:em w:val="none"/>
                <w:lang w:val="ru-RU" w:eastAsia="en-US" w:bidi="ar-SA"/>
              </w:rPr>
              <w:t>О</w:t>
            </w:r>
            <w:r>
              <w:rPr>
                <w:rStyle w:val="3Cambria"/>
                <w:rFonts w:cs="Times New Roman"/>
                <w:b/>
                <w:bCs/>
                <w:i w:val="false"/>
                <w:iCs w:val="false"/>
                <w:strike w:val="false"/>
                <w:dstrike w:val="false"/>
                <w:outline w:val="false"/>
                <w:shadow w:val="false"/>
                <w:color w:val="000000"/>
                <w:kern w:val="0"/>
                <w:sz w:val="24"/>
                <w:szCs w:val="24"/>
                <w:u w:val="none"/>
                <w:em w:val="none"/>
                <w:lang w:val="ru-RU" w:eastAsia="en-US"/>
              </w:rPr>
              <w:t xml:space="preserve">казание образовательных услуг  по обучению и проверке знаний (повышение квалификации) работников </w:t>
            </w:r>
            <w:r>
              <w:rPr>
                <w:rStyle w:val="3Cambria"/>
                <w:rFonts w:cs="Times New Roman"/>
                <w:b/>
                <w:bCs/>
                <w:i/>
                <w:iCs w:val="false"/>
                <w:color w:val="000000"/>
                <w:kern w:val="0"/>
                <w:sz w:val="24"/>
                <w:szCs w:val="24"/>
                <w:u w:val="none"/>
                <w:lang w:eastAsia="en-US"/>
              </w:rPr>
              <w:t xml:space="preserve">для нужд </w:t>
            </w:r>
            <w:r>
              <w:rPr>
                <w:rStyle w:val="3Cambria"/>
                <w:rFonts w:eastAsia="Calibri" w:cs="Times New Roman"/>
                <w:b/>
                <w:bCs/>
                <w:i/>
                <w:iCs w:val="false"/>
                <w:color w:val="000000"/>
                <w:kern w:val="2"/>
                <w:sz w:val="24"/>
                <w:szCs w:val="24"/>
                <w:u w:val="none"/>
                <w:lang w:val="ru-RU" w:eastAsia="zh-CN" w:bidi="hi-IN"/>
              </w:rPr>
              <w:t>АО «Горэлектросеть»</w:t>
            </w:r>
            <w:r>
              <w:rPr>
                <w:rStyle w:val="3Cambria"/>
                <w:rFonts w:cs="Times New Roman"/>
                <w:b/>
                <w:bCs/>
                <w:i/>
                <w:iCs w:val="false"/>
                <w:color w:val="000000"/>
                <w:kern w:val="0"/>
                <w:sz w:val="24"/>
                <w:szCs w:val="24"/>
                <w:u w:val="none"/>
                <w:lang w:eastAsia="en-US"/>
              </w:rPr>
              <w:t>.</w:t>
            </w:r>
          </w:p>
        </w:tc>
      </w:tr>
      <w:tr>
        <w:trPr/>
        <w:tc>
          <w:tcPr>
            <w:tcW w:w="810" w:type="dxa"/>
            <w:tcBorders>
              <w:top w:val="single" w:sz="4" w:space="0" w:color="000000"/>
              <w:left w:val="single" w:sz="4" w:space="0" w:color="000000"/>
              <w:bottom w:val="single" w:sz="4" w:space="0" w:color="000000"/>
              <w:right w:val="single" w:sz="4" w:space="0" w:color="000000"/>
            </w:tcBorders>
            <w:shd w:fill="auto" w:val="clear"/>
          </w:tcPr>
          <w:p>
            <w:pPr>
              <w:pStyle w:val="Style48"/>
              <w:widowControl w:val="false"/>
              <w:spacing w:before="0" w:after="0"/>
              <w:ind w:left="0" w:right="0" w:hanging="0"/>
              <w:contextualSpacing/>
              <w:jc w:val="center"/>
              <w:rPr>
                <w:sz w:val="22"/>
                <w:lang w:val="ru-RU"/>
              </w:rPr>
            </w:pPr>
            <w:r>
              <w:rPr>
                <w:sz w:val="22"/>
                <w:lang w:val="ru-RU"/>
              </w:rPr>
              <w:t>4.</w:t>
            </w:r>
          </w:p>
        </w:tc>
        <w:tc>
          <w:tcPr>
            <w:tcW w:w="2427" w:type="dxa"/>
            <w:tcBorders>
              <w:top w:val="single" w:sz="4" w:space="0" w:color="000000"/>
              <w:left w:val="single" w:sz="4" w:space="0" w:color="000000"/>
              <w:bottom w:val="single" w:sz="4" w:space="0" w:color="000000"/>
              <w:right w:val="single" w:sz="4" w:space="0" w:color="000000"/>
            </w:tcBorders>
            <w:shd w:fill="auto" w:val="clear"/>
          </w:tcPr>
          <w:p>
            <w:pPr>
              <w:pStyle w:val="Style48"/>
              <w:widowControl w:val="false"/>
              <w:spacing w:before="0" w:after="0"/>
              <w:contextualSpacing/>
              <w:jc w:val="left"/>
              <w:rPr>
                <w:rFonts w:ascii="Times New Roman" w:hAnsi="Times New Roman"/>
                <w:sz w:val="22"/>
                <w:lang w:val="ru-RU"/>
              </w:rPr>
            </w:pPr>
            <w:r>
              <w:rPr>
                <w:rFonts w:cs="Times New Roman"/>
                <w:color w:val="000000"/>
                <w:sz w:val="24"/>
                <w:szCs w:val="24"/>
                <w:lang w:val="ru-RU"/>
              </w:rPr>
              <w:t>Количество и место доставки товара, место выполнения работы или оказания услуги</w:t>
            </w:r>
            <w:r>
              <w:rPr>
                <w:sz w:val="22"/>
                <w:lang w:val="ru-RU"/>
              </w:rPr>
              <w:t>)</w:t>
            </w:r>
          </w:p>
        </w:tc>
        <w:tc>
          <w:tcPr>
            <w:tcW w:w="6738" w:type="dxa"/>
            <w:tcBorders>
              <w:top w:val="single" w:sz="4" w:space="0" w:color="000000"/>
              <w:left w:val="single" w:sz="4" w:space="0" w:color="000000"/>
              <w:bottom w:val="single" w:sz="4" w:space="0" w:color="000000"/>
              <w:right w:val="single" w:sz="4" w:space="0" w:color="000000"/>
            </w:tcBorders>
            <w:shd w:fill="auto" w:val="clear"/>
          </w:tcPr>
          <w:p>
            <w:pPr>
              <w:pStyle w:val="Standard"/>
              <w:keepNext w:val="true"/>
              <w:widowControl w:val="false"/>
              <w:spacing w:before="0" w:after="0"/>
              <w:ind w:left="0" w:right="-69" w:hanging="0"/>
              <w:contextualSpacing/>
              <w:jc w:val="both"/>
              <w:rPr/>
            </w:pPr>
            <w:r>
              <w:rPr>
                <w:rFonts w:eastAsia="Times New Roman" w:cs="Times New Roman"/>
                <w:sz w:val="24"/>
                <w:szCs w:val="24"/>
                <w:shd w:fill="auto" w:val="clear"/>
                <w:lang w:val="ru-RU" w:eastAsia="ru-RU" w:bidi="ar-SA"/>
              </w:rPr>
              <w:t xml:space="preserve">Согласно условиям Договора (раздел </w:t>
            </w:r>
            <w:r>
              <w:rPr>
                <w:rFonts w:eastAsia="Times New Roman" w:cs="Times New Roman"/>
                <w:color w:val="000000"/>
                <w:kern w:val="2"/>
                <w:sz w:val="24"/>
                <w:szCs w:val="24"/>
                <w:shd w:fill="auto" w:val="clear"/>
                <w:lang w:val="ru-RU" w:eastAsia="ru-RU" w:bidi="ar-SA"/>
              </w:rPr>
              <w:t>4</w:t>
            </w:r>
            <w:r>
              <w:rPr>
                <w:rFonts w:eastAsia="Times New Roman" w:cs="Times New Roman"/>
                <w:sz w:val="24"/>
                <w:szCs w:val="24"/>
                <w:shd w:fill="auto" w:val="clear"/>
                <w:lang w:val="ru-RU" w:eastAsia="ru-RU" w:bidi="ar-SA"/>
              </w:rPr>
              <w:t xml:space="preserve"> аукционной документации) и Технического задания (раздел </w:t>
            </w:r>
            <w:r>
              <w:rPr>
                <w:rFonts w:eastAsia="Times New Roman" w:cs="Times New Roman"/>
                <w:color w:val="000000"/>
                <w:kern w:val="2"/>
                <w:sz w:val="24"/>
                <w:szCs w:val="24"/>
                <w:shd w:fill="auto" w:val="clear"/>
                <w:lang w:val="ru-RU" w:eastAsia="ru-RU" w:bidi="ar-SA"/>
              </w:rPr>
              <w:t>3</w:t>
            </w:r>
            <w:r>
              <w:rPr>
                <w:rFonts w:eastAsia="Times New Roman" w:cs="Times New Roman"/>
                <w:sz w:val="24"/>
                <w:szCs w:val="24"/>
                <w:shd w:fill="auto" w:val="clear"/>
                <w:lang w:val="ru-RU" w:eastAsia="ru-RU" w:bidi="ar-SA"/>
              </w:rPr>
              <w:t xml:space="preserve"> аукционной документации)</w:t>
            </w:r>
          </w:p>
        </w:tc>
      </w:tr>
      <w:tr>
        <w:trPr/>
        <w:tc>
          <w:tcPr>
            <w:tcW w:w="810" w:type="dxa"/>
            <w:tcBorders>
              <w:top w:val="single" w:sz="4" w:space="0" w:color="000000"/>
              <w:left w:val="single" w:sz="4" w:space="0" w:color="000000"/>
              <w:bottom w:val="single" w:sz="4" w:space="0" w:color="000000"/>
              <w:right w:val="single" w:sz="4" w:space="0" w:color="000000"/>
            </w:tcBorders>
            <w:shd w:fill="auto" w:val="clear"/>
          </w:tcPr>
          <w:p>
            <w:pPr>
              <w:pStyle w:val="Style48"/>
              <w:widowControl w:val="false"/>
              <w:spacing w:before="0" w:after="0"/>
              <w:contextualSpacing/>
              <w:jc w:val="center"/>
              <w:rPr>
                <w:rFonts w:ascii="Times New Roman" w:hAnsi="Times New Roman" w:eastAsia="Times New Roman" w:cs="Times New Roman"/>
                <w:color w:val="auto"/>
                <w:kern w:val="0"/>
                <w:sz w:val="22"/>
                <w:szCs w:val="22"/>
                <w:lang w:val="ru-RU" w:eastAsia="en-US" w:bidi="en-US"/>
              </w:rPr>
            </w:pPr>
            <w:r>
              <w:rPr>
                <w:rFonts w:eastAsia="Times New Roman" w:cs="Times New Roman"/>
                <w:color w:val="auto"/>
                <w:kern w:val="0"/>
                <w:sz w:val="22"/>
                <w:szCs w:val="22"/>
                <w:lang w:val="ru-RU" w:eastAsia="en-US" w:bidi="en-US"/>
              </w:rPr>
              <w:t>5.</w:t>
            </w:r>
          </w:p>
        </w:tc>
        <w:tc>
          <w:tcPr>
            <w:tcW w:w="2427" w:type="dxa"/>
            <w:tcBorders>
              <w:top w:val="single" w:sz="4" w:space="0" w:color="000000"/>
              <w:left w:val="single" w:sz="4" w:space="0" w:color="000000"/>
              <w:bottom w:val="single" w:sz="4" w:space="0" w:color="000000"/>
              <w:right w:val="single" w:sz="4" w:space="0" w:color="000000"/>
            </w:tcBorders>
            <w:shd w:fill="auto" w:val="clear"/>
          </w:tcPr>
          <w:p>
            <w:pPr>
              <w:pStyle w:val="Style48"/>
              <w:widowControl w:val="false"/>
              <w:spacing w:before="0" w:after="0"/>
              <w:contextualSpacing/>
              <w:jc w:val="left"/>
              <w:rPr>
                <w:rFonts w:ascii="Times New Roman" w:hAnsi="Times New Roman"/>
                <w:color w:val="000000"/>
                <w:sz w:val="22"/>
                <w:lang w:val="ru-RU"/>
              </w:rPr>
            </w:pPr>
            <w:r>
              <w:rPr>
                <w:color w:val="000000"/>
                <w:sz w:val="22"/>
                <w:lang w:val="ru-RU"/>
              </w:rPr>
              <w:t>Начальная (максимальная) цена договора</w:t>
            </w:r>
          </w:p>
        </w:tc>
        <w:tc>
          <w:tcPr>
            <w:tcW w:w="673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before="0" w:after="0"/>
              <w:ind w:left="0" w:right="0" w:hanging="0"/>
              <w:contextualSpacing/>
              <w:jc w:val="both"/>
              <w:rPr>
                <w:rFonts w:ascii="Times New Roman" w:hAnsi="Times New Roman"/>
                <w:b/>
                <w:b/>
                <w:bCs/>
                <w:sz w:val="24"/>
                <w:szCs w:val="24"/>
              </w:rPr>
            </w:pPr>
            <w:r>
              <w:rPr>
                <w:rFonts w:eastAsia="Times New Roman" w:cs="Times New Roman"/>
                <w:b/>
                <w:bCs/>
                <w:i w:val="false"/>
                <w:strike w:val="false"/>
                <w:dstrike w:val="false"/>
                <w:outline w:val="false"/>
                <w:shadow w:val="false"/>
                <w:color w:val="000000"/>
                <w:kern w:val="0"/>
                <w:sz w:val="24"/>
                <w:szCs w:val="24"/>
                <w:u w:val="none"/>
                <w:shd w:fill="FFFF00" w:val="clear"/>
                <w:em w:val="none"/>
                <w:lang w:val="ru-RU" w:eastAsia="ru-RU" w:bidi="ar-SA"/>
              </w:rPr>
              <w:t xml:space="preserve">1. Максимальное значение </w:t>
            </w:r>
            <w:r>
              <w:rPr>
                <w:rFonts w:eastAsia="Times New Roman" w:cs="Times New Roman"/>
                <w:b/>
                <w:bCs/>
                <w:i w:val="false"/>
                <w:strike w:val="false"/>
                <w:dstrike w:val="false"/>
                <w:outline w:val="false"/>
                <w:shadow w:val="false"/>
                <w:color w:val="000000"/>
                <w:kern w:val="0"/>
                <w:sz w:val="24"/>
                <w:szCs w:val="24"/>
                <w:u w:val="none"/>
                <w:shd w:fill="FFFF00" w:val="clear"/>
                <w:em w:val="none"/>
                <w:lang w:val="ru-RU" w:eastAsia="ru-RU" w:bidi="en-US"/>
              </w:rPr>
              <w:t>цены договора составляет</w:t>
            </w:r>
            <w:r>
              <w:rPr>
                <w:rFonts w:eastAsia="Times New Roman" w:cs="Times New Roman"/>
                <w:b/>
                <w:bCs/>
                <w:sz w:val="24"/>
                <w:szCs w:val="24"/>
                <w:shd w:fill="auto" w:val="clear"/>
                <w:lang w:val="ru-RU" w:eastAsia="ru-RU"/>
              </w:rPr>
              <w:t xml:space="preserve">:  </w:t>
            </w:r>
            <w:r>
              <w:rPr>
                <w:rFonts w:eastAsia="Times New Roman" w:cs="Times New Roman"/>
                <w:b/>
                <w:bCs/>
                <w:color w:val="000000"/>
                <w:sz w:val="24"/>
                <w:szCs w:val="24"/>
                <w:highlight w:val="yellow"/>
                <w:shd w:fill="auto" w:val="clear"/>
                <w:lang w:val="ru-RU" w:eastAsia="ru-RU" w:bidi="ar-SA"/>
              </w:rPr>
              <w:t>125 000</w:t>
            </w:r>
            <w:r>
              <w:rPr>
                <w:rFonts w:eastAsia="Times New Roman" w:cs="Times New Roman"/>
                <w:b/>
                <w:bCs/>
                <w:sz w:val="24"/>
                <w:szCs w:val="24"/>
                <w:highlight w:val="yellow"/>
                <w:shd w:fill="auto" w:val="clear"/>
                <w:lang w:val="ru-RU" w:eastAsia="ru-RU"/>
              </w:rPr>
              <w:t xml:space="preserve"> (сто двадцать пять тысяч) рублей 00 копеек.</w:t>
            </w:r>
          </w:p>
          <w:p>
            <w:pPr>
              <w:pStyle w:val="Normal"/>
              <w:widowControl w:val="false"/>
              <w:spacing w:before="0" w:after="0"/>
              <w:ind w:left="0" w:right="0" w:hanging="0"/>
              <w:contextualSpacing/>
              <w:rPr>
                <w:rFonts w:ascii="Times New Roman" w:hAnsi="Times New Roman"/>
                <w:b/>
                <w:b/>
                <w:bCs/>
                <w:sz w:val="24"/>
                <w:szCs w:val="24"/>
              </w:rPr>
            </w:pPr>
            <w:r>
              <w:rPr>
                <w:b/>
                <w:bCs/>
                <w:sz w:val="24"/>
                <w:szCs w:val="24"/>
                <w:highlight w:val="yellow"/>
                <w:lang w:val="ru-RU"/>
              </w:rPr>
              <w:t xml:space="preserve">2. </w:t>
            </w:r>
            <w:r>
              <w:rPr>
                <w:rFonts w:eastAsia="Times New Roman" w:cs="Times New Roman"/>
                <w:b/>
                <w:bCs/>
                <w:i w:val="false"/>
                <w:strike w:val="false"/>
                <w:dstrike w:val="false"/>
                <w:outline w:val="false"/>
                <w:shadow w:val="false"/>
                <w:color w:val="000000"/>
                <w:sz w:val="24"/>
                <w:szCs w:val="24"/>
                <w:highlight w:val="yellow"/>
                <w:u w:val="none"/>
                <w:shd w:fill="FFFF00" w:val="clear"/>
                <w:em w:val="none"/>
                <w:lang w:val="ru-RU" w:eastAsia="ru-RU"/>
              </w:rPr>
              <w:t>На</w:t>
            </w:r>
            <w:r>
              <w:rPr>
                <w:rFonts w:eastAsia="Times New Roman" w:cs="Times New Roman"/>
                <w:b/>
                <w:bCs/>
                <w:i w:val="false"/>
                <w:strike w:val="false"/>
                <w:dstrike w:val="false"/>
                <w:outline w:val="false"/>
                <w:shadow w:val="false"/>
                <w:color w:val="000000"/>
                <w:sz w:val="24"/>
                <w:szCs w:val="24"/>
                <w:u w:val="none"/>
                <w:shd w:fill="FFFF00" w:val="clear"/>
                <w:em w:val="none"/>
                <w:lang w:val="ru-RU" w:eastAsia="ru-RU"/>
              </w:rPr>
              <w:t xml:space="preserve">чальная (максимальная) сумма цен единичных расценок: </w:t>
            </w:r>
            <w:r>
              <w:rPr>
                <w:rFonts w:eastAsia="Times New Roman" w:cs="Times New Roman"/>
                <w:b/>
                <w:bCs/>
                <w:i w:val="false"/>
                <w:strike w:val="false"/>
                <w:dstrike w:val="false"/>
                <w:outline w:val="false"/>
                <w:shadow w:val="false"/>
                <w:color w:val="000000"/>
                <w:kern w:val="2"/>
                <w:sz w:val="24"/>
                <w:szCs w:val="24"/>
                <w:u w:val="none"/>
                <w:shd w:fill="FFFF00" w:val="clear"/>
                <w:em w:val="none"/>
                <w:lang w:val="ru-RU" w:eastAsia="ru-RU" w:bidi="hi-IN"/>
              </w:rPr>
              <w:t xml:space="preserve">13 366 </w:t>
            </w:r>
            <w:r>
              <w:rPr>
                <w:rFonts w:eastAsia="Times New Roman" w:cs="Times New Roman"/>
                <w:b/>
                <w:bCs/>
                <w:i w:val="false"/>
                <w:strike w:val="false"/>
                <w:dstrike w:val="false"/>
                <w:outline w:val="false"/>
                <w:shadow w:val="false"/>
                <w:color w:val="000000"/>
                <w:sz w:val="24"/>
                <w:szCs w:val="24"/>
                <w:u w:val="none"/>
                <w:shd w:fill="FFFF00" w:val="clear"/>
                <w:em w:val="none"/>
                <w:lang w:val="ru-RU" w:eastAsia="ru-RU"/>
              </w:rPr>
              <w:t>(</w:t>
            </w:r>
            <w:r>
              <w:rPr>
                <w:b/>
                <w:i w:val="false"/>
                <w:strike w:val="false"/>
                <w:dstrike w:val="false"/>
                <w:outline w:val="false"/>
                <w:shadow w:val="false"/>
                <w:sz w:val="24"/>
                <w:szCs w:val="24"/>
                <w:u w:val="none"/>
                <w:shd w:fill="FFFF00" w:val="clear"/>
                <w:em w:val="none"/>
              </w:rPr>
              <w:t>тринадцать тысяч триста шестьдесят шесть</w:t>
            </w:r>
            <w:r>
              <w:rPr>
                <w:rFonts w:eastAsia="Times New Roman" w:cs="Times New Roman"/>
                <w:b/>
                <w:bCs/>
                <w:i w:val="false"/>
                <w:strike w:val="false"/>
                <w:dstrike w:val="false"/>
                <w:outline w:val="false"/>
                <w:shadow w:val="false"/>
                <w:color w:val="000000"/>
                <w:sz w:val="24"/>
                <w:szCs w:val="24"/>
                <w:u w:val="none"/>
                <w:shd w:fill="FFFF00" w:val="clear"/>
                <w:em w:val="none"/>
                <w:lang w:val="ru-RU" w:eastAsia="ru-RU"/>
              </w:rPr>
              <w:t>)</w:t>
            </w:r>
            <w:r>
              <w:rPr>
                <w:rFonts w:cs="Times New Roman"/>
                <w:b/>
                <w:bCs/>
                <w:i w:val="false"/>
                <w:strike w:val="false"/>
                <w:dstrike w:val="false"/>
                <w:outline w:val="false"/>
                <w:shadow w:val="false"/>
                <w:color w:val="000000"/>
                <w:sz w:val="24"/>
                <w:szCs w:val="24"/>
                <w:u w:val="none"/>
                <w:shd w:fill="FFFF00" w:val="clear"/>
                <w:em w:val="none"/>
                <w:lang w:val="ru-RU"/>
              </w:rPr>
              <w:t xml:space="preserve"> рублей. 67 коп. </w:t>
            </w:r>
          </w:p>
          <w:p>
            <w:pPr>
              <w:pStyle w:val="Normal"/>
              <w:widowControl w:val="false"/>
              <w:numPr>
                <w:ilvl w:val="0"/>
                <w:numId w:val="0"/>
              </w:numPr>
              <w:spacing w:before="0" w:after="200"/>
              <w:ind w:left="0" w:right="0" w:hanging="0"/>
              <w:jc w:val="both"/>
              <w:rPr>
                <w:rFonts w:ascii="Times New Roman" w:hAnsi="Times New Roman" w:cs="Times New Roman"/>
                <w:sz w:val="24"/>
                <w:szCs w:val="24"/>
                <w:lang w:val="ru-RU"/>
              </w:rPr>
            </w:pPr>
            <w:r>
              <w:rPr>
                <w:rFonts w:cs="Times New Roman"/>
                <w:sz w:val="24"/>
                <w:szCs w:val="24"/>
                <w:lang w:val="ru-RU"/>
              </w:rPr>
              <w:t>3. Начальная (максимальная) цена договора включает в себя: все затраты, накладные расходы, налоги, пошлины, таможенные платежи, страхование и прочие сборы, которые поставщик (подрядчик, исполнитель) договора должен оплачивать в соответствии с условиями договора или на иных основаниях. Все расходы должны быть включены в расценки и общую цену заявки, представленной участником закупки.</w:t>
            </w:r>
          </w:p>
        </w:tc>
      </w:tr>
      <w:tr>
        <w:trPr>
          <w:trHeight w:val="804" w:hRule="atLeast"/>
        </w:trPr>
        <w:tc>
          <w:tcPr>
            <w:tcW w:w="810" w:type="dxa"/>
            <w:tcBorders>
              <w:top w:val="single" w:sz="4" w:space="0" w:color="000000"/>
              <w:left w:val="single" w:sz="4" w:space="0" w:color="000000"/>
              <w:bottom w:val="single" w:sz="4" w:space="0" w:color="000000"/>
              <w:right w:val="single" w:sz="4" w:space="0" w:color="000000"/>
            </w:tcBorders>
            <w:shd w:fill="auto" w:val="clear"/>
          </w:tcPr>
          <w:p>
            <w:pPr>
              <w:pStyle w:val="Style48"/>
              <w:widowControl w:val="false"/>
              <w:spacing w:before="0" w:after="0"/>
              <w:ind w:left="0" w:right="0" w:hanging="0"/>
              <w:contextualSpacing/>
              <w:jc w:val="center"/>
              <w:rPr>
                <w:rFonts w:ascii="Times New Roman" w:hAnsi="Times New Roman" w:eastAsia="Times New Roman" w:cs="Times New Roman"/>
                <w:color w:val="auto"/>
                <w:kern w:val="0"/>
                <w:sz w:val="22"/>
                <w:szCs w:val="22"/>
                <w:lang w:val="ru-RU" w:eastAsia="en-US" w:bidi="en-US"/>
              </w:rPr>
            </w:pPr>
            <w:r>
              <w:rPr>
                <w:rFonts w:eastAsia="Times New Roman" w:cs="Times New Roman"/>
                <w:color w:val="auto"/>
                <w:kern w:val="0"/>
                <w:sz w:val="22"/>
                <w:szCs w:val="22"/>
                <w:lang w:val="ru-RU" w:eastAsia="en-US" w:bidi="en-US"/>
              </w:rPr>
              <w:t>6.</w:t>
            </w:r>
          </w:p>
        </w:tc>
        <w:tc>
          <w:tcPr>
            <w:tcW w:w="2427" w:type="dxa"/>
            <w:tcBorders>
              <w:top w:val="single" w:sz="4" w:space="0" w:color="000000"/>
              <w:left w:val="single" w:sz="4" w:space="0" w:color="000000"/>
              <w:bottom w:val="single" w:sz="4" w:space="0" w:color="000000"/>
              <w:right w:val="single" w:sz="4" w:space="0" w:color="000000"/>
            </w:tcBorders>
            <w:shd w:fill="auto" w:val="clear"/>
          </w:tcPr>
          <w:p>
            <w:pPr>
              <w:pStyle w:val="Style48"/>
              <w:widowControl w:val="false"/>
              <w:spacing w:before="0" w:after="0"/>
              <w:contextualSpacing/>
              <w:jc w:val="left"/>
              <w:rPr>
                <w:rFonts w:ascii="Times New Roman" w:hAnsi="Times New Roman"/>
                <w:sz w:val="22"/>
                <w:lang w:val="ru-RU"/>
              </w:rPr>
            </w:pPr>
            <w:r>
              <w:rPr>
                <w:sz w:val="22"/>
                <w:shd w:fill="auto" w:val="clear"/>
                <w:lang w:val="ru-RU"/>
              </w:rPr>
              <w:t>Источник финансирования и порядок оплаты</w:t>
            </w:r>
          </w:p>
        </w:tc>
        <w:tc>
          <w:tcPr>
            <w:tcW w:w="6738" w:type="dxa"/>
            <w:tcBorders>
              <w:top w:val="single" w:sz="4" w:space="0" w:color="000000"/>
              <w:left w:val="single" w:sz="4" w:space="0" w:color="000000"/>
              <w:bottom w:val="single" w:sz="4" w:space="0" w:color="000000"/>
              <w:right w:val="single" w:sz="4" w:space="0" w:color="000000"/>
            </w:tcBorders>
            <w:shd w:fill="auto" w:val="clear"/>
          </w:tcPr>
          <w:p>
            <w:pPr>
              <w:pStyle w:val="Style48"/>
              <w:widowControl w:val="false"/>
              <w:spacing w:before="0" w:after="0"/>
              <w:contextualSpacing/>
              <w:jc w:val="both"/>
              <w:rPr>
                <w:sz w:val="22"/>
                <w:lang w:val="ru-RU"/>
              </w:rPr>
            </w:pPr>
            <w:r>
              <w:rPr>
                <w:sz w:val="22"/>
                <w:shd w:fill="auto" w:val="clear"/>
                <w:lang w:val="ru-RU"/>
              </w:rPr>
              <w:t xml:space="preserve">В соответствии с </w:t>
            </w:r>
            <w:r>
              <w:rPr>
                <w:rFonts w:eastAsia="Times New Roman" w:cs="Times New Roman"/>
                <w:color w:val="000000"/>
                <w:kern w:val="0"/>
                <w:sz w:val="22"/>
                <w:szCs w:val="22"/>
                <w:shd w:fill="auto" w:val="clear"/>
                <w:lang w:val="ru-RU" w:eastAsia="en-US" w:bidi="en-US"/>
              </w:rPr>
              <w:t>проектом Договора (Раздел 4).</w:t>
            </w:r>
          </w:p>
        </w:tc>
      </w:tr>
      <w:tr>
        <w:trPr>
          <w:trHeight w:val="2192" w:hRule="atLeast"/>
        </w:trPr>
        <w:tc>
          <w:tcPr>
            <w:tcW w:w="810" w:type="dxa"/>
            <w:vMerge w:val="restart"/>
            <w:tcBorders>
              <w:top w:val="single" w:sz="4" w:space="0" w:color="000000"/>
              <w:left w:val="single" w:sz="4" w:space="0" w:color="000000"/>
              <w:bottom w:val="single" w:sz="4" w:space="0" w:color="000000"/>
              <w:right w:val="single" w:sz="4" w:space="0" w:color="000000"/>
            </w:tcBorders>
            <w:shd w:fill="auto" w:val="clear"/>
          </w:tcPr>
          <w:p>
            <w:pPr>
              <w:pStyle w:val="Style48"/>
              <w:widowControl w:val="false"/>
              <w:spacing w:before="0" w:after="0"/>
              <w:ind w:left="0" w:right="0" w:hanging="0"/>
              <w:contextualSpacing/>
              <w:jc w:val="center"/>
              <w:rPr>
                <w:rFonts w:ascii="Times New Roman" w:hAnsi="Times New Roman" w:eastAsia="Times New Roman" w:cs="Times New Roman"/>
                <w:color w:val="auto"/>
                <w:kern w:val="0"/>
                <w:sz w:val="22"/>
                <w:szCs w:val="22"/>
                <w:lang w:val="ru-RU" w:eastAsia="en-US" w:bidi="en-US"/>
              </w:rPr>
            </w:pPr>
            <w:r>
              <w:rPr>
                <w:rFonts w:eastAsia="Times New Roman" w:cs="Times New Roman"/>
                <w:color w:val="auto"/>
                <w:kern w:val="0"/>
                <w:sz w:val="22"/>
                <w:szCs w:val="22"/>
                <w:lang w:val="ru-RU" w:eastAsia="en-US" w:bidi="en-US"/>
              </w:rPr>
              <w:t>7.</w:t>
            </w:r>
          </w:p>
        </w:tc>
        <w:tc>
          <w:tcPr>
            <w:tcW w:w="2427" w:type="dxa"/>
            <w:vMerge w:val="restart"/>
            <w:tcBorders>
              <w:top w:val="single" w:sz="4" w:space="0" w:color="000000"/>
              <w:left w:val="single" w:sz="4" w:space="0" w:color="000000"/>
              <w:bottom w:val="single" w:sz="4" w:space="0" w:color="000000"/>
              <w:right w:val="single" w:sz="4" w:space="0" w:color="000000"/>
            </w:tcBorders>
            <w:shd w:fill="auto" w:val="clear"/>
          </w:tcPr>
          <w:p>
            <w:pPr>
              <w:pStyle w:val="Style48"/>
              <w:widowControl w:val="false"/>
              <w:spacing w:before="0" w:after="0"/>
              <w:contextualSpacing/>
              <w:jc w:val="left"/>
              <w:rPr>
                <w:rFonts w:ascii="Times New Roman" w:hAnsi="Times New Roman"/>
                <w:sz w:val="22"/>
                <w:lang w:val="ru-RU"/>
              </w:rPr>
            </w:pPr>
            <w:r>
              <w:rPr>
                <w:sz w:val="22"/>
                <w:lang w:val="ru-RU"/>
              </w:rPr>
              <w:t>Требования к Участникам аукциона</w:t>
            </w:r>
          </w:p>
        </w:tc>
        <w:tc>
          <w:tcPr>
            <w:tcW w:w="6738" w:type="dxa"/>
            <w:tcBorders>
              <w:top w:val="single" w:sz="4" w:space="0" w:color="000000"/>
              <w:left w:val="single" w:sz="4" w:space="0" w:color="000000"/>
              <w:bottom w:val="single" w:sz="4" w:space="0" w:color="000000"/>
              <w:right w:val="single" w:sz="4" w:space="0" w:color="000000"/>
            </w:tcBorders>
            <w:shd w:fill="auto" w:val="clear"/>
          </w:tcPr>
          <w:p>
            <w:pPr>
              <w:pStyle w:val="Style48"/>
              <w:widowControl w:val="false"/>
              <w:spacing w:before="0" w:after="0"/>
              <w:contextualSpacing/>
              <w:jc w:val="both"/>
              <w:rPr>
                <w:sz w:val="22"/>
                <w:lang w:val="ru-RU"/>
              </w:rPr>
            </w:pPr>
            <w:r>
              <w:rPr>
                <w:sz w:val="22"/>
                <w:lang w:val="ru-RU"/>
              </w:rPr>
              <w:t>Участником аукциона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в соответствии с настоящей документацией.</w:t>
            </w:r>
          </w:p>
        </w:tc>
      </w:tr>
      <w:tr>
        <w:trPr>
          <w:trHeight w:val="1312" w:hRule="atLeast"/>
        </w:trPr>
        <w:tc>
          <w:tcPr>
            <w:tcW w:w="810"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jc w:val="center"/>
              <w:rPr/>
            </w:pPr>
            <w:r>
              <w:rPr/>
            </w:r>
          </w:p>
        </w:tc>
        <w:tc>
          <w:tcPr>
            <w:tcW w:w="2427"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jc w:val="left"/>
              <w:rPr>
                <w:rFonts w:ascii="Times New Roman" w:hAnsi="Times New Roman"/>
              </w:rPr>
            </w:pPr>
            <w:r>
              <w:rPr/>
            </w:r>
          </w:p>
        </w:tc>
        <w:tc>
          <w:tcPr>
            <w:tcW w:w="673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numPr>
                <w:ilvl w:val="0"/>
                <w:numId w:val="41"/>
              </w:numPr>
              <w:tabs>
                <w:tab w:val="clear" w:pos="709"/>
              </w:tabs>
              <w:spacing w:before="0" w:after="0"/>
              <w:ind w:left="0" w:right="0" w:firstLine="360"/>
              <w:contextualSpacing/>
              <w:rPr>
                <w:sz w:val="22"/>
                <w:lang w:val="ru-RU"/>
              </w:rPr>
            </w:pPr>
            <w:r>
              <w:rPr>
                <w:sz w:val="22"/>
                <w:lang w:val="ru-RU"/>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pPr>
              <w:pStyle w:val="Normal"/>
              <w:widowControl w:val="false"/>
              <w:numPr>
                <w:ilvl w:val="0"/>
                <w:numId w:val="41"/>
              </w:numPr>
              <w:tabs>
                <w:tab w:val="clear" w:pos="709"/>
              </w:tabs>
              <w:spacing w:before="0" w:after="0"/>
              <w:ind w:left="0" w:right="0" w:firstLine="360"/>
              <w:contextualSpacing/>
              <w:rPr/>
            </w:pPr>
            <w:r>
              <w:rPr>
                <w:sz w:val="22"/>
                <w:lang w:val="ru-RU"/>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pPr>
              <w:pStyle w:val="Normal"/>
              <w:widowControl w:val="false"/>
              <w:numPr>
                <w:ilvl w:val="0"/>
                <w:numId w:val="41"/>
              </w:numPr>
              <w:tabs>
                <w:tab w:val="clear" w:pos="709"/>
              </w:tabs>
              <w:spacing w:before="0" w:after="0"/>
              <w:ind w:left="0" w:right="0" w:firstLine="360"/>
              <w:contextualSpacing/>
              <w:rPr>
                <w:sz w:val="22"/>
                <w:lang w:val="ru-RU"/>
              </w:rPr>
            </w:pPr>
            <w:r>
              <w:rPr>
                <w:sz w:val="22"/>
                <w:lang w:val="ru-RU"/>
              </w:rPr>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pPr>
              <w:pStyle w:val="Normal"/>
              <w:widowControl w:val="false"/>
              <w:numPr>
                <w:ilvl w:val="0"/>
                <w:numId w:val="41"/>
              </w:numPr>
              <w:tabs>
                <w:tab w:val="clear" w:pos="709"/>
              </w:tabs>
              <w:spacing w:before="0" w:after="0"/>
              <w:ind w:left="0" w:right="0" w:firstLine="360"/>
              <w:contextualSpacing/>
              <w:rPr>
                <w:sz w:val="22"/>
                <w:lang w:val="ru-RU"/>
              </w:rPr>
            </w:pPr>
            <w:r>
              <w:rPr>
                <w:sz w:val="22"/>
                <w:lang w:val="ru-RU"/>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указанной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pPr>
              <w:pStyle w:val="Normal"/>
              <w:widowControl w:val="false"/>
              <w:numPr>
                <w:ilvl w:val="0"/>
                <w:numId w:val="41"/>
              </w:numPr>
              <w:tabs>
                <w:tab w:val="clear" w:pos="709"/>
              </w:tabs>
              <w:spacing w:before="0" w:after="0"/>
              <w:ind w:left="0" w:right="0" w:firstLine="360"/>
              <w:contextualSpacing/>
              <w:rPr>
                <w:sz w:val="22"/>
                <w:lang w:val="ru-RU"/>
              </w:rPr>
            </w:pPr>
            <w:r>
              <w:rPr>
                <w:sz w:val="22"/>
                <w:lang w:val="ru-RU"/>
              </w:rPr>
              <w:t>отсутствие в предусмотренном федеральными законами № 223-ФЗ и № 44-ФЗ реестре недобросовестных поставщиков (подрядчиков, исполнителей) информации об участнике закупки;</w:t>
            </w:r>
          </w:p>
          <w:p>
            <w:pPr>
              <w:pStyle w:val="Normal"/>
              <w:widowControl w:val="false"/>
              <w:numPr>
                <w:ilvl w:val="0"/>
                <w:numId w:val="41"/>
              </w:numPr>
              <w:tabs>
                <w:tab w:val="clear" w:pos="709"/>
              </w:tabs>
              <w:spacing w:before="0" w:after="0"/>
              <w:ind w:left="0" w:right="0" w:firstLine="360"/>
              <w:contextualSpacing/>
              <w:rPr>
                <w:sz w:val="22"/>
                <w:lang w:val="ru-RU"/>
              </w:rPr>
            </w:pPr>
            <w:r>
              <w:rPr>
                <w:sz w:val="22"/>
                <w:lang w:val="ru-RU"/>
              </w:rPr>
              <w:t>обладание участниками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pPr>
              <w:pStyle w:val="Normal"/>
              <w:widowControl w:val="false"/>
              <w:numPr>
                <w:ilvl w:val="0"/>
                <w:numId w:val="41"/>
              </w:numPr>
              <w:tabs>
                <w:tab w:val="clear" w:pos="709"/>
              </w:tabs>
              <w:spacing w:before="0" w:after="0"/>
              <w:ind w:left="0" w:right="0" w:firstLine="360"/>
              <w:contextualSpacing/>
              <w:rPr>
                <w:sz w:val="22"/>
                <w:lang w:val="ru-RU"/>
              </w:rPr>
            </w:pPr>
            <w:r>
              <w:rPr>
                <w:sz w:val="22"/>
                <w:lang w:val="ru-RU"/>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pPr>
              <w:pStyle w:val="Normal"/>
              <w:widowControl w:val="false"/>
              <w:numPr>
                <w:ilvl w:val="0"/>
                <w:numId w:val="41"/>
              </w:numPr>
              <w:tabs>
                <w:tab w:val="clear" w:pos="709"/>
              </w:tabs>
              <w:spacing w:before="0" w:after="0"/>
              <w:ind w:left="0" w:right="0" w:firstLine="360"/>
              <w:contextualSpacing/>
              <w:rPr/>
            </w:pPr>
            <w:r>
              <w:rPr>
                <w:sz w:val="22"/>
                <w:lang w:val="ru-RU"/>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pPr>
              <w:pStyle w:val="Normal"/>
              <w:widowControl w:val="false"/>
              <w:numPr>
                <w:ilvl w:val="0"/>
                <w:numId w:val="41"/>
              </w:numPr>
              <w:tabs>
                <w:tab w:val="clear" w:pos="709"/>
              </w:tabs>
              <w:spacing w:before="0" w:after="0"/>
              <w:ind w:left="0" w:right="0" w:firstLine="360"/>
              <w:contextualSpacing/>
              <w:jc w:val="left"/>
              <w:rPr>
                <w:sz w:val="22"/>
                <w:lang w:val="ru-RU"/>
              </w:rPr>
            </w:pPr>
            <w:r>
              <w:rPr>
                <w:sz w:val="22"/>
                <w:lang w:val="ru-RU"/>
              </w:rPr>
              <w:t>участник закупки не является офшорной компанией;</w:t>
            </w:r>
          </w:p>
          <w:p>
            <w:pPr>
              <w:pStyle w:val="Normal"/>
              <w:widowControl w:val="false"/>
              <w:numPr>
                <w:ilvl w:val="0"/>
                <w:numId w:val="41"/>
              </w:numPr>
              <w:tabs>
                <w:tab w:val="clear" w:pos="709"/>
              </w:tabs>
              <w:spacing w:before="0" w:after="0"/>
              <w:ind w:left="0" w:right="0" w:firstLine="360"/>
              <w:contextualSpacing/>
              <w:jc w:val="left"/>
              <w:rPr>
                <w:sz w:val="22"/>
                <w:lang w:val="ru-RU"/>
              </w:rPr>
            </w:pPr>
            <w:r>
              <w:rPr>
                <w:sz w:val="22"/>
                <w:lang w:val="ru-RU"/>
              </w:rPr>
              <w:t>отсутствие у участника закупки ограничений для участия в закупках, установленных законодательством Российской Федерации.</w:t>
            </w:r>
          </w:p>
        </w:tc>
      </w:tr>
      <w:tr>
        <w:trPr/>
        <w:tc>
          <w:tcPr>
            <w:tcW w:w="810" w:type="dxa"/>
            <w:tcBorders>
              <w:top w:val="single" w:sz="4" w:space="0" w:color="000000"/>
              <w:left w:val="single" w:sz="4" w:space="0" w:color="000000"/>
              <w:bottom w:val="single" w:sz="4" w:space="0" w:color="000000"/>
              <w:right w:val="single" w:sz="4" w:space="0" w:color="000000"/>
            </w:tcBorders>
            <w:shd w:fill="auto" w:val="clear"/>
          </w:tcPr>
          <w:p>
            <w:pPr>
              <w:pStyle w:val="Style48"/>
              <w:widowControl w:val="false"/>
              <w:spacing w:before="0" w:after="0"/>
              <w:ind w:left="0" w:right="0" w:hanging="0"/>
              <w:contextualSpacing/>
              <w:jc w:val="center"/>
              <w:rPr>
                <w:sz w:val="22"/>
                <w:lang w:val="ru-RU"/>
              </w:rPr>
            </w:pPr>
            <w:r>
              <w:rPr>
                <w:sz w:val="22"/>
                <w:lang w:val="ru-RU"/>
              </w:rPr>
              <w:t>8.</w:t>
            </w:r>
          </w:p>
        </w:tc>
        <w:tc>
          <w:tcPr>
            <w:tcW w:w="2427" w:type="dxa"/>
            <w:tcBorders>
              <w:top w:val="single" w:sz="4" w:space="0" w:color="000000"/>
              <w:left w:val="single" w:sz="4" w:space="0" w:color="000000"/>
              <w:bottom w:val="single" w:sz="4" w:space="0" w:color="000000"/>
              <w:right w:val="single" w:sz="4" w:space="0" w:color="000000"/>
            </w:tcBorders>
            <w:shd w:fill="auto" w:val="clear"/>
          </w:tcPr>
          <w:p>
            <w:pPr>
              <w:pStyle w:val="Style48"/>
              <w:widowControl w:val="false"/>
              <w:spacing w:before="0" w:after="0"/>
              <w:contextualSpacing/>
              <w:jc w:val="left"/>
              <w:rPr>
                <w:rFonts w:ascii="Times New Roman" w:hAnsi="Times New Roman"/>
                <w:sz w:val="22"/>
                <w:lang w:val="ru-RU"/>
              </w:rPr>
            </w:pPr>
            <w:r>
              <w:rPr>
                <w:sz w:val="22"/>
                <w:lang w:val="ru-RU"/>
              </w:rPr>
              <w:t>Установление приоритета  товаров российского происхождения, работ, услуг</w:t>
            </w:r>
          </w:p>
        </w:tc>
        <w:tc>
          <w:tcPr>
            <w:tcW w:w="6738" w:type="dxa"/>
            <w:tcBorders>
              <w:top w:val="single" w:sz="4" w:space="0" w:color="000000"/>
              <w:left w:val="single" w:sz="4" w:space="0" w:color="000000"/>
              <w:bottom w:val="single" w:sz="4" w:space="0" w:color="000000"/>
              <w:right w:val="single" w:sz="4" w:space="0" w:color="000000"/>
            </w:tcBorders>
            <w:shd w:fill="auto" w:val="clear"/>
          </w:tcPr>
          <w:p>
            <w:pPr>
              <w:pStyle w:val="Style48"/>
              <w:widowControl w:val="false"/>
              <w:spacing w:before="0" w:after="0"/>
              <w:ind w:left="0" w:right="0" w:hanging="0"/>
              <w:contextualSpacing/>
              <w:jc w:val="both"/>
              <w:rPr>
                <w:sz w:val="22"/>
                <w:lang w:val="ru-RU"/>
              </w:rPr>
            </w:pPr>
            <w:r>
              <w:rPr>
                <w:sz w:val="22"/>
                <w:lang w:val="ru-RU"/>
              </w:rPr>
              <w:t>Не установлено</w:t>
            </w:r>
          </w:p>
        </w:tc>
      </w:tr>
      <w:tr>
        <w:trPr/>
        <w:tc>
          <w:tcPr>
            <w:tcW w:w="810" w:type="dxa"/>
            <w:tcBorders>
              <w:top w:val="single" w:sz="4" w:space="0" w:color="000000"/>
              <w:left w:val="single" w:sz="4" w:space="0" w:color="000000"/>
              <w:bottom w:val="single" w:sz="4" w:space="0" w:color="000000"/>
              <w:right w:val="single" w:sz="4" w:space="0" w:color="000000"/>
            </w:tcBorders>
            <w:shd w:fill="auto" w:val="clear"/>
          </w:tcPr>
          <w:p>
            <w:pPr>
              <w:pStyle w:val="Style48"/>
              <w:widowControl w:val="false"/>
              <w:numPr>
                <w:ilvl w:val="0"/>
                <w:numId w:val="0"/>
              </w:numPr>
              <w:spacing w:before="0" w:after="0"/>
              <w:ind w:left="360" w:right="0" w:hanging="0"/>
              <w:contextualSpacing/>
              <w:jc w:val="center"/>
              <w:rPr>
                <w:sz w:val="22"/>
                <w:lang w:val="ru-RU"/>
              </w:rPr>
            </w:pPr>
            <w:r>
              <w:rPr>
                <w:sz w:val="22"/>
                <w:lang w:val="ru-RU"/>
              </w:rPr>
              <w:t>9.</w:t>
            </w:r>
          </w:p>
        </w:tc>
        <w:tc>
          <w:tcPr>
            <w:tcW w:w="2427" w:type="dxa"/>
            <w:tcBorders>
              <w:top w:val="single" w:sz="4" w:space="0" w:color="000000"/>
              <w:left w:val="single" w:sz="4" w:space="0" w:color="000000"/>
              <w:bottom w:val="single" w:sz="4" w:space="0" w:color="000000"/>
              <w:right w:val="single" w:sz="4" w:space="0" w:color="000000"/>
            </w:tcBorders>
            <w:shd w:fill="auto" w:val="clear"/>
          </w:tcPr>
          <w:p>
            <w:pPr>
              <w:pStyle w:val="Style48"/>
              <w:widowControl w:val="false"/>
              <w:spacing w:before="0" w:after="0"/>
              <w:contextualSpacing/>
              <w:jc w:val="left"/>
              <w:rPr>
                <w:rFonts w:ascii="Times New Roman" w:hAnsi="Times New Roman"/>
                <w:sz w:val="22"/>
                <w:lang w:val="ru-RU"/>
              </w:rPr>
            </w:pPr>
            <w:r>
              <w:rPr>
                <w:sz w:val="22"/>
                <w:lang w:val="ru-RU"/>
              </w:rPr>
              <w:t>Формы заявки на участие в аукционе</w:t>
            </w:r>
          </w:p>
        </w:tc>
        <w:tc>
          <w:tcPr>
            <w:tcW w:w="6738" w:type="dxa"/>
            <w:tcBorders>
              <w:top w:val="single" w:sz="4" w:space="0" w:color="000000"/>
              <w:left w:val="single" w:sz="4" w:space="0" w:color="000000"/>
              <w:bottom w:val="single" w:sz="4" w:space="0" w:color="000000"/>
              <w:right w:val="single" w:sz="4" w:space="0" w:color="000000"/>
            </w:tcBorders>
            <w:shd w:fill="auto" w:val="clear"/>
          </w:tcPr>
          <w:p>
            <w:pPr>
              <w:pStyle w:val="4"/>
              <w:widowControl w:val="false"/>
              <w:tabs>
                <w:tab w:val="clear" w:pos="709"/>
                <w:tab w:val="left" w:pos="1276" w:leader="none"/>
                <w:tab w:val="left" w:pos="1418" w:leader="none"/>
                <w:tab w:val="left" w:pos="1560" w:leader="none"/>
              </w:tabs>
              <w:spacing w:before="0" w:after="0"/>
              <w:ind w:left="0" w:right="0" w:hanging="0"/>
              <w:rPr/>
            </w:pPr>
            <w:r>
              <w:rPr>
                <w:b w:val="false"/>
                <w:color w:val="000000"/>
                <w:sz w:val="22"/>
                <w:lang w:val="ru-RU"/>
              </w:rPr>
              <w:t>Заявки</w:t>
            </w:r>
            <w:r>
              <w:rPr>
                <w:b w:val="false"/>
                <w:sz w:val="22"/>
                <w:lang w:val="ru-RU"/>
              </w:rPr>
              <w:t xml:space="preserve"> Участн</w:t>
            </w:r>
            <w:r>
              <w:rPr>
                <w:b w:val="false"/>
                <w:color w:val="000000"/>
                <w:sz w:val="22"/>
                <w:lang w:val="ru-RU"/>
              </w:rPr>
              <w:t>иков закупки подаются в форме электронного документа с использованием ЭП в срок, по форме и в порядке, установленными извещением и настоящей документацией, а также регламентом ЭП.</w:t>
            </w:r>
          </w:p>
          <w:p>
            <w:pPr>
              <w:pStyle w:val="4"/>
              <w:widowControl w:val="false"/>
              <w:tabs>
                <w:tab w:val="clear" w:pos="709"/>
                <w:tab w:val="left" w:pos="1276" w:leader="none"/>
                <w:tab w:val="left" w:pos="1418" w:leader="none"/>
                <w:tab w:val="left" w:pos="1560" w:leader="none"/>
              </w:tabs>
              <w:spacing w:before="0" w:after="0"/>
              <w:ind w:left="0" w:right="0" w:hanging="0"/>
              <w:rPr>
                <w:b w:val="false"/>
                <w:b w:val="false"/>
                <w:color w:val="000000"/>
                <w:sz w:val="22"/>
                <w:lang w:val="ru-RU"/>
              </w:rPr>
            </w:pPr>
            <w:r>
              <w:rPr>
                <w:b w:val="false"/>
                <w:color w:val="000000"/>
                <w:sz w:val="22"/>
                <w:lang w:val="ru-RU"/>
              </w:rPr>
              <w:t>Документы и формы, предусмотренные настоящей документацией и входящие в состав заявки, должны быть предоставлены Участником закупки через ЭП в доступном для прочтения виде.</w:t>
            </w:r>
          </w:p>
        </w:tc>
      </w:tr>
      <w:tr>
        <w:trPr>
          <w:trHeight w:val="1425" w:hRule="atLeast"/>
        </w:trPr>
        <w:tc>
          <w:tcPr>
            <w:tcW w:w="810" w:type="dxa"/>
            <w:tcBorders>
              <w:top w:val="single" w:sz="4" w:space="0" w:color="000000"/>
              <w:left w:val="single" w:sz="4" w:space="0" w:color="000000"/>
              <w:bottom w:val="single" w:sz="4" w:space="0" w:color="000000"/>
              <w:right w:val="single" w:sz="4" w:space="0" w:color="000000"/>
            </w:tcBorders>
            <w:shd w:fill="auto" w:val="clear"/>
          </w:tcPr>
          <w:p>
            <w:pPr>
              <w:pStyle w:val="Style48"/>
              <w:widowControl w:val="false"/>
              <w:spacing w:before="0" w:after="0"/>
              <w:ind w:left="0" w:right="0" w:hanging="0"/>
              <w:contextualSpacing/>
              <w:jc w:val="center"/>
              <w:rPr>
                <w:sz w:val="22"/>
                <w:lang w:val="ru-RU"/>
              </w:rPr>
            </w:pPr>
            <w:r>
              <w:rPr>
                <w:sz w:val="22"/>
                <w:lang w:val="ru-RU"/>
              </w:rPr>
              <w:t>10.</w:t>
            </w:r>
          </w:p>
        </w:tc>
        <w:tc>
          <w:tcPr>
            <w:tcW w:w="2427" w:type="dxa"/>
            <w:tcBorders>
              <w:top w:val="single" w:sz="4" w:space="0" w:color="000000"/>
              <w:left w:val="single" w:sz="4" w:space="0" w:color="000000"/>
              <w:bottom w:val="single" w:sz="4" w:space="0" w:color="000000"/>
              <w:right w:val="single" w:sz="4" w:space="0" w:color="000000"/>
            </w:tcBorders>
            <w:shd w:fill="auto" w:val="clear"/>
          </w:tcPr>
          <w:p>
            <w:pPr>
              <w:pStyle w:val="Style48"/>
              <w:widowControl w:val="false"/>
              <w:spacing w:before="0" w:after="0"/>
              <w:contextualSpacing/>
              <w:jc w:val="left"/>
              <w:rPr>
                <w:rFonts w:ascii="Times New Roman" w:hAnsi="Times New Roman"/>
                <w:sz w:val="22"/>
                <w:lang w:val="ru-RU"/>
              </w:rPr>
            </w:pPr>
            <w:r>
              <w:rPr>
                <w:sz w:val="22"/>
                <w:lang w:val="ru-RU"/>
              </w:rPr>
              <w:t>Документы, входящие в состав заявки на участие в аукционе</w:t>
            </w:r>
          </w:p>
        </w:tc>
        <w:tc>
          <w:tcPr>
            <w:tcW w:w="6738" w:type="dxa"/>
            <w:tcBorders>
              <w:top w:val="single" w:sz="4" w:space="0" w:color="000000"/>
              <w:left w:val="single" w:sz="4" w:space="0" w:color="000000"/>
              <w:bottom w:val="single" w:sz="4" w:space="0" w:color="000000"/>
              <w:right w:val="single" w:sz="4" w:space="0" w:color="000000"/>
            </w:tcBorders>
            <w:shd w:fill="auto" w:val="clear"/>
          </w:tcPr>
          <w:p>
            <w:pPr>
              <w:pStyle w:val="ListParagraph"/>
              <w:widowControl w:val="false"/>
              <w:tabs>
                <w:tab w:val="clear" w:pos="709"/>
                <w:tab w:val="left" w:pos="142" w:leader="none"/>
                <w:tab w:val="left" w:pos="1418" w:leader="none"/>
              </w:tabs>
              <w:ind w:left="0" w:right="0" w:hanging="0"/>
              <w:rPr/>
            </w:pPr>
            <w:r>
              <w:rPr>
                <w:rStyle w:val="Blk"/>
                <w:b/>
                <w:sz w:val="24"/>
                <w:szCs w:val="24"/>
                <w:lang w:val="ru-RU"/>
              </w:rPr>
              <w:t>Первая часть заявки</w:t>
            </w:r>
            <w:r>
              <w:rPr>
                <w:rStyle w:val="Blk"/>
                <w:sz w:val="24"/>
                <w:szCs w:val="24"/>
                <w:lang w:val="ru-RU"/>
              </w:rPr>
              <w:t xml:space="preserve"> на участие в электронном аукционе должна содержать указанную в одном из следующих пунктов информацию:</w:t>
            </w:r>
          </w:p>
          <w:p>
            <w:pPr>
              <w:pStyle w:val="ListParagraph"/>
              <w:widowControl w:val="false"/>
              <w:shd w:val="clear" w:fill="FFFFFF"/>
              <w:tabs>
                <w:tab w:val="clear" w:pos="709"/>
                <w:tab w:val="left" w:pos="993" w:leader="none"/>
              </w:tabs>
              <w:ind w:left="0" w:right="0" w:hanging="0"/>
              <w:rPr/>
            </w:pPr>
            <w:r>
              <w:rPr>
                <w:rStyle w:val="Blk"/>
                <w:sz w:val="24"/>
                <w:szCs w:val="24"/>
                <w:lang w:val="ru-RU"/>
              </w:rPr>
              <w:t xml:space="preserve">При заключении договора на выполнение работы или </w:t>
            </w:r>
            <w:r>
              <w:rPr>
                <w:rStyle w:val="Blk"/>
                <w:b/>
                <w:bCs/>
                <w:sz w:val="24"/>
                <w:szCs w:val="24"/>
                <w:u w:val="single"/>
                <w:lang w:val="ru-RU"/>
              </w:rPr>
              <w:t>оказание услуги,</w:t>
            </w:r>
            <w:r>
              <w:rPr>
                <w:rStyle w:val="Blk"/>
                <w:sz w:val="24"/>
                <w:szCs w:val="24"/>
                <w:lang w:val="ru-RU"/>
              </w:rPr>
              <w:t xml:space="preserve"> для выполнения или оказания которых используется товар:</w:t>
            </w:r>
          </w:p>
          <w:p>
            <w:pPr>
              <w:pStyle w:val="ListParagraph"/>
              <w:widowControl w:val="false"/>
              <w:shd w:val="clear" w:fill="FFFFFF"/>
              <w:tabs>
                <w:tab w:val="clear" w:pos="709"/>
                <w:tab w:val="left" w:pos="993" w:leader="none"/>
              </w:tabs>
              <w:ind w:left="0" w:right="0" w:hanging="0"/>
              <w:rPr/>
            </w:pPr>
            <w:r>
              <w:rPr>
                <w:rStyle w:val="Blk"/>
                <w:b w:val="false"/>
                <w:bCs w:val="false"/>
                <w:sz w:val="24"/>
                <w:szCs w:val="24"/>
                <w:lang w:val="ru-RU"/>
              </w:rPr>
              <w:t>а) согласие, предусмотренное настоящей документацией, в том числе согласие на использование товара,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p>
            <w:pPr>
              <w:pStyle w:val="ListParagraph"/>
              <w:widowControl w:val="false"/>
              <w:shd w:val="clear" w:fill="FFFFFF"/>
              <w:tabs>
                <w:tab w:val="clear" w:pos="709"/>
                <w:tab w:val="left" w:pos="993" w:leader="none"/>
              </w:tabs>
              <w:ind w:left="0" w:right="0" w:hanging="0"/>
              <w:rPr/>
            </w:pPr>
            <w:r>
              <w:rPr>
                <w:rStyle w:val="Blk"/>
                <w:b w:val="false"/>
                <w:bCs w:val="false"/>
                <w:sz w:val="24"/>
                <w:szCs w:val="24"/>
                <w:lang w:val="ru-RU"/>
              </w:rPr>
              <w:t>б)  в случае, если документацией о проведении аукциона указана возможность о допуске к  аукциону заявок, содержащих в себе предложение о поставке эквивалентных товаров, которые будут использованы при выполнении работ или оказании услуг по договор</w:t>
            </w:r>
            <w:r>
              <w:rPr>
                <w:rStyle w:val="Blk"/>
                <w:b w:val="false"/>
                <w:bCs w:val="false"/>
                <w:sz w:val="24"/>
                <w:szCs w:val="24"/>
                <w:u w:val="none"/>
                <w:lang w:val="ru-RU"/>
              </w:rPr>
              <w:t>у, согласие, предусмотренное настоящей документацией, а так 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w:t>
            </w:r>
            <w:r>
              <w:rPr>
                <w:rStyle w:val="Blk"/>
                <w:b w:val="false"/>
                <w:bCs w:val="false"/>
                <w:sz w:val="24"/>
                <w:szCs w:val="24"/>
                <w:lang w:val="ru-RU"/>
              </w:rPr>
              <w:t xml:space="preserve">ри наличии), а при его отсутствии объяснение в произвольной форме причин не указания товарного знака в заявке участника, знак обслуживания (при наличии), фирменное наименование (при наличии), патенты (при наличии), </w:t>
            </w:r>
            <w:r>
              <w:rPr>
                <w:rStyle w:val="Blk"/>
                <w:sz w:val="24"/>
                <w:szCs w:val="24"/>
                <w:lang w:val="ru-RU"/>
              </w:rPr>
              <w:t>полезные модели (при наличии), промышленные образцы (при наличии), наименование страны происхождения товара.</w:t>
            </w:r>
          </w:p>
          <w:p>
            <w:pPr>
              <w:pStyle w:val="ListParagraph"/>
              <w:widowControl w:val="false"/>
              <w:shd w:val="clear" w:fill="FFFFFF"/>
              <w:tabs>
                <w:tab w:val="clear" w:pos="709"/>
                <w:tab w:val="left" w:pos="993" w:leader="none"/>
              </w:tabs>
              <w:ind w:left="0" w:right="0" w:hanging="0"/>
              <w:rPr/>
            </w:pPr>
            <w:bookmarkStart w:id="51" w:name="dst1008551"/>
            <w:bookmarkEnd w:id="51"/>
            <w:r>
              <w:rPr>
                <w:rStyle w:val="Blk"/>
                <w:bCs/>
                <w:sz w:val="22"/>
                <w:u w:val="none"/>
                <w:lang w:val="ru-RU" w:eastAsia="ru-RU"/>
              </w:rPr>
              <w:t xml:space="preserve">Первая часть заявки на участие в электронном аукционе, предусмотренная </w:t>
            </w:r>
            <w:r>
              <w:rPr>
                <w:rStyle w:val="Appleconvertedspace"/>
                <w:bCs/>
                <w:sz w:val="22"/>
                <w:u w:val="none"/>
                <w:lang w:val="ru-RU" w:eastAsia="ru-RU"/>
              </w:rPr>
              <w:t xml:space="preserve"> </w:t>
            </w:r>
            <w:r>
              <w:rPr>
                <w:rStyle w:val="Blk"/>
                <w:bCs/>
                <w:sz w:val="22"/>
                <w:u w:val="none"/>
                <w:lang w:val="ru-RU" w:eastAsia="ru-RU"/>
              </w:rPr>
              <w:t>настоящей документацией, может содержать эскиз, рисунок, чертеж, фотографию, иное изображение товара, на поставку которого заключается договор.</w:t>
            </w:r>
          </w:p>
          <w:p>
            <w:pPr>
              <w:pStyle w:val="ListParagraph"/>
              <w:widowControl w:val="false"/>
              <w:shd w:val="clear" w:fill="FFFFFF"/>
              <w:tabs>
                <w:tab w:val="clear" w:pos="709"/>
                <w:tab w:val="left" w:pos="993" w:leader="none"/>
              </w:tabs>
              <w:ind w:left="0" w:right="0" w:hanging="0"/>
              <w:rPr/>
            </w:pPr>
            <w:r>
              <w:rPr>
                <w:b/>
                <w:sz w:val="22"/>
                <w:lang w:val="ru-RU"/>
              </w:rPr>
              <w:t>Вторая часть заявки</w:t>
            </w:r>
            <w:r>
              <w:rPr>
                <w:sz w:val="22"/>
                <w:lang w:val="ru-RU"/>
              </w:rPr>
              <w:t xml:space="preserve"> на участие в электронном аукционе должна содержать следующие документы и информацию:</w:t>
            </w:r>
          </w:p>
          <w:p>
            <w:pPr>
              <w:pStyle w:val="ListParagraph"/>
              <w:widowControl w:val="false"/>
              <w:shd w:val="clear" w:fill="FFFFFF"/>
              <w:tabs>
                <w:tab w:val="clear" w:pos="709"/>
                <w:tab w:val="left" w:pos="993" w:leader="none"/>
              </w:tabs>
              <w:ind w:left="0" w:right="0" w:hanging="0"/>
              <w:rPr>
                <w:sz w:val="22"/>
                <w:lang w:val="ru-RU"/>
              </w:rPr>
            </w:pPr>
            <w:r>
              <w:rPr>
                <w:sz w:val="22"/>
                <w:lang w:val="ru-RU"/>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банковские реквизиты участника закупки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p>
          <w:p>
            <w:pPr>
              <w:pStyle w:val="ListParagraph"/>
              <w:widowControl w:val="false"/>
              <w:shd w:val="clear" w:fill="FFFFFF"/>
              <w:tabs>
                <w:tab w:val="clear" w:pos="709"/>
                <w:tab w:val="left" w:pos="993" w:leader="none"/>
              </w:tabs>
              <w:ind w:left="0" w:right="0" w:hanging="0"/>
              <w:rPr>
                <w:sz w:val="22"/>
                <w:lang w:val="ru-RU"/>
              </w:rPr>
            </w:pPr>
            <w:r>
              <w:rPr>
                <w:sz w:val="22"/>
                <w:lang w:val="ru-RU"/>
              </w:rPr>
              <w:t>2)  копии учредительных документов участника закупки;</w:t>
            </w:r>
          </w:p>
          <w:p>
            <w:pPr>
              <w:pStyle w:val="ListParagraph"/>
              <w:widowControl w:val="false"/>
              <w:shd w:val="clear" w:fill="FFFFFF"/>
              <w:tabs>
                <w:tab w:val="clear" w:pos="709"/>
                <w:tab w:val="left" w:pos="993" w:leader="none"/>
              </w:tabs>
              <w:ind w:left="0" w:right="0" w:hanging="0"/>
              <w:rPr>
                <w:sz w:val="22"/>
                <w:highlight w:val="white"/>
                <w:lang w:val="ru-RU"/>
              </w:rPr>
            </w:pPr>
            <w:r>
              <w:rPr>
                <w:sz w:val="22"/>
                <w:highlight w:val="white"/>
                <w:lang w:val="ru-RU"/>
              </w:rPr>
              <w:t>3) документы, подтверждающие соответствие участника такого аукциона требованиям, установленным документацией о проведении электронного аукциона;</w:t>
            </w:r>
          </w:p>
          <w:p>
            <w:pPr>
              <w:pStyle w:val="ListParagraph"/>
              <w:widowControl w:val="false"/>
              <w:shd w:val="clear" w:fill="FFFFFF"/>
              <w:tabs>
                <w:tab w:val="clear" w:pos="709"/>
                <w:tab w:val="left" w:pos="993" w:leader="none"/>
              </w:tabs>
              <w:ind w:left="0" w:right="0" w:hanging="0"/>
              <w:rPr/>
            </w:pPr>
            <w:r>
              <w:rPr>
                <w:sz w:val="22"/>
                <w:highlight w:val="white"/>
                <w:lang w:val="ru-RU"/>
              </w:rPr>
              <w:t>4)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pPr>
              <w:pStyle w:val="Normal"/>
              <w:widowControl w:val="false"/>
              <w:tabs>
                <w:tab w:val="clear" w:pos="709"/>
                <w:tab w:val="left" w:pos="993" w:leader="none"/>
              </w:tabs>
              <w:ind w:left="0" w:right="0" w:hanging="0"/>
              <w:rPr>
                <w:sz w:val="22"/>
                <w:highlight w:val="white"/>
                <w:lang w:val="ru-RU"/>
              </w:rPr>
            </w:pPr>
            <w:r>
              <w:rPr>
                <w:sz w:val="22"/>
                <w:highlight w:val="white"/>
                <w:lang w:val="ru-RU"/>
              </w:rPr>
              <w:t xml:space="preserve">5) документ, подтверждающий полномочия лица на осуществление действий от имени участника аукциона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w:t>
            </w:r>
            <w:r>
              <w:rPr>
                <w:rFonts w:eastAsia="Times New Roman" w:cs="Times New Roman"/>
                <w:color w:val="auto"/>
                <w:kern w:val="0"/>
                <w:sz w:val="22"/>
                <w:szCs w:val="22"/>
                <w:highlight w:val="white"/>
                <w:lang w:val="ru-RU" w:eastAsia="en-US" w:bidi="en-US"/>
              </w:rPr>
              <w:t>аукциона</w:t>
            </w:r>
            <w:r>
              <w:rPr>
                <w:sz w:val="22"/>
                <w:highlight w:val="white"/>
                <w:lang w:val="ru-RU"/>
              </w:rPr>
              <w:t xml:space="preserve"> без доверенности (далее в настоящей статье – руководитель). В случае, если от имени участника аукциона действует иное лицо, заявка на участие в аукционе должна содержать также доверенность на осуществление действий от имени участника аукциона, заверенную печатью участника аукциона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аукционе должна содержать также документ, подтверждающий полномочия такого лица;</w:t>
            </w:r>
          </w:p>
          <w:p>
            <w:pPr>
              <w:pStyle w:val="Normal"/>
              <w:widowControl w:val="false"/>
              <w:tabs>
                <w:tab w:val="clear" w:pos="709"/>
                <w:tab w:val="left" w:pos="993" w:leader="none"/>
              </w:tabs>
              <w:ind w:left="0" w:right="0" w:hanging="0"/>
              <w:rPr/>
            </w:pPr>
            <w:r>
              <w:rPr>
                <w:sz w:val="22"/>
                <w:highlight w:val="white"/>
                <w:lang w:val="ru-RU"/>
              </w:rPr>
              <w:t>6)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w:t>
            </w:r>
            <w:r>
              <w:rPr>
                <w:rStyle w:val="Appleconvertedspace"/>
                <w:sz w:val="22"/>
                <w:highlight w:val="white"/>
                <w:lang w:val="ru-RU"/>
              </w:rPr>
              <w:t> </w:t>
            </w:r>
            <w:r>
              <w:rPr>
                <w:sz w:val="22"/>
                <w:lang w:val="ru-RU"/>
              </w:rPr>
              <w:t>законодательством</w:t>
            </w:r>
            <w:r>
              <w:rPr>
                <w:rStyle w:val="Appleconvertedspace"/>
                <w:sz w:val="22"/>
                <w:highlight w:val="white"/>
                <w:lang w:val="ru-RU"/>
              </w:rPr>
              <w:t> </w:t>
            </w:r>
            <w:r>
              <w:rPr>
                <w:sz w:val="22"/>
                <w:highlight w:val="white"/>
                <w:lang w:val="ru-RU"/>
              </w:rPr>
              <w:t xml:space="preserve">Российской Федерации, учредительными документами юридического лица и для участника открытого </w:t>
            </w:r>
            <w:r>
              <w:rPr>
                <w:rFonts w:eastAsia="Times New Roman" w:cs="Times New Roman"/>
                <w:color w:val="auto"/>
                <w:kern w:val="0"/>
                <w:sz w:val="22"/>
                <w:szCs w:val="22"/>
                <w:highlight w:val="white"/>
                <w:lang w:val="ru-RU" w:eastAsia="en-US" w:bidi="en-US"/>
              </w:rPr>
              <w:t>аукциона</w:t>
            </w:r>
            <w:r>
              <w:rPr>
                <w:sz w:val="22"/>
                <w:highlight w:val="white"/>
                <w:lang w:val="ru-RU"/>
              </w:rPr>
              <w:t xml:space="preserve">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обеспечения исполнения договора является крупной сделкой, или письмо, составленное в произвольной форме, в котором участник закупки объясняет отсутствие в заявке решения об одобрении или о совершении крупной сделки;</w:t>
            </w:r>
          </w:p>
          <w:p>
            <w:pPr>
              <w:pStyle w:val="Normal"/>
              <w:widowControl w:val="false"/>
              <w:tabs>
                <w:tab w:val="clear" w:pos="709"/>
                <w:tab w:val="left" w:pos="993" w:leader="none"/>
              </w:tabs>
              <w:ind w:left="0" w:right="0" w:hanging="0"/>
              <w:rPr/>
            </w:pPr>
            <w:r>
              <w:rPr>
                <w:rFonts w:eastAsia="Times New Roman" w:cs="Times New Roman"/>
                <w:color w:val="auto"/>
                <w:kern w:val="0"/>
                <w:sz w:val="22"/>
                <w:szCs w:val="22"/>
                <w:lang w:val="ru-RU" w:eastAsia="en-US" w:bidi="en-US"/>
              </w:rPr>
              <w:t>7</w:t>
            </w:r>
            <w:r>
              <w:rPr>
                <w:sz w:val="22"/>
                <w:lang w:val="ru-RU"/>
              </w:rPr>
              <w:t>)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w:t>
            </w:r>
          </w:p>
          <w:p>
            <w:pPr>
              <w:pStyle w:val="Normal"/>
              <w:widowControl w:val="false"/>
              <w:tabs>
                <w:tab w:val="clear" w:pos="709"/>
                <w:tab w:val="left" w:pos="993" w:leader="none"/>
              </w:tabs>
              <w:ind w:left="0" w:right="0" w:hanging="0"/>
              <w:rPr>
                <w:sz w:val="22"/>
                <w:lang w:val="ru-RU"/>
              </w:rPr>
            </w:pPr>
            <w:r>
              <w:rPr>
                <w:sz w:val="22"/>
                <w:lang w:val="ru-RU"/>
              </w:rPr>
              <w:t>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pPr>
              <w:pStyle w:val="Normal"/>
              <w:widowControl w:val="false"/>
              <w:tabs>
                <w:tab w:val="clear" w:pos="709"/>
                <w:tab w:val="left" w:pos="993" w:leader="none"/>
              </w:tabs>
              <w:ind w:left="0" w:right="0" w:hanging="0"/>
              <w:rPr>
                <w:sz w:val="22"/>
                <w:lang w:val="ru-RU"/>
              </w:rPr>
            </w:pPr>
            <w:r>
              <w:rPr>
                <w:sz w:val="22"/>
                <w:lang w:val="ru-RU"/>
              </w:rPr>
              <w:t>8)</w:t>
            </w:r>
            <w:r>
              <w:rPr>
                <w:rFonts w:cs="Times New Roman"/>
                <w:color w:val="000000"/>
                <w:sz w:val="22"/>
                <w:szCs w:val="22"/>
                <w:shd w:fill="FFFF00" w:val="clear"/>
                <w:lang w:val="ru-RU" w:eastAsia="ar-SA"/>
              </w:rPr>
              <w:t xml:space="preserve"> Предоставление образовательных услуг должно подтверждаться государственной аккредитацией на право оказывать услуги в области охраны труда согласно Приказа Минздравсоцразвития РФ от 01.04.2010 г. № 205н,  дополнительного образования согласно Закону Российской Федерации "Об образовании", Федерального закона "О высшем и послевузовском профессиональном образовании", а также других Федеральных законов, Постановлений Правительства и иных нормативных правовых актов Российской Федерации в области дополнительного образования, законов и иных нормативных правовых актов субъектов Российской Федерации в области дополнительного образования, то есть иметь лицензию и приложения (которые являются неотъемлемой частью лицензий) на осуществление образовательной деятельности по предмету объекта закупки согласно Федерального закона от 4 мая 2011 г.</w:t>
            </w:r>
            <w:r>
              <w:rPr>
                <w:rStyle w:val="Appleconvertedspace"/>
                <w:rFonts w:cs="Times New Roman"/>
                <w:color w:val="000000"/>
                <w:sz w:val="22"/>
                <w:szCs w:val="22"/>
                <w:shd w:fill="FFFF00" w:val="clear"/>
                <w:lang w:val="ru-RU" w:eastAsia="ar-SA"/>
              </w:rPr>
              <w:t> </w:t>
            </w:r>
            <w:r>
              <w:rPr>
                <w:rFonts w:cs="Times New Roman"/>
                <w:color w:val="000000"/>
                <w:sz w:val="22"/>
                <w:szCs w:val="22"/>
                <w:shd w:fill="FFFF00" w:val="clear"/>
                <w:lang w:val="ru-RU" w:eastAsia="ar-SA"/>
              </w:rPr>
              <w:t>№ 99-ФЗ</w:t>
            </w:r>
            <w:r>
              <w:rPr>
                <w:rStyle w:val="Appleconvertedspace"/>
                <w:rFonts w:cs="Times New Roman"/>
                <w:color w:val="000000"/>
                <w:sz w:val="22"/>
                <w:szCs w:val="22"/>
                <w:shd w:fill="FFFF00" w:val="clear"/>
                <w:lang w:val="ru-RU" w:eastAsia="ar-SA"/>
              </w:rPr>
              <w:t> </w:t>
            </w:r>
            <w:r>
              <w:rPr>
                <w:rFonts w:cs="Times New Roman"/>
                <w:color w:val="000000"/>
                <w:sz w:val="22"/>
                <w:szCs w:val="22"/>
                <w:shd w:fill="FFFF00" w:val="clear"/>
                <w:lang w:val="ru-RU" w:eastAsia="ar-SA"/>
              </w:rPr>
              <w:t>"О лицензировании отдельных видов деятельности".</w:t>
            </w:r>
          </w:p>
          <w:p>
            <w:pPr>
              <w:pStyle w:val="Normal"/>
              <w:widowControl w:val="false"/>
              <w:tabs>
                <w:tab w:val="clear" w:pos="709"/>
                <w:tab w:val="left" w:pos="993" w:leader="none"/>
              </w:tabs>
              <w:ind w:left="0" w:right="0" w:hanging="0"/>
              <w:rPr>
                <w:sz w:val="22"/>
                <w:lang w:val="ru-RU"/>
              </w:rPr>
            </w:pPr>
            <w:r>
              <w:rPr>
                <w:sz w:val="22"/>
                <w:lang w:val="ru-RU"/>
              </w:rPr>
              <w:t xml:space="preserve">9) </w:t>
            </w:r>
            <w:r>
              <w:rPr>
                <w:sz w:val="22"/>
                <w:szCs w:val="22"/>
                <w:shd w:fill="FFFF00" w:val="clear"/>
                <w:lang w:val="ru-RU"/>
              </w:rPr>
              <w:t xml:space="preserve">Участник закупки в составе </w:t>
            </w:r>
            <w:r>
              <w:rPr>
                <w:rFonts w:eastAsia="Times New Roman" w:cs="Calibri"/>
                <w:color w:val="000000"/>
                <w:kern w:val="0"/>
                <w:sz w:val="22"/>
                <w:szCs w:val="22"/>
                <w:shd w:fill="FFFF00" w:val="clear"/>
                <w:lang w:val="en-US" w:eastAsia="ru-RU" w:bidi="ar-SA"/>
              </w:rPr>
              <w:t>з</w:t>
            </w:r>
            <w:r>
              <w:rPr>
                <w:rFonts w:eastAsia="Times New Roman" w:cs="Calibri"/>
                <w:color w:val="000000"/>
                <w:kern w:val="0"/>
                <w:sz w:val="22"/>
                <w:szCs w:val="22"/>
                <w:shd w:fill="FFFF00" w:val="clear"/>
                <w:lang w:val="ru-RU" w:eastAsia="ru-RU" w:bidi="ar-SA"/>
              </w:rPr>
              <w:t>аявки</w:t>
            </w:r>
            <w:r>
              <w:rPr>
                <w:color w:val="000000"/>
                <w:sz w:val="22"/>
                <w:szCs w:val="22"/>
                <w:shd w:fill="FFFF00" w:val="clear"/>
                <w:lang w:val="ru-RU" w:eastAsia="ru-RU"/>
              </w:rPr>
              <w:t xml:space="preserve"> должен предоставить документы о дополнительном профессиональном образовании (повышении квалификации) преподавателей, обучающих приемам оказания первой помощи. Основание: Постановление Правительства РФ от 24.12.2021 N 2464 "О порядке обучения по охране труда и проверки знания требований охраны труда".</w:t>
            </w:r>
          </w:p>
          <w:p>
            <w:pPr>
              <w:pStyle w:val="ListParagraph"/>
              <w:widowControl w:val="false"/>
              <w:shd w:val="clear" w:fill="FFFFFF"/>
              <w:tabs>
                <w:tab w:val="clear" w:pos="709"/>
                <w:tab w:val="left" w:pos="142" w:leader="none"/>
                <w:tab w:val="left" w:pos="1418" w:leader="none"/>
              </w:tabs>
              <w:ind w:left="0" w:right="0" w:hanging="0"/>
              <w:rPr/>
            </w:pPr>
            <w:r>
              <w:rPr>
                <w:rStyle w:val="Blk"/>
                <w:bCs/>
                <w:sz w:val="22"/>
                <w:lang w:val="ru-RU" w:eastAsia="ru-RU"/>
              </w:rPr>
              <w:t>Заявка на участие в закупке может содержать эскиз, рисунок, чертеж, фотографию, иное изображение товара на поставку которого размещается закупка.</w:t>
            </w:r>
          </w:p>
        </w:tc>
      </w:tr>
      <w:tr>
        <w:trPr>
          <w:trHeight w:val="2197" w:hRule="atLeast"/>
        </w:trPr>
        <w:tc>
          <w:tcPr>
            <w:tcW w:w="810" w:type="dxa"/>
            <w:tcBorders>
              <w:top w:val="single" w:sz="4" w:space="0" w:color="000000"/>
              <w:left w:val="single" w:sz="4" w:space="0" w:color="000000"/>
              <w:bottom w:val="single" w:sz="4" w:space="0" w:color="000000"/>
              <w:right w:val="single" w:sz="4" w:space="0" w:color="000000"/>
            </w:tcBorders>
            <w:shd w:fill="auto" w:val="clear"/>
          </w:tcPr>
          <w:p>
            <w:pPr>
              <w:pStyle w:val="Style48"/>
              <w:widowControl w:val="false"/>
              <w:spacing w:before="0" w:after="0"/>
              <w:ind w:left="0" w:right="0" w:hanging="0"/>
              <w:contextualSpacing/>
              <w:jc w:val="center"/>
              <w:rPr>
                <w:sz w:val="22"/>
                <w:lang w:val="ru-RU"/>
              </w:rPr>
            </w:pPr>
            <w:r>
              <w:rPr>
                <w:sz w:val="22"/>
                <w:lang w:val="ru-RU"/>
              </w:rPr>
              <w:t>11.</w:t>
            </w:r>
          </w:p>
        </w:tc>
        <w:tc>
          <w:tcPr>
            <w:tcW w:w="2427" w:type="dxa"/>
            <w:tcBorders>
              <w:top w:val="single" w:sz="4" w:space="0" w:color="000000"/>
              <w:left w:val="single" w:sz="4" w:space="0" w:color="000000"/>
              <w:bottom w:val="single" w:sz="4" w:space="0" w:color="000000"/>
              <w:right w:val="single" w:sz="4" w:space="0" w:color="000000"/>
            </w:tcBorders>
            <w:shd w:fill="auto" w:val="clear"/>
          </w:tcPr>
          <w:p>
            <w:pPr>
              <w:pStyle w:val="Style48"/>
              <w:widowControl w:val="false"/>
              <w:spacing w:before="0" w:after="0"/>
              <w:contextualSpacing/>
              <w:jc w:val="left"/>
              <w:rPr>
                <w:rFonts w:ascii="Times New Roman" w:hAnsi="Times New Roman"/>
                <w:sz w:val="22"/>
                <w:lang w:val="ru-RU"/>
              </w:rPr>
            </w:pPr>
            <w:r>
              <w:rPr>
                <w:sz w:val="22"/>
                <w:lang w:val="ru-RU"/>
              </w:rPr>
              <w:t>Требования к предложениям о цене договора</w:t>
            </w:r>
          </w:p>
        </w:tc>
        <w:tc>
          <w:tcPr>
            <w:tcW w:w="6738" w:type="dxa"/>
            <w:tcBorders>
              <w:top w:val="single" w:sz="4" w:space="0" w:color="000000"/>
              <w:left w:val="single" w:sz="4" w:space="0" w:color="000000"/>
              <w:bottom w:val="single" w:sz="4" w:space="0" w:color="000000"/>
              <w:right w:val="single" w:sz="4" w:space="0" w:color="000000"/>
            </w:tcBorders>
            <w:shd w:fill="auto" w:val="clear"/>
          </w:tcPr>
          <w:p>
            <w:pPr>
              <w:pStyle w:val="Style48"/>
              <w:widowControl w:val="false"/>
              <w:spacing w:before="0" w:after="0"/>
              <w:contextualSpacing/>
              <w:jc w:val="both"/>
              <w:rPr>
                <w:sz w:val="22"/>
                <w:lang w:val="ru-RU"/>
              </w:rPr>
            </w:pPr>
            <w:r>
              <w:rPr>
                <w:sz w:val="22"/>
                <w:lang w:val="ru-RU"/>
              </w:rPr>
              <w:t>Предлагаемая Участником цена договора является твердой и не может изменяться в ходе его исполнения, за исключением случаев, предусмотренных действующим законодательством и Положением о закупке.</w:t>
            </w:r>
          </w:p>
          <w:p>
            <w:pPr>
              <w:pStyle w:val="Style48"/>
              <w:widowControl w:val="false"/>
              <w:spacing w:before="0" w:after="0"/>
              <w:contextualSpacing/>
              <w:jc w:val="both"/>
              <w:rPr>
                <w:sz w:val="22"/>
                <w:lang w:val="ru-RU"/>
              </w:rPr>
            </w:pPr>
            <w:r>
              <w:rPr>
                <w:sz w:val="22"/>
                <w:lang w:val="ru-RU"/>
              </w:rPr>
              <w:t>Все расходы, налоги, пошлины и прочие сборы, которые исполнитель договора должен оплачивать в соответствии с условиями договора или на иных основаниях, должны быть включены в общую цену заявки, представленной Участником аукциона.</w:t>
            </w:r>
          </w:p>
        </w:tc>
      </w:tr>
      <w:tr>
        <w:trPr>
          <w:trHeight w:val="665" w:hRule="atLeast"/>
        </w:trPr>
        <w:tc>
          <w:tcPr>
            <w:tcW w:w="810" w:type="dxa"/>
            <w:tcBorders>
              <w:top w:val="single" w:sz="4" w:space="0" w:color="000000"/>
              <w:left w:val="single" w:sz="4" w:space="0" w:color="000000"/>
              <w:bottom w:val="single" w:sz="4" w:space="0" w:color="000000"/>
              <w:right w:val="single" w:sz="4" w:space="0" w:color="000000"/>
            </w:tcBorders>
            <w:shd w:fill="auto" w:val="clear"/>
          </w:tcPr>
          <w:p>
            <w:pPr>
              <w:pStyle w:val="Style48"/>
              <w:widowControl w:val="false"/>
              <w:spacing w:before="0" w:after="0"/>
              <w:ind w:left="0" w:right="0" w:hanging="0"/>
              <w:contextualSpacing/>
              <w:jc w:val="center"/>
              <w:rPr>
                <w:sz w:val="22"/>
                <w:lang w:val="ru-RU"/>
              </w:rPr>
            </w:pPr>
            <w:r>
              <w:rPr>
                <w:sz w:val="22"/>
                <w:lang w:val="ru-RU"/>
              </w:rPr>
              <w:t>12.</w:t>
            </w:r>
          </w:p>
        </w:tc>
        <w:tc>
          <w:tcPr>
            <w:tcW w:w="2427" w:type="dxa"/>
            <w:tcBorders>
              <w:top w:val="single" w:sz="4" w:space="0" w:color="000000"/>
              <w:left w:val="single" w:sz="4" w:space="0" w:color="000000"/>
              <w:bottom w:val="single" w:sz="4" w:space="0" w:color="000000"/>
              <w:right w:val="single" w:sz="4" w:space="0" w:color="000000"/>
            </w:tcBorders>
            <w:shd w:fill="auto" w:val="clear"/>
          </w:tcPr>
          <w:p>
            <w:pPr>
              <w:pStyle w:val="Style48"/>
              <w:widowControl w:val="false"/>
              <w:spacing w:before="0" w:after="0"/>
              <w:contextualSpacing/>
              <w:jc w:val="left"/>
              <w:rPr>
                <w:rFonts w:ascii="Times New Roman" w:hAnsi="Times New Roman"/>
                <w:sz w:val="22"/>
                <w:lang w:val="ru-RU"/>
              </w:rPr>
            </w:pPr>
            <w:r>
              <w:rPr>
                <w:sz w:val="22"/>
                <w:lang w:val="ru-RU"/>
              </w:rPr>
              <w:t>Валюта цены заявки на участие в аукционе</w:t>
            </w:r>
          </w:p>
        </w:tc>
        <w:tc>
          <w:tcPr>
            <w:tcW w:w="6738" w:type="dxa"/>
            <w:tcBorders>
              <w:top w:val="single" w:sz="4" w:space="0" w:color="000000"/>
              <w:left w:val="single" w:sz="4" w:space="0" w:color="000000"/>
              <w:bottom w:val="single" w:sz="4" w:space="0" w:color="000000"/>
              <w:right w:val="single" w:sz="4" w:space="0" w:color="000000"/>
            </w:tcBorders>
            <w:shd w:fill="auto" w:val="clear"/>
          </w:tcPr>
          <w:p>
            <w:pPr>
              <w:pStyle w:val="Style48"/>
              <w:widowControl w:val="false"/>
              <w:spacing w:before="0" w:after="0"/>
              <w:contextualSpacing/>
              <w:jc w:val="both"/>
              <w:rPr>
                <w:sz w:val="22"/>
                <w:lang w:val="ru-RU"/>
              </w:rPr>
            </w:pPr>
            <w:r>
              <w:rPr>
                <w:sz w:val="22"/>
                <w:lang w:val="ru-RU"/>
              </w:rPr>
              <w:t>Предлагаемая Участником стоимость договора, включая цены по всем товарам, работам, услугам, должна выражаться в российских рублях.</w:t>
            </w:r>
          </w:p>
        </w:tc>
      </w:tr>
      <w:tr>
        <w:trPr/>
        <w:tc>
          <w:tcPr>
            <w:tcW w:w="810" w:type="dxa"/>
            <w:tcBorders>
              <w:top w:val="single" w:sz="4" w:space="0" w:color="000000"/>
              <w:left w:val="single" w:sz="4" w:space="0" w:color="000000"/>
              <w:bottom w:val="single" w:sz="4" w:space="0" w:color="000000"/>
              <w:right w:val="single" w:sz="4" w:space="0" w:color="000000"/>
            </w:tcBorders>
            <w:shd w:fill="auto" w:val="clear"/>
          </w:tcPr>
          <w:p>
            <w:pPr>
              <w:pStyle w:val="Style48"/>
              <w:widowControl w:val="false"/>
              <w:numPr>
                <w:ilvl w:val="0"/>
                <w:numId w:val="0"/>
              </w:numPr>
              <w:spacing w:before="0" w:after="0"/>
              <w:ind w:left="360" w:right="0" w:hanging="0"/>
              <w:contextualSpacing/>
              <w:jc w:val="center"/>
              <w:rPr>
                <w:sz w:val="22"/>
                <w:lang w:val="ru-RU"/>
              </w:rPr>
            </w:pPr>
            <w:r>
              <w:rPr>
                <w:sz w:val="22"/>
                <w:lang w:val="ru-RU"/>
              </w:rPr>
              <w:t>13.</w:t>
            </w:r>
          </w:p>
        </w:tc>
        <w:tc>
          <w:tcPr>
            <w:tcW w:w="2427" w:type="dxa"/>
            <w:tcBorders>
              <w:top w:val="single" w:sz="4" w:space="0" w:color="000000"/>
              <w:left w:val="single" w:sz="4" w:space="0" w:color="000000"/>
              <w:bottom w:val="single" w:sz="4" w:space="0" w:color="000000"/>
              <w:right w:val="single" w:sz="4" w:space="0" w:color="000000"/>
            </w:tcBorders>
            <w:shd w:fill="auto" w:val="clear"/>
          </w:tcPr>
          <w:p>
            <w:pPr>
              <w:pStyle w:val="Style48"/>
              <w:widowControl w:val="false"/>
              <w:spacing w:before="0" w:after="0"/>
              <w:contextualSpacing/>
              <w:jc w:val="left"/>
              <w:rPr>
                <w:rFonts w:ascii="Times New Roman" w:hAnsi="Times New Roman"/>
                <w:color w:val="000000"/>
                <w:sz w:val="22"/>
                <w:lang w:val="ru-RU"/>
              </w:rPr>
            </w:pPr>
            <w:r>
              <w:rPr>
                <w:rFonts w:eastAsia="Times New Roman" w:cs="Times New Roman"/>
                <w:color w:val="000000"/>
                <w:kern w:val="0"/>
                <w:sz w:val="22"/>
                <w:szCs w:val="22"/>
                <w:lang w:val="ru-RU" w:eastAsia="en-US" w:bidi="en-US"/>
              </w:rPr>
              <w:t>Сроки</w:t>
            </w:r>
            <w:r>
              <w:rPr>
                <w:color w:val="000000"/>
                <w:sz w:val="22"/>
                <w:lang w:val="ru-RU"/>
              </w:rPr>
              <w:t xml:space="preserve"> и место подачи заявок на участие в аукционе</w:t>
            </w:r>
          </w:p>
        </w:tc>
        <w:tc>
          <w:tcPr>
            <w:tcW w:w="6738" w:type="dxa"/>
            <w:tcBorders>
              <w:top w:val="single" w:sz="4" w:space="0" w:color="000000"/>
              <w:left w:val="single" w:sz="4" w:space="0" w:color="000000"/>
              <w:bottom w:val="single" w:sz="4" w:space="0" w:color="000000"/>
              <w:right w:val="single" w:sz="4" w:space="0" w:color="000000"/>
            </w:tcBorders>
            <w:shd w:fill="auto" w:val="clear"/>
          </w:tcPr>
          <w:p>
            <w:pPr>
              <w:pStyle w:val="Standard"/>
              <w:widowControl w:val="false"/>
              <w:rPr>
                <w:rFonts w:ascii="Times New Roman" w:hAnsi="Times New Roman" w:eastAsia="Times New Roman" w:cs="Times New Roman"/>
                <w:color w:val="auto"/>
                <w:kern w:val="0"/>
                <w:sz w:val="22"/>
                <w:szCs w:val="22"/>
                <w:lang w:val="ru-RU" w:eastAsia="en-US" w:bidi="en-US"/>
              </w:rPr>
            </w:pPr>
            <w:r>
              <w:rPr>
                <w:rFonts w:eastAsia="Times New Roman" w:cs="Times New Roman"/>
                <w:color w:val="auto"/>
                <w:kern w:val="0"/>
                <w:sz w:val="22"/>
                <w:szCs w:val="22"/>
                <w:lang w:val="ru-RU" w:eastAsia="en-US" w:bidi="en-US"/>
              </w:rPr>
              <w:t>Заявки принимаются только в электронном виде на электронной площадке в информационно-телекоммуникационной сети "Интернет" с даты дня публикации извещения о проведении аукциона в электронной форме</w:t>
            </w:r>
          </w:p>
          <w:p>
            <w:pPr>
              <w:pStyle w:val="Standard"/>
              <w:widowControl w:val="false"/>
              <w:rPr/>
            </w:pPr>
            <w:r>
              <w:rPr>
                <w:rFonts w:eastAsia="Times New Roman" w:cs="Times New Roman"/>
                <w:b/>
                <w:bCs/>
                <w:color w:val="auto"/>
                <w:kern w:val="0"/>
                <w:sz w:val="22"/>
                <w:szCs w:val="22"/>
                <w:lang w:val="ru-RU" w:eastAsia="en-US" w:bidi="en-US"/>
              </w:rPr>
              <w:t>Дата и время окончания подачи заявок на участие в аукционе в электронной форме:</w:t>
            </w:r>
            <w:r>
              <w:rPr>
                <w:rFonts w:eastAsia="Times New Roman" w:cs="Times New Roman"/>
                <w:b/>
                <w:bCs/>
                <w:color w:val="000000"/>
                <w:kern w:val="0"/>
                <w:sz w:val="22"/>
                <w:szCs w:val="22"/>
                <w:shd w:fill="FFFF00" w:val="clear"/>
                <w:lang w:val="ru-RU" w:eastAsia="en-US" w:bidi="en-US"/>
              </w:rPr>
              <w:t xml:space="preserve"> </w:t>
            </w:r>
            <w:r>
              <w:rPr>
                <w:rFonts w:eastAsia="Times New Roman" w:cs="Times New Roman"/>
                <w:b/>
                <w:bCs/>
                <w:color w:val="000000"/>
                <w:kern w:val="0"/>
                <w:sz w:val="24"/>
                <w:szCs w:val="24"/>
                <w:highlight w:val="yellow"/>
                <w:lang w:val="ru-RU" w:eastAsia="ru-RU" w:bidi="en-US"/>
              </w:rPr>
              <w:t>02</w:t>
            </w:r>
            <w:r>
              <w:rPr>
                <w:rFonts w:eastAsia="Times New Roman" w:cs="Times New Roman"/>
                <w:b/>
                <w:bCs/>
                <w:color w:val="000000"/>
                <w:kern w:val="0"/>
                <w:sz w:val="24"/>
                <w:szCs w:val="24"/>
                <w:highlight w:val="yellow"/>
                <w:lang w:val="ru-RU" w:eastAsia="en-US" w:bidi="en-US"/>
              </w:rPr>
              <w:t>.03.2023 Время:  09 ч. 00 мин (ПО МЕСТНОМУ ВРЕМЕНИ ЗАКАЗЧИКА).</w:t>
            </w:r>
          </w:p>
          <w:p>
            <w:pPr>
              <w:pStyle w:val="Standard"/>
              <w:widowControl w:val="false"/>
              <w:rPr>
                <w:rFonts w:ascii="Times New Roman" w:hAnsi="Times New Roman" w:eastAsia="Times New Roman" w:cs="Times New Roman"/>
                <w:b/>
                <w:b/>
                <w:bCs/>
                <w:color w:val="auto"/>
                <w:kern w:val="0"/>
                <w:sz w:val="22"/>
                <w:szCs w:val="22"/>
                <w:lang w:val="ru-RU" w:eastAsia="en-US" w:bidi="en-US"/>
              </w:rPr>
            </w:pPr>
            <w:r>
              <w:rPr>
                <w:rFonts w:eastAsia="Times New Roman" w:cs="Times New Roman"/>
                <w:b/>
                <w:bCs/>
                <w:color w:val="auto"/>
                <w:kern w:val="0"/>
                <w:sz w:val="22"/>
                <w:szCs w:val="22"/>
                <w:lang w:val="ru-RU" w:eastAsia="en-US" w:bidi="en-US"/>
              </w:rPr>
              <w:t>По усмотрению Заказчика данные сроки и время могут быть изменены.</w:t>
            </w:r>
          </w:p>
          <w:p>
            <w:pPr>
              <w:pStyle w:val="Standard"/>
              <w:widowControl w:val="false"/>
              <w:rPr/>
            </w:pPr>
            <w:hyperlink r:id="rId9">
              <w:r>
                <w:rPr>
                  <w:rStyle w:val="Style"/>
                  <w:lang w:val="ru-RU" w:eastAsia="en-US" w:bidi="en-US"/>
                </w:rPr>
                <w:t>https://etp-region.ru</w:t>
              </w:r>
            </w:hyperlink>
          </w:p>
        </w:tc>
      </w:tr>
      <w:tr>
        <w:trPr/>
        <w:tc>
          <w:tcPr>
            <w:tcW w:w="810" w:type="dxa"/>
            <w:tcBorders>
              <w:top w:val="single" w:sz="4" w:space="0" w:color="000000"/>
              <w:left w:val="single" w:sz="4" w:space="0" w:color="000000"/>
              <w:bottom w:val="single" w:sz="4" w:space="0" w:color="000000"/>
              <w:right w:val="single" w:sz="4" w:space="0" w:color="000000"/>
            </w:tcBorders>
            <w:shd w:fill="auto" w:val="clear"/>
          </w:tcPr>
          <w:p>
            <w:pPr>
              <w:pStyle w:val="Style48"/>
              <w:widowControl w:val="false"/>
              <w:spacing w:before="0" w:after="0"/>
              <w:ind w:left="0" w:right="0" w:hanging="0"/>
              <w:contextualSpacing/>
              <w:jc w:val="center"/>
              <w:rPr>
                <w:sz w:val="22"/>
                <w:lang w:val="ru-RU"/>
              </w:rPr>
            </w:pPr>
            <w:r>
              <w:rPr>
                <w:sz w:val="22"/>
                <w:lang w:val="ru-RU"/>
              </w:rPr>
              <w:t>14.</w:t>
            </w:r>
          </w:p>
        </w:tc>
        <w:tc>
          <w:tcPr>
            <w:tcW w:w="2427" w:type="dxa"/>
            <w:tcBorders>
              <w:top w:val="single" w:sz="4" w:space="0" w:color="000000"/>
              <w:left w:val="single" w:sz="4" w:space="0" w:color="000000"/>
              <w:bottom w:val="single" w:sz="4" w:space="0" w:color="000000"/>
              <w:right w:val="single" w:sz="4" w:space="0" w:color="000000"/>
            </w:tcBorders>
            <w:shd w:fill="auto" w:val="clear"/>
          </w:tcPr>
          <w:p>
            <w:pPr>
              <w:pStyle w:val="Style48"/>
              <w:widowControl w:val="false"/>
              <w:spacing w:before="0" w:after="0"/>
              <w:contextualSpacing/>
              <w:jc w:val="left"/>
              <w:rPr>
                <w:rFonts w:ascii="Times New Roman" w:hAnsi="Times New Roman"/>
                <w:sz w:val="22"/>
                <w:lang w:val="ru-RU"/>
              </w:rPr>
            </w:pPr>
            <w:r>
              <w:rPr>
                <w:sz w:val="22"/>
                <w:shd w:fill="auto" w:val="clear"/>
                <w:lang w:val="ru-RU"/>
              </w:rPr>
              <w:t>Размер обеспечения заявки на участие в аукционе</w:t>
            </w:r>
          </w:p>
        </w:tc>
        <w:tc>
          <w:tcPr>
            <w:tcW w:w="673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ind w:left="0" w:right="0" w:hanging="0"/>
              <w:rPr>
                <w:sz w:val="22"/>
                <w:lang w:val="ru-RU"/>
              </w:rPr>
            </w:pPr>
            <w:r>
              <w:rPr>
                <w:sz w:val="22"/>
                <w:shd w:fill="auto" w:val="clear"/>
                <w:lang w:val="ru-RU"/>
              </w:rPr>
              <w:t>Не предусмотрено</w:t>
            </w:r>
          </w:p>
        </w:tc>
      </w:tr>
      <w:tr>
        <w:trPr/>
        <w:tc>
          <w:tcPr>
            <w:tcW w:w="810" w:type="dxa"/>
            <w:tcBorders>
              <w:left w:val="single" w:sz="4" w:space="0" w:color="000000"/>
              <w:bottom w:val="single" w:sz="4" w:space="0" w:color="000000"/>
              <w:right w:val="single" w:sz="4" w:space="0" w:color="000000"/>
            </w:tcBorders>
            <w:shd w:fill="auto" w:val="clear"/>
          </w:tcPr>
          <w:p>
            <w:pPr>
              <w:pStyle w:val="Style48"/>
              <w:widowControl w:val="false"/>
              <w:numPr>
                <w:ilvl w:val="0"/>
                <w:numId w:val="0"/>
              </w:numPr>
              <w:spacing w:before="0" w:after="0"/>
              <w:ind w:left="360" w:right="0" w:hanging="0"/>
              <w:contextualSpacing/>
              <w:jc w:val="center"/>
              <w:rPr>
                <w:sz w:val="22"/>
                <w:lang w:val="ru-RU"/>
              </w:rPr>
            </w:pPr>
            <w:r>
              <w:rPr>
                <w:sz w:val="22"/>
                <w:lang w:val="ru-RU"/>
              </w:rPr>
              <w:t>15.</w:t>
            </w:r>
          </w:p>
        </w:tc>
        <w:tc>
          <w:tcPr>
            <w:tcW w:w="2427"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0" w:right="60" w:hanging="0"/>
              <w:jc w:val="left"/>
              <w:rPr>
                <w:rFonts w:ascii="Times New Roman" w:hAnsi="Times New Roman" w:eastAsia="Times New Roman" w:cs="Times New Roman"/>
                <w:sz w:val="24"/>
                <w:szCs w:val="24"/>
                <w:lang w:val="ru-RU" w:eastAsia="ru-RU"/>
              </w:rPr>
            </w:pPr>
            <w:r>
              <w:rPr>
                <w:rFonts w:eastAsia="Times New Roman" w:cs="Times New Roman"/>
                <w:sz w:val="24"/>
                <w:szCs w:val="24"/>
                <w:shd w:fill="auto" w:val="clear"/>
                <w:lang w:val="ru-RU" w:eastAsia="ru-RU"/>
              </w:rPr>
              <w:t>Формы, порядок, дата начала, дата окончания срока предоставления участникам закупки разъяснений положений документации о закупки</w:t>
            </w:r>
          </w:p>
        </w:tc>
        <w:tc>
          <w:tcPr>
            <w:tcW w:w="673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0" w:right="137" w:hanging="0"/>
              <w:jc w:val="both"/>
              <w:rPr>
                <w:rFonts w:ascii="Times New Roman" w:hAnsi="Times New Roman" w:eastAsia="Times New Roman" w:cs="Times New Roman"/>
                <w:color w:val="auto"/>
                <w:kern w:val="0"/>
                <w:sz w:val="22"/>
                <w:szCs w:val="22"/>
                <w:lang w:val="ru-RU" w:eastAsia="en-US" w:bidi="en-US"/>
              </w:rPr>
            </w:pPr>
            <w:r>
              <w:rPr>
                <w:rFonts w:eastAsia="Times New Roman" w:cs="Times New Roman"/>
                <w:color w:val="auto"/>
                <w:kern w:val="0"/>
                <w:sz w:val="22"/>
                <w:szCs w:val="22"/>
                <w:lang w:val="ru-RU" w:eastAsia="en-US" w:bidi="en-US"/>
              </w:rPr>
              <w:t>Любой участник аукциона в электронной форме вправе направить в письменной форме запрос о разъяснении положений документации.</w:t>
            </w:r>
          </w:p>
          <w:p>
            <w:pPr>
              <w:pStyle w:val="Normal"/>
              <w:widowControl w:val="false"/>
              <w:spacing w:lineRule="auto" w:line="240" w:before="0" w:after="0"/>
              <w:ind w:left="0" w:right="137" w:hanging="0"/>
              <w:jc w:val="both"/>
              <w:rPr>
                <w:rFonts w:ascii="Times New Roman" w:hAnsi="Times New Roman" w:eastAsia="Times New Roman" w:cs="Times New Roman"/>
                <w:color w:val="auto"/>
                <w:kern w:val="0"/>
                <w:sz w:val="22"/>
                <w:szCs w:val="22"/>
                <w:lang w:val="ru-RU" w:eastAsia="en-US" w:bidi="en-US"/>
              </w:rPr>
            </w:pPr>
            <w:r>
              <w:rPr>
                <w:rFonts w:eastAsia="Times New Roman" w:cs="Times New Roman"/>
                <w:color w:val="auto"/>
                <w:kern w:val="0"/>
                <w:sz w:val="22"/>
                <w:szCs w:val="22"/>
                <w:lang w:val="ru-RU" w:eastAsia="en-US" w:bidi="en-US"/>
              </w:rPr>
              <w:t>В течение 3 рабочих дней с даты поступления указанного запроса Заказчик обязан направить в форме электронного документа разъяснения положений документации, если указанный запрос поступил Заказчику не позднее 27.02.2023 г.</w:t>
            </w:r>
          </w:p>
          <w:p>
            <w:pPr>
              <w:pStyle w:val="Normal"/>
              <w:widowControl w:val="false"/>
              <w:spacing w:lineRule="auto" w:line="240" w:before="0" w:after="0"/>
              <w:ind w:left="0" w:right="137" w:hanging="0"/>
              <w:jc w:val="both"/>
              <w:rPr>
                <w:sz w:val="22"/>
                <w:lang w:val="ru-RU"/>
              </w:rPr>
            </w:pPr>
            <w:r>
              <w:rPr>
                <w:rFonts w:eastAsia=";Times New Roman" w:cs="Times New Roman"/>
                <w:sz w:val="24"/>
                <w:szCs w:val="24"/>
                <w:shd w:fill="auto" w:val="clear"/>
                <w:lang w:val="ru-RU" w:eastAsia="ru-RU"/>
              </w:rPr>
              <w:t xml:space="preserve">Не позднее чем в течение 3 дней со дня предоставления разъяснений указанные разъяснения </w:t>
            </w:r>
            <w:r>
              <w:rPr>
                <w:rFonts w:cs="Times New Roman"/>
                <w:sz w:val="24"/>
                <w:szCs w:val="24"/>
                <w:shd w:fill="auto" w:val="clear"/>
                <w:lang w:val="ru-RU" w:eastAsia="ru-RU"/>
              </w:rPr>
              <w:t xml:space="preserve">должны быть размещены Заказчиком в Единой информационной системе с содержанием запроса на разъяснение положений документации, без указания участника открытого </w:t>
            </w:r>
            <w:r>
              <w:rPr>
                <w:rFonts w:eastAsia="Segoe UI" w:cs="Times New Roman"/>
                <w:color w:val="000000"/>
                <w:kern w:val="2"/>
                <w:sz w:val="24"/>
                <w:szCs w:val="24"/>
                <w:shd w:fill="auto" w:val="clear"/>
                <w:lang w:val="ru-RU" w:eastAsia="ru-RU" w:bidi="hi-IN"/>
              </w:rPr>
              <w:t>аукциона</w:t>
            </w:r>
            <w:r>
              <w:rPr>
                <w:rFonts w:cs="Times New Roman"/>
                <w:sz w:val="24"/>
                <w:szCs w:val="24"/>
                <w:shd w:fill="auto" w:val="clear"/>
                <w:lang w:val="ru-RU" w:eastAsia="ru-RU"/>
              </w:rPr>
              <w:t xml:space="preserve"> в электронной форме, от которого поступил запрос.</w:t>
            </w:r>
          </w:p>
        </w:tc>
      </w:tr>
      <w:tr>
        <w:trPr/>
        <w:tc>
          <w:tcPr>
            <w:tcW w:w="810" w:type="dxa"/>
            <w:tcBorders>
              <w:top w:val="single" w:sz="4" w:space="0" w:color="000000"/>
              <w:left w:val="single" w:sz="4" w:space="0" w:color="000000"/>
              <w:bottom w:val="single" w:sz="4" w:space="0" w:color="000000"/>
              <w:right w:val="single" w:sz="4" w:space="0" w:color="000000"/>
            </w:tcBorders>
            <w:shd w:fill="auto" w:val="clear"/>
          </w:tcPr>
          <w:p>
            <w:pPr>
              <w:pStyle w:val="Style48"/>
              <w:widowControl w:val="false"/>
              <w:numPr>
                <w:ilvl w:val="0"/>
                <w:numId w:val="0"/>
              </w:numPr>
              <w:spacing w:before="0" w:after="0"/>
              <w:ind w:left="360" w:right="0" w:hanging="0"/>
              <w:contextualSpacing/>
              <w:jc w:val="center"/>
              <w:rPr>
                <w:sz w:val="22"/>
                <w:lang w:val="ru-RU"/>
              </w:rPr>
            </w:pPr>
            <w:r>
              <w:rPr>
                <w:sz w:val="22"/>
                <w:lang w:val="ru-RU"/>
              </w:rPr>
              <w:t>16.</w:t>
            </w:r>
          </w:p>
        </w:tc>
        <w:tc>
          <w:tcPr>
            <w:tcW w:w="2427" w:type="dxa"/>
            <w:tcBorders>
              <w:top w:val="single" w:sz="4" w:space="0" w:color="000000"/>
              <w:left w:val="single" w:sz="4" w:space="0" w:color="000000"/>
              <w:bottom w:val="single" w:sz="4" w:space="0" w:color="000000"/>
              <w:right w:val="single" w:sz="4" w:space="0" w:color="000000"/>
            </w:tcBorders>
            <w:shd w:fill="auto" w:val="clear"/>
          </w:tcPr>
          <w:p>
            <w:pPr>
              <w:pStyle w:val="Style48"/>
              <w:widowControl w:val="false"/>
              <w:spacing w:before="0" w:after="0"/>
              <w:contextualSpacing/>
              <w:jc w:val="left"/>
              <w:rPr>
                <w:rFonts w:ascii="Times New Roman" w:hAnsi="Times New Roman"/>
                <w:sz w:val="22"/>
                <w:lang w:val="ru-RU"/>
              </w:rPr>
            </w:pPr>
            <w:r>
              <w:rPr>
                <w:sz w:val="22"/>
                <w:shd w:fill="auto" w:val="clear"/>
                <w:lang w:val="ru-RU"/>
              </w:rPr>
              <w:t>Дата проведения аукциона</w:t>
            </w:r>
          </w:p>
        </w:tc>
        <w:tc>
          <w:tcPr>
            <w:tcW w:w="6738" w:type="dxa"/>
            <w:tcBorders>
              <w:top w:val="single" w:sz="4" w:space="0" w:color="000000"/>
              <w:left w:val="single" w:sz="4" w:space="0" w:color="000000"/>
              <w:bottom w:val="single" w:sz="4" w:space="0" w:color="000000"/>
              <w:right w:val="single" w:sz="4" w:space="0" w:color="000000"/>
            </w:tcBorders>
            <w:shd w:fill="auto" w:val="clear"/>
          </w:tcPr>
          <w:p>
            <w:pPr>
              <w:pStyle w:val="Standard"/>
              <w:widowControl w:val="false"/>
              <w:spacing w:before="0" w:after="0"/>
              <w:contextualSpacing/>
              <w:jc w:val="both"/>
              <w:rPr/>
            </w:pPr>
            <w:r>
              <w:rPr>
                <w:rFonts w:cs="Times New Roman"/>
                <w:b/>
                <w:bCs/>
                <w:sz w:val="24"/>
                <w:szCs w:val="24"/>
                <w:shd w:fill="FFFF00" w:val="clear"/>
                <w:lang w:val="ru-RU"/>
              </w:rPr>
              <w:t xml:space="preserve">Аукцион будет проводиться </w:t>
            </w:r>
            <w:r>
              <w:rPr>
                <w:rFonts w:eastAsia="Segoe UI" w:cs="Times New Roman"/>
                <w:b/>
                <w:bCs/>
                <w:color w:val="000000"/>
                <w:kern w:val="2"/>
                <w:sz w:val="24"/>
                <w:szCs w:val="24"/>
                <w:shd w:fill="FFFF00" w:val="clear"/>
                <w:lang w:val="ru-RU" w:eastAsia="zh-CN" w:bidi="hi-IN"/>
              </w:rPr>
              <w:t>03</w:t>
            </w:r>
            <w:r>
              <w:rPr>
                <w:rFonts w:cs="Times New Roman"/>
                <w:b/>
                <w:bCs/>
                <w:sz w:val="24"/>
                <w:szCs w:val="24"/>
                <w:shd w:fill="FFFF00" w:val="clear"/>
                <w:lang w:val="ru-RU"/>
              </w:rPr>
              <w:t xml:space="preserve"> </w:t>
            </w:r>
            <w:r>
              <w:rPr>
                <w:rFonts w:eastAsia="Segoe UI" w:cs="Times New Roman"/>
                <w:b/>
                <w:bCs/>
                <w:color w:val="000000"/>
                <w:kern w:val="2"/>
                <w:sz w:val="24"/>
                <w:szCs w:val="24"/>
                <w:shd w:fill="FFFF00" w:val="clear"/>
                <w:lang w:val="ru-RU" w:eastAsia="zh-CN" w:bidi="hi-IN"/>
              </w:rPr>
              <w:t>марта</w:t>
            </w:r>
            <w:r>
              <w:rPr>
                <w:rFonts w:cs="Times New Roman"/>
                <w:b/>
                <w:bCs/>
                <w:sz w:val="24"/>
                <w:szCs w:val="24"/>
                <w:shd w:fill="FFFF00" w:val="clear"/>
                <w:lang w:val="ru-RU"/>
              </w:rPr>
              <w:t xml:space="preserve"> 2023 г. в </w:t>
            </w:r>
            <w:r>
              <w:rPr>
                <w:rFonts w:eastAsia="Times New Roman" w:cs="Times New Roman"/>
                <w:b/>
                <w:bCs/>
                <w:color w:val="000000"/>
                <w:kern w:val="0"/>
                <w:sz w:val="24"/>
                <w:szCs w:val="24"/>
                <w:shd w:fill="FFFF00" w:val="clear"/>
                <w:lang w:val="ru-RU" w:eastAsia="en-US" w:bidi="en-US"/>
              </w:rPr>
              <w:t>10</w:t>
            </w:r>
            <w:r>
              <w:rPr>
                <w:rFonts w:cs="Times New Roman"/>
                <w:b/>
                <w:bCs/>
                <w:sz w:val="24"/>
                <w:szCs w:val="24"/>
                <w:shd w:fill="FFFF00" w:val="clear"/>
                <w:lang w:val="ru-RU"/>
              </w:rPr>
              <w:t>:00 (МЕСТНОЕ ВРЕМЯ ЗАКАЗЧИКА)</w:t>
            </w:r>
          </w:p>
        </w:tc>
      </w:tr>
      <w:tr>
        <w:trPr/>
        <w:tc>
          <w:tcPr>
            <w:tcW w:w="810" w:type="dxa"/>
            <w:tcBorders>
              <w:top w:val="single" w:sz="4" w:space="0" w:color="000000"/>
              <w:left w:val="single" w:sz="4" w:space="0" w:color="000000"/>
              <w:bottom w:val="single" w:sz="4" w:space="0" w:color="000000"/>
              <w:right w:val="single" w:sz="4" w:space="0" w:color="000000"/>
            </w:tcBorders>
            <w:shd w:fill="auto" w:val="clear"/>
          </w:tcPr>
          <w:p>
            <w:pPr>
              <w:pStyle w:val="Style48"/>
              <w:widowControl w:val="false"/>
              <w:spacing w:before="0" w:after="0"/>
              <w:ind w:left="0" w:right="0" w:hanging="0"/>
              <w:contextualSpacing/>
              <w:jc w:val="center"/>
              <w:rPr>
                <w:sz w:val="22"/>
                <w:lang w:val="ru-RU"/>
              </w:rPr>
            </w:pPr>
            <w:r>
              <w:rPr>
                <w:sz w:val="22"/>
                <w:lang w:val="ru-RU"/>
              </w:rPr>
              <w:t>17.</w:t>
            </w:r>
          </w:p>
        </w:tc>
        <w:tc>
          <w:tcPr>
            <w:tcW w:w="2427" w:type="dxa"/>
            <w:tcBorders>
              <w:top w:val="single" w:sz="4" w:space="0" w:color="000000"/>
              <w:left w:val="single" w:sz="4" w:space="0" w:color="000000"/>
              <w:bottom w:val="single" w:sz="4" w:space="0" w:color="000000"/>
              <w:right w:val="single" w:sz="4" w:space="0" w:color="000000"/>
            </w:tcBorders>
            <w:shd w:fill="auto" w:val="clear"/>
          </w:tcPr>
          <w:p>
            <w:pPr>
              <w:pStyle w:val="Style48"/>
              <w:widowControl w:val="false"/>
              <w:spacing w:before="0" w:after="0"/>
              <w:contextualSpacing/>
              <w:jc w:val="left"/>
              <w:rPr>
                <w:rFonts w:ascii="Times New Roman" w:hAnsi="Times New Roman"/>
                <w:sz w:val="22"/>
                <w:lang w:val="ru-RU"/>
              </w:rPr>
            </w:pPr>
            <w:r>
              <w:rPr>
                <w:sz w:val="22"/>
                <w:lang w:val="ru-RU"/>
              </w:rPr>
              <w:t>«Шаг аукциона»</w:t>
            </w:r>
          </w:p>
        </w:tc>
        <w:tc>
          <w:tcPr>
            <w:tcW w:w="673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ind w:left="0" w:right="0" w:hanging="0"/>
              <w:rPr>
                <w:sz w:val="22"/>
                <w:lang w:val="ru-RU" w:eastAsia="ru-RU" w:bidi="ar-SA"/>
              </w:rPr>
            </w:pPr>
            <w:r>
              <w:rPr>
                <w:sz w:val="22"/>
                <w:lang w:val="ru-RU" w:eastAsia="ru-RU" w:bidi="ar-SA"/>
              </w:rPr>
              <w:t>«Шаг аукциона» составляет от 0,5 процента до 5 (Пяти) процентов начальной (максимальной) цены договора</w:t>
            </w:r>
          </w:p>
          <w:p>
            <w:pPr>
              <w:pStyle w:val="Normal"/>
              <w:widowControl w:val="false"/>
              <w:ind w:left="0" w:right="0" w:hanging="0"/>
              <w:rPr>
                <w:bCs/>
                <w:sz w:val="22"/>
                <w:lang w:val="ru-RU" w:eastAsia="ru-RU" w:bidi="ar-SA"/>
              </w:rPr>
            </w:pPr>
            <w:r>
              <w:rPr>
                <w:bCs/>
                <w:sz w:val="22"/>
                <w:lang w:val="ru-RU" w:eastAsia="ru-RU" w:bidi="ar-SA"/>
              </w:rPr>
              <w:t>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pPr>
              <w:pStyle w:val="Normal"/>
              <w:widowControl w:val="false"/>
              <w:ind w:left="0" w:right="0" w:hanging="0"/>
              <w:rPr>
                <w:bCs/>
                <w:sz w:val="22"/>
                <w:lang w:val="ru-RU" w:eastAsia="ru-RU" w:bidi="ar-SA"/>
              </w:rPr>
            </w:pPr>
            <w:r>
              <w:rPr>
                <w:bCs/>
                <w:sz w:val="22"/>
                <w:lang w:val="ru-RU" w:eastAsia="ru-RU" w:bidi="ar-SA"/>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pPr>
              <w:pStyle w:val="Normal"/>
              <w:widowControl w:val="false"/>
              <w:ind w:left="0" w:right="0" w:hanging="0"/>
              <w:rPr>
                <w:bCs/>
                <w:sz w:val="22"/>
                <w:lang w:val="ru-RU" w:eastAsia="ru-RU" w:bidi="ar-SA"/>
              </w:rPr>
            </w:pPr>
            <w:r>
              <w:rPr>
                <w:bCs/>
                <w:sz w:val="22"/>
                <w:lang w:val="ru-RU" w:eastAsia="ru-RU" w:bidi="ar-SA"/>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tc>
      </w:tr>
      <w:tr>
        <w:trPr/>
        <w:tc>
          <w:tcPr>
            <w:tcW w:w="810" w:type="dxa"/>
            <w:tcBorders>
              <w:left w:val="single" w:sz="4" w:space="0" w:color="000000"/>
              <w:bottom w:val="single" w:sz="4" w:space="0" w:color="000000"/>
              <w:right w:val="single" w:sz="4" w:space="0" w:color="000000"/>
            </w:tcBorders>
            <w:shd w:fill="auto" w:val="clear"/>
          </w:tcPr>
          <w:p>
            <w:pPr>
              <w:pStyle w:val="Style48"/>
              <w:widowControl w:val="false"/>
              <w:spacing w:before="0" w:after="0"/>
              <w:ind w:left="0" w:right="0" w:hanging="0"/>
              <w:contextualSpacing/>
              <w:jc w:val="center"/>
              <w:rPr>
                <w:sz w:val="22"/>
                <w:lang w:val="ru-RU"/>
              </w:rPr>
            </w:pPr>
            <w:r>
              <w:rPr>
                <w:sz w:val="22"/>
                <w:lang w:val="ru-RU"/>
              </w:rPr>
              <w:t>18.</w:t>
            </w:r>
          </w:p>
        </w:tc>
        <w:tc>
          <w:tcPr>
            <w:tcW w:w="2427" w:type="dxa"/>
            <w:tcBorders>
              <w:left w:val="single" w:sz="4" w:space="0" w:color="000000"/>
              <w:bottom w:val="single" w:sz="4" w:space="0" w:color="000000"/>
              <w:right w:val="single" w:sz="4" w:space="0" w:color="000000"/>
            </w:tcBorders>
            <w:shd w:fill="auto" w:val="clear"/>
          </w:tcPr>
          <w:p>
            <w:pPr>
              <w:pStyle w:val="Standard"/>
              <w:widowControl w:val="false"/>
              <w:spacing w:before="0" w:after="0"/>
              <w:contextualSpacing/>
              <w:jc w:val="left"/>
              <w:rPr>
                <w:rFonts w:ascii="Times New Roman" w:hAnsi="Times New Roman" w:eastAsia="Times New Roman" w:cs="Times New Roman"/>
                <w:sz w:val="24"/>
                <w:szCs w:val="24"/>
                <w:lang w:val="ru-RU" w:eastAsia="ru-RU"/>
              </w:rPr>
            </w:pPr>
            <w:r>
              <w:rPr>
                <w:rFonts w:eastAsia="Times New Roman" w:cs="Times New Roman"/>
                <w:sz w:val="24"/>
                <w:szCs w:val="24"/>
                <w:lang w:val="ru-RU" w:eastAsia="ru-RU"/>
              </w:rPr>
              <w:t>Порядок рассмотрения заявок и подведения итогов закупки</w:t>
            </w:r>
          </w:p>
        </w:tc>
        <w:tc>
          <w:tcPr>
            <w:tcW w:w="6738" w:type="dxa"/>
            <w:tcBorders>
              <w:left w:val="single" w:sz="4" w:space="0" w:color="000000"/>
              <w:bottom w:val="single" w:sz="4" w:space="0" w:color="000000"/>
              <w:right w:val="single" w:sz="4" w:space="0" w:color="000000"/>
            </w:tcBorders>
            <w:shd w:fill="auto" w:val="clear"/>
          </w:tcPr>
          <w:p>
            <w:pPr>
              <w:pStyle w:val="Standard"/>
              <w:widowControl w:val="false"/>
              <w:rPr/>
            </w:pPr>
            <w:r>
              <w:rPr>
                <w:rFonts w:eastAsia="Times New Roman" w:cs="Times New Roman"/>
                <w:bCs/>
                <w:color w:val="000000"/>
                <w:kern w:val="0"/>
                <w:sz w:val="22"/>
                <w:szCs w:val="22"/>
                <w:shd w:fill="FFFF00" w:val="clear"/>
                <w:lang w:val="ru-RU" w:eastAsia="ru-RU" w:bidi="ar-SA"/>
              </w:rPr>
              <w:t>Рассмотрение первых частей заявок осуществляется</w:t>
            </w:r>
            <w:r>
              <w:rPr>
                <w:rFonts w:eastAsia="Times New Roman" w:cs="Times New Roman"/>
                <w:b/>
                <w:bCs/>
                <w:color w:val="000000"/>
                <w:kern w:val="0"/>
                <w:sz w:val="22"/>
                <w:szCs w:val="22"/>
                <w:shd w:fill="FFFF00" w:val="clear"/>
                <w:lang w:val="ru-RU" w:eastAsia="ru-RU" w:bidi="ar-SA"/>
              </w:rPr>
              <w:t xml:space="preserve"> </w:t>
            </w:r>
            <w:r>
              <w:rPr>
                <w:rFonts w:eastAsia="Times New Roman" w:cs="Times New Roman"/>
                <w:b/>
                <w:bCs/>
                <w:color w:val="000000"/>
                <w:kern w:val="0"/>
                <w:sz w:val="24"/>
                <w:szCs w:val="24"/>
                <w:shd w:fill="FFFF00" w:val="clear"/>
                <w:lang w:val="ru-RU" w:eastAsia="ru-RU" w:bidi="ar-SA"/>
              </w:rPr>
              <w:t>«02» марта 2023 г.</w:t>
            </w:r>
          </w:p>
          <w:p>
            <w:pPr>
              <w:pStyle w:val="Standard"/>
              <w:widowControl w:val="false"/>
              <w:rPr/>
            </w:pPr>
            <w:r>
              <w:rPr>
                <w:rFonts w:eastAsia="Times New Roman" w:cs="Times New Roman"/>
                <w:bCs/>
                <w:color w:val="000000"/>
                <w:kern w:val="0"/>
                <w:sz w:val="22"/>
                <w:szCs w:val="22"/>
                <w:shd w:fill="FFFF00" w:val="clear"/>
                <w:lang w:val="ru-RU" w:eastAsia="ru-RU" w:bidi="ar-SA"/>
              </w:rPr>
              <w:t>Начало рассмотрения вторых частей заявок</w:t>
            </w:r>
            <w:r>
              <w:rPr>
                <w:rFonts w:eastAsia="Times New Roman" w:cs="Times New Roman"/>
                <w:b/>
                <w:bCs/>
                <w:color w:val="000000"/>
                <w:kern w:val="0"/>
                <w:sz w:val="24"/>
                <w:szCs w:val="24"/>
                <w:shd w:fill="FFFF00" w:val="clear"/>
                <w:lang w:val="ru-RU" w:eastAsia="ru-RU" w:bidi="ar-SA"/>
              </w:rPr>
              <w:t xml:space="preserve"> «03» марта  2023 г.</w:t>
            </w:r>
          </w:p>
          <w:p>
            <w:pPr>
              <w:pStyle w:val="Standard"/>
              <w:widowControl w:val="false"/>
              <w:rPr/>
            </w:pPr>
            <w:r>
              <w:rPr>
                <w:rFonts w:eastAsia="Times New Roman" w:cs="Times New Roman"/>
                <w:bCs/>
                <w:color w:val="000000"/>
                <w:kern w:val="0"/>
                <w:sz w:val="22"/>
                <w:szCs w:val="22"/>
                <w:shd w:fill="FFFF00" w:val="clear"/>
                <w:lang w:val="ru-RU" w:eastAsia="ru-RU" w:bidi="ar-SA"/>
              </w:rPr>
              <w:t xml:space="preserve">Подведение итогов закупки осуществляется </w:t>
            </w:r>
            <w:r>
              <w:rPr>
                <w:rFonts w:eastAsia="Times New Roman" w:cs="Times New Roman"/>
                <w:b/>
                <w:bCs/>
                <w:color w:val="000000"/>
                <w:kern w:val="0"/>
                <w:sz w:val="24"/>
                <w:szCs w:val="24"/>
                <w:shd w:fill="FFFF00" w:val="clear"/>
                <w:lang w:val="ru-RU" w:eastAsia="ru-RU" w:bidi="ar-SA"/>
              </w:rPr>
              <w:t>«06» марта 2023 г.</w:t>
            </w:r>
          </w:p>
          <w:p>
            <w:pPr>
              <w:pStyle w:val="Standard"/>
              <w:widowControl w:val="false"/>
              <w:ind w:left="0" w:right="0" w:hanging="0"/>
              <w:jc w:val="both"/>
              <w:rPr/>
            </w:pPr>
            <w:r>
              <w:rPr>
                <w:rFonts w:eastAsia="Times New Roman" w:cs="Times New Roman"/>
                <w:bCs/>
                <w:color w:val="auto"/>
                <w:kern w:val="0"/>
                <w:sz w:val="22"/>
                <w:szCs w:val="22"/>
                <w:lang w:val="ru-RU" w:eastAsia="ru-RU" w:bidi="ar-SA"/>
              </w:rPr>
              <w:t>Результаты рассмотрения заявок на участие в аукционе в</w:t>
            </w:r>
            <w:r>
              <w:rPr>
                <w:rFonts w:eastAsia="Times New Roman" w:cs="Times New Roman"/>
                <w:sz w:val="24"/>
                <w:szCs w:val="24"/>
                <w:lang w:val="ru-RU" w:eastAsia="ru-RU" w:bidi="ar-SA"/>
              </w:rPr>
              <w:t xml:space="preserve"> электронной форме фиксируются в протоколе подведения итогов такого аукциона, который подписывается всеми участвовавшими в рассмотрении этих заявок членами комиссии по закупке.</w:t>
            </w:r>
          </w:p>
        </w:tc>
      </w:tr>
      <w:tr>
        <w:trPr/>
        <w:tc>
          <w:tcPr>
            <w:tcW w:w="810" w:type="dxa"/>
            <w:tcBorders>
              <w:top w:val="single" w:sz="4" w:space="0" w:color="000000"/>
              <w:left w:val="single" w:sz="4" w:space="0" w:color="000000"/>
              <w:bottom w:val="single" w:sz="4" w:space="0" w:color="000000"/>
              <w:right w:val="single" w:sz="4" w:space="0" w:color="000000"/>
            </w:tcBorders>
            <w:shd w:fill="auto" w:val="clear"/>
          </w:tcPr>
          <w:p>
            <w:pPr>
              <w:pStyle w:val="Style48"/>
              <w:widowControl w:val="false"/>
              <w:spacing w:before="0" w:after="0"/>
              <w:ind w:left="0" w:right="0" w:hanging="0"/>
              <w:contextualSpacing/>
              <w:jc w:val="center"/>
              <w:rPr>
                <w:sz w:val="22"/>
                <w:lang w:val="ru-RU"/>
              </w:rPr>
            </w:pPr>
            <w:r>
              <w:rPr>
                <w:sz w:val="22"/>
                <w:lang w:val="ru-RU"/>
              </w:rPr>
              <w:t>19.</w:t>
            </w:r>
          </w:p>
        </w:tc>
        <w:tc>
          <w:tcPr>
            <w:tcW w:w="2427" w:type="dxa"/>
            <w:tcBorders>
              <w:top w:val="single" w:sz="4" w:space="0" w:color="000000"/>
              <w:left w:val="single" w:sz="4" w:space="0" w:color="000000"/>
              <w:bottom w:val="single" w:sz="4" w:space="0" w:color="000000"/>
              <w:right w:val="single" w:sz="4" w:space="0" w:color="000000"/>
            </w:tcBorders>
            <w:shd w:fill="auto" w:val="clear"/>
          </w:tcPr>
          <w:p>
            <w:pPr>
              <w:pStyle w:val="Style48"/>
              <w:widowControl w:val="false"/>
              <w:spacing w:before="0" w:after="0"/>
              <w:contextualSpacing/>
              <w:jc w:val="left"/>
              <w:rPr>
                <w:rFonts w:ascii="Times New Roman" w:hAnsi="Times New Roman"/>
                <w:sz w:val="22"/>
                <w:lang w:val="ru-RU"/>
              </w:rPr>
            </w:pPr>
            <w:r>
              <w:rPr>
                <w:sz w:val="22"/>
                <w:lang w:val="ru-RU"/>
              </w:rPr>
              <w:t>Срок и порядок заключения договора:</w:t>
            </w:r>
          </w:p>
        </w:tc>
        <w:tc>
          <w:tcPr>
            <w:tcW w:w="673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rPr>
                <w:sz w:val="22"/>
                <w:lang w:val="ru-RU"/>
              </w:rPr>
            </w:pPr>
            <w:r>
              <w:rPr>
                <w:sz w:val="22"/>
                <w:lang w:val="ru-RU"/>
              </w:rPr>
              <w:t>Договор по результатам проведения конкурентной закупки Заказчик заключает не ранее чем через 10 (десять) дней и не позднее чем через 20 (двадцать) дней с даты размещения в ЕИС итогового протокола, составленного по результатам конкурентной закупки, в следующем порядке:</w:t>
            </w:r>
          </w:p>
          <w:p>
            <w:pPr>
              <w:pStyle w:val="Style66"/>
              <w:widowControl w:val="false"/>
              <w:jc w:val="both"/>
              <w:rPr>
                <w:rFonts w:ascii="Times New Roman" w:hAnsi="Times New Roman" w:cs="Times New Roman"/>
                <w:sz w:val="22"/>
                <w:szCs w:val="22"/>
              </w:rPr>
            </w:pPr>
            <w:r>
              <w:rPr>
                <w:rFonts w:cs="Times New Roman" w:ascii="Times New Roman" w:hAnsi="Times New Roman"/>
                <w:sz w:val="22"/>
                <w:szCs w:val="22"/>
              </w:rPr>
              <w:tab/>
              <w:t>1) в проект договора, который прилагается к извещению о проведении закупки и (или) документации, включаются реквизиты победителя (единственного участника) и условия исполнения договора, предложенные победителем (единственным участником) в заявке на участие в закупке или в ходе проведения аукциона, переторжки (если она проводилась);</w:t>
            </w:r>
          </w:p>
          <w:p>
            <w:pPr>
              <w:pStyle w:val="Style66"/>
              <w:widowControl w:val="false"/>
              <w:jc w:val="both"/>
              <w:rPr>
                <w:rFonts w:ascii="Times New Roman" w:hAnsi="Times New Roman" w:cs="Times New Roman"/>
                <w:sz w:val="22"/>
                <w:szCs w:val="22"/>
              </w:rPr>
            </w:pPr>
            <w:r>
              <w:rPr>
                <w:rFonts w:cs="Times New Roman" w:ascii="Times New Roman" w:hAnsi="Times New Roman"/>
                <w:sz w:val="22"/>
                <w:szCs w:val="22"/>
              </w:rPr>
              <w:tab/>
              <w:t>2) в течение 5 (пяти) дней со дня размещения в ЕИС итогового протокола закупки Заказчик передает победителю (единственному участнику) два экземпляра заполненного проекта договора;</w:t>
            </w:r>
          </w:p>
          <w:p>
            <w:pPr>
              <w:pStyle w:val="Style66"/>
              <w:widowControl w:val="false"/>
              <w:jc w:val="both"/>
              <w:rPr>
                <w:rFonts w:ascii="Times New Roman" w:hAnsi="Times New Roman" w:cs="Times New Roman"/>
                <w:sz w:val="22"/>
                <w:szCs w:val="22"/>
              </w:rPr>
            </w:pPr>
            <w:r>
              <w:rPr>
                <w:rFonts w:cs="Times New Roman" w:ascii="Times New Roman" w:hAnsi="Times New Roman"/>
                <w:sz w:val="22"/>
                <w:szCs w:val="22"/>
              </w:rPr>
              <w:tab/>
              <w:t>3) победитель закупки в течение 5 (пяти) дней со дня получения двух экземпляров проекта договора подписывает их, скрепляет печатью (при наличии) и передает Заказчику;</w:t>
            </w:r>
          </w:p>
          <w:p>
            <w:pPr>
              <w:pStyle w:val="Style66"/>
              <w:widowControl w:val="false"/>
              <w:jc w:val="both"/>
              <w:rPr>
                <w:rFonts w:ascii="Times New Roman" w:hAnsi="Times New Roman" w:cs="Times New Roman"/>
                <w:sz w:val="22"/>
                <w:szCs w:val="22"/>
              </w:rPr>
            </w:pPr>
            <w:r>
              <w:rPr>
                <w:rFonts w:cs="Times New Roman" w:ascii="Times New Roman" w:hAnsi="Times New Roman"/>
                <w:sz w:val="22"/>
                <w:szCs w:val="22"/>
              </w:rPr>
              <w:tab/>
              <w:t>4) Заказчик не ранее чем через 10 (десять) дней со дня размещения в ЕИС протокола закупки, на основании которого заключается договор, подписывает и скрепляет печатью (при наличии) оба экземпляра договора и возвращает один из них победителю закупки (единственному участнику);</w:t>
            </w:r>
          </w:p>
          <w:p>
            <w:pPr>
              <w:pStyle w:val="Style66"/>
              <w:widowControl w:val="false"/>
              <w:jc w:val="both"/>
              <w:rPr/>
            </w:pPr>
            <w:r>
              <w:rPr>
                <w:rFonts w:cs="Times New Roman" w:ascii="Times New Roman" w:hAnsi="Times New Roman"/>
                <w:sz w:val="22"/>
                <w:szCs w:val="22"/>
              </w:rPr>
              <w:tab/>
              <w:t>5) договор по результатам осуществления конкурентной закупки в электрон</w:t>
            </w:r>
            <w:bookmarkStart w:id="52" w:name="_GoBack"/>
            <w:bookmarkEnd w:id="52"/>
            <w:r>
              <w:rPr>
                <w:rFonts w:cs="Times New Roman" w:ascii="Times New Roman" w:hAnsi="Times New Roman"/>
                <w:sz w:val="22"/>
                <w:szCs w:val="22"/>
              </w:rPr>
              <w:t>ной форме заключается в указанном ранее порядке и сроки с учетом особенностей документооборота в электронной форме с использованием программно-аппаратных средств электронной площадки и подписывается электронной подписью лиц, имеющих право действовать от имени соответственно участника такой закупки, Заказчика;</w:t>
            </w:r>
          </w:p>
          <w:p>
            <w:pPr>
              <w:pStyle w:val="Style66"/>
              <w:widowControl w:val="false"/>
              <w:spacing w:before="0" w:after="0"/>
              <w:contextualSpacing/>
              <w:jc w:val="both"/>
              <w:rPr>
                <w:rFonts w:ascii="Times New Roman" w:hAnsi="Times New Roman" w:cs="Times New Roman"/>
                <w:sz w:val="22"/>
                <w:szCs w:val="22"/>
              </w:rPr>
            </w:pPr>
            <w:r>
              <w:rPr>
                <w:rFonts w:cs="Times New Roman" w:ascii="Times New Roman" w:hAnsi="Times New Roman"/>
                <w:sz w:val="22"/>
                <w:szCs w:val="22"/>
              </w:rPr>
              <w:tab/>
              <w:t>6) если в соответствии с законодательством РФ заключение договора требует получения одобрения от органа управления Заказчика, то договор должен быть заключен не позднее чем через 5 (пять) дней с даты указанного одобрения. Аналогичный срок действует с даты вынесения решения антимонопольного органа по результатам рассмотрения жалобы на действия (бездействие) Заказчика, комиссии по закупкам, оператора электронной площадки.</w:t>
            </w:r>
          </w:p>
        </w:tc>
      </w:tr>
      <w:tr>
        <w:trPr/>
        <w:tc>
          <w:tcPr>
            <w:tcW w:w="810" w:type="dxa"/>
            <w:tcBorders>
              <w:top w:val="single" w:sz="4" w:space="0" w:color="000000"/>
              <w:left w:val="single" w:sz="4" w:space="0" w:color="000000"/>
              <w:bottom w:val="single" w:sz="4" w:space="0" w:color="000000"/>
              <w:right w:val="single" w:sz="4" w:space="0" w:color="000000"/>
            </w:tcBorders>
            <w:shd w:fill="auto" w:val="clear"/>
          </w:tcPr>
          <w:p>
            <w:pPr>
              <w:pStyle w:val="Style48"/>
              <w:widowControl w:val="false"/>
              <w:spacing w:before="0" w:after="0"/>
              <w:ind w:left="0" w:right="0" w:hanging="0"/>
              <w:contextualSpacing/>
              <w:jc w:val="center"/>
              <w:rPr>
                <w:sz w:val="22"/>
                <w:lang w:val="ru-RU"/>
              </w:rPr>
            </w:pPr>
            <w:r>
              <w:rPr>
                <w:sz w:val="22"/>
                <w:lang w:val="ru-RU"/>
              </w:rPr>
              <w:t>20.</w:t>
            </w:r>
          </w:p>
        </w:tc>
        <w:tc>
          <w:tcPr>
            <w:tcW w:w="2427" w:type="dxa"/>
            <w:tcBorders>
              <w:top w:val="single" w:sz="4" w:space="0" w:color="000000"/>
              <w:left w:val="single" w:sz="4" w:space="0" w:color="000000"/>
              <w:bottom w:val="single" w:sz="4" w:space="0" w:color="000000"/>
              <w:right w:val="single" w:sz="4" w:space="0" w:color="000000"/>
            </w:tcBorders>
            <w:shd w:fill="auto" w:val="clear"/>
          </w:tcPr>
          <w:p>
            <w:pPr>
              <w:pStyle w:val="Style48"/>
              <w:widowControl w:val="false"/>
              <w:spacing w:before="0" w:after="0"/>
              <w:contextualSpacing/>
              <w:jc w:val="left"/>
              <w:rPr>
                <w:rFonts w:ascii="Times New Roman" w:hAnsi="Times New Roman"/>
                <w:sz w:val="22"/>
                <w:lang w:val="ru-RU"/>
              </w:rPr>
            </w:pPr>
            <w:r>
              <w:rPr>
                <w:sz w:val="22"/>
                <w:lang w:val="ru-RU"/>
              </w:rPr>
              <w:t>Обеспечение исполнения обязательств по договору:</w:t>
            </w:r>
          </w:p>
        </w:tc>
        <w:tc>
          <w:tcPr>
            <w:tcW w:w="673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ind w:left="0" w:right="0" w:hanging="0"/>
              <w:rPr>
                <w:bCs/>
                <w:sz w:val="22"/>
                <w:lang w:val="ru-RU"/>
              </w:rPr>
            </w:pPr>
            <w:r>
              <w:rPr>
                <w:bCs/>
                <w:sz w:val="22"/>
                <w:lang w:val="ru-RU"/>
              </w:rPr>
              <w:t>Не предусмотрено</w:t>
            </w:r>
          </w:p>
        </w:tc>
      </w:tr>
    </w:tbl>
    <w:p>
      <w:pPr>
        <w:pStyle w:val="3"/>
        <w:rPr>
          <w:rFonts w:ascii="Times New Roman" w:hAnsi="Times New Roman" w:cs="Times New Roman"/>
          <w:b/>
          <w:b/>
          <w:bCs/>
          <w:sz w:val="22"/>
          <w:szCs w:val="22"/>
          <w:u w:val="single"/>
        </w:rPr>
      </w:pPr>
      <w:r>
        <w:rPr>
          <w:rFonts w:cs="Times New Roman"/>
          <w:b/>
          <w:bCs/>
          <w:sz w:val="22"/>
          <w:szCs w:val="22"/>
          <w:u w:val="single"/>
        </w:rPr>
      </w:r>
    </w:p>
    <w:p>
      <w:pPr>
        <w:pStyle w:val="Normal"/>
        <w:rPr>
          <w:rFonts w:ascii="Times New Roman" w:hAnsi="Times New Roman" w:cs="Times New Roman"/>
          <w:b/>
          <w:b/>
          <w:bCs/>
          <w:sz w:val="22"/>
          <w:szCs w:val="22"/>
          <w:u w:val="single"/>
        </w:rPr>
      </w:pPr>
      <w:r>
        <w:rPr>
          <w:rFonts w:cs="Times New Roman"/>
          <w:b/>
          <w:bCs/>
          <w:sz w:val="22"/>
          <w:szCs w:val="22"/>
          <w:u w:val="single"/>
        </w:rPr>
      </w:r>
    </w:p>
    <w:p>
      <w:pPr>
        <w:pStyle w:val="3"/>
        <w:rPr>
          <w:rFonts w:ascii="Times New Roman" w:hAnsi="Times New Roman" w:cs="Times New Roman"/>
          <w:b/>
          <w:b/>
          <w:bCs/>
          <w:sz w:val="22"/>
          <w:szCs w:val="22"/>
          <w:u w:val="single"/>
        </w:rPr>
      </w:pPr>
      <w:bookmarkStart w:id="53" w:name="__RefHeading___Toc5755_1322379191"/>
      <w:bookmarkEnd w:id="53"/>
      <w:r>
        <w:rPr>
          <w:rFonts w:eastAsia="Times New Roman" w:cs="Times New Roman"/>
          <w:b/>
          <w:bCs/>
          <w:color w:val="auto"/>
          <w:kern w:val="0"/>
          <w:sz w:val="22"/>
          <w:szCs w:val="22"/>
          <w:u w:val="single"/>
          <w:lang w:val="ru-RU" w:eastAsia="en-US" w:bidi="en-US"/>
        </w:rPr>
        <w:t>РАЗДЕЛ 3.</w:t>
      </w:r>
      <w:r>
        <w:rPr>
          <w:rFonts w:eastAsia="Times New Roman" w:cs="Times New Roman"/>
          <w:b/>
          <w:bCs/>
          <w:color w:val="auto"/>
          <w:kern w:val="0"/>
          <w:sz w:val="22"/>
          <w:szCs w:val="22"/>
          <w:u w:val="none"/>
          <w:lang w:val="ru-RU" w:eastAsia="en-US" w:bidi="en-US"/>
        </w:rPr>
        <w:t xml:space="preserve"> ТЕХНИЧЕСКОЕ ЗАДАНИЕ</w:t>
      </w:r>
    </w:p>
    <w:p>
      <w:pPr>
        <w:pStyle w:val="Normal"/>
        <w:widowControl/>
        <w:shd w:val="clear" w:fill="auto"/>
        <w:tabs>
          <w:tab w:val="clear" w:pos="709"/>
          <w:tab w:val="left" w:pos="851" w:leader="none"/>
        </w:tabs>
        <w:suppressAutoHyphens w:val="true"/>
        <w:bidi w:val="0"/>
        <w:spacing w:lineRule="auto" w:line="240"/>
        <w:ind w:left="6236" w:right="0" w:hanging="6293"/>
        <w:jc w:val="center"/>
        <w:rPr>
          <w:rFonts w:ascii="Times New Roman" w:hAnsi="Times New Roman" w:cs="Times New Roman"/>
          <w:b/>
          <w:b/>
          <w:bCs/>
          <w:sz w:val="22"/>
          <w:szCs w:val="22"/>
          <w:u w:val="single"/>
        </w:rPr>
      </w:pPr>
      <w:r>
        <w:rPr>
          <w:rFonts w:cs="Times New Roman"/>
          <w:b/>
          <w:bCs/>
          <w:sz w:val="22"/>
          <w:szCs w:val="22"/>
          <w:u w:val="single"/>
        </w:rPr>
      </w:r>
    </w:p>
    <w:p>
      <w:pPr>
        <w:pStyle w:val="FORMATTEXT1"/>
        <w:widowControl/>
        <w:shd w:val="clear" w:fill="auto"/>
        <w:tabs>
          <w:tab w:val="clear" w:pos="709"/>
          <w:tab w:val="left" w:pos="851" w:leader="none"/>
        </w:tabs>
        <w:suppressAutoHyphens w:val="true"/>
        <w:bidi w:val="0"/>
        <w:spacing w:lineRule="auto" w:line="240"/>
        <w:ind w:left="6236" w:right="0" w:hanging="6293"/>
        <w:jc w:val="center"/>
        <w:rPr>
          <w:color w:val="C9211E"/>
        </w:rPr>
      </w:pPr>
      <w:r>
        <w:rPr>
          <w:rFonts w:eastAsia="Times New Roman" w:cs="Times New Roman"/>
          <w:b w:val="false"/>
          <w:bCs w:val="false"/>
          <w:color w:val="C9211E"/>
          <w:kern w:val="0"/>
          <w:sz w:val="22"/>
          <w:szCs w:val="22"/>
          <w:u w:val="none"/>
          <w:shd w:fill="auto" w:val="clear"/>
          <w:lang w:val="ru-RU" w:eastAsia="en-US" w:bidi="en-US"/>
        </w:rPr>
        <w:t>Представлено отдельным файлом.</w:t>
      </w:r>
    </w:p>
    <w:p>
      <w:pPr>
        <w:pStyle w:val="3"/>
        <w:shd w:val="clear" w:fill="FFFFFF"/>
        <w:tabs>
          <w:tab w:val="clear" w:pos="709"/>
          <w:tab w:val="left" w:pos="851" w:leader="none"/>
        </w:tabs>
        <w:rPr>
          <w:sz w:val="22"/>
        </w:rPr>
      </w:pPr>
      <w:r>
        <w:rPr>
          <w:sz w:val="22"/>
        </w:rPr>
      </w:r>
    </w:p>
    <w:p>
      <w:pPr>
        <w:pStyle w:val="3"/>
        <w:shd w:val="clear" w:fill="FFFFFF"/>
        <w:tabs>
          <w:tab w:val="clear" w:pos="709"/>
          <w:tab w:val="left" w:pos="851" w:leader="none"/>
        </w:tabs>
        <w:rPr>
          <w:sz w:val="22"/>
        </w:rPr>
      </w:pPr>
      <w:r>
        <w:rPr>
          <w:sz w:val="22"/>
        </w:rPr>
      </w:r>
    </w:p>
    <w:p>
      <w:pPr>
        <w:pStyle w:val="Normal"/>
        <w:shd w:val="clear" w:fill="FFFFFF"/>
        <w:tabs>
          <w:tab w:val="clear" w:pos="709"/>
          <w:tab w:val="left" w:pos="851" w:leader="none"/>
        </w:tabs>
        <w:rPr>
          <w:sz w:val="22"/>
        </w:rPr>
      </w:pPr>
      <w:r>
        <w:rPr>
          <w:sz w:val="22"/>
        </w:rPr>
      </w:r>
    </w:p>
    <w:p>
      <w:pPr>
        <w:pStyle w:val="3"/>
        <w:rPr>
          <w:sz w:val="22"/>
        </w:rPr>
      </w:pPr>
      <w:bookmarkStart w:id="54" w:name="__RefHeading___Toc5757_1322379191"/>
      <w:bookmarkEnd w:id="54"/>
      <w:r>
        <w:rPr>
          <w:rFonts w:eastAsia="Times New Roman" w:cs="Times New Roman"/>
          <w:b/>
          <w:bCs/>
          <w:i w:val="false"/>
          <w:iCs w:val="false"/>
          <w:color w:val="auto"/>
          <w:kern w:val="0"/>
          <w:sz w:val="22"/>
          <w:szCs w:val="22"/>
          <w:u w:val="single"/>
          <w:lang w:val="ru-RU" w:eastAsia="en-US" w:bidi="en-US"/>
        </w:rPr>
        <w:t>РАЗДЕЛ 4.</w:t>
      </w:r>
      <w:r>
        <w:rPr>
          <w:rFonts w:eastAsia="Times New Roman" w:cs="Times New Roman"/>
          <w:b/>
          <w:bCs/>
          <w:i w:val="false"/>
          <w:iCs w:val="false"/>
          <w:color w:val="auto"/>
          <w:kern w:val="0"/>
          <w:sz w:val="22"/>
          <w:szCs w:val="22"/>
          <w:u w:val="none"/>
          <w:lang w:val="ru-RU" w:eastAsia="en-US" w:bidi="en-US"/>
        </w:rPr>
        <w:t xml:space="preserve">   ПРОЕКТ ДОГОВОРА</w:t>
      </w:r>
    </w:p>
    <w:p>
      <w:pPr>
        <w:pStyle w:val="FORMATTEXT1"/>
        <w:widowControl/>
        <w:shd w:val="clear" w:fill="auto"/>
        <w:tabs>
          <w:tab w:val="clear" w:pos="709"/>
          <w:tab w:val="left" w:pos="851" w:leader="none"/>
        </w:tabs>
        <w:suppressAutoHyphens w:val="true"/>
        <w:bidi w:val="0"/>
        <w:spacing w:lineRule="auto" w:line="240"/>
        <w:ind w:left="6236" w:right="0" w:hanging="6293"/>
        <w:jc w:val="center"/>
        <w:rPr>
          <w:rFonts w:ascii="Times New Roman" w:hAnsi="Times New Roman" w:eastAsia="Times New Roman" w:cs="Times New Roman"/>
          <w:color w:val="C9211E"/>
          <w:kern w:val="0"/>
          <w:sz w:val="22"/>
          <w:szCs w:val="22"/>
          <w:u w:val="none"/>
          <w:lang w:val="ru-RU" w:eastAsia="en-US" w:bidi="en-US"/>
        </w:rPr>
      </w:pPr>
      <w:r>
        <w:rPr>
          <w:rFonts w:eastAsia="Times New Roman" w:cs="Times New Roman"/>
          <w:color w:val="C9211E"/>
          <w:kern w:val="0"/>
          <w:sz w:val="22"/>
          <w:szCs w:val="22"/>
          <w:u w:val="none"/>
          <w:lang w:val="ru-RU" w:eastAsia="en-US" w:bidi="en-US"/>
        </w:rPr>
      </w:r>
    </w:p>
    <w:p>
      <w:pPr>
        <w:pStyle w:val="FORMATTEXT1"/>
        <w:widowControl/>
        <w:shd w:val="clear" w:fill="auto"/>
        <w:tabs>
          <w:tab w:val="clear" w:pos="709"/>
          <w:tab w:val="left" w:pos="851" w:leader="none"/>
        </w:tabs>
        <w:suppressAutoHyphens w:val="true"/>
        <w:bidi w:val="0"/>
        <w:spacing w:lineRule="auto" w:line="240"/>
        <w:ind w:left="6236" w:right="0" w:hanging="6293"/>
        <w:jc w:val="center"/>
        <w:rPr>
          <w:color w:val="C9211E"/>
        </w:rPr>
      </w:pPr>
      <w:r>
        <w:rPr>
          <w:rFonts w:eastAsia="Times New Roman" w:cs="Times New Roman"/>
          <w:b w:val="false"/>
          <w:bCs w:val="false"/>
          <w:color w:val="C9211E"/>
          <w:kern w:val="0"/>
          <w:sz w:val="22"/>
          <w:szCs w:val="22"/>
          <w:u w:val="none"/>
          <w:shd w:fill="auto" w:val="clear"/>
          <w:lang w:val="ru-RU" w:eastAsia="en-US" w:bidi="en-US"/>
        </w:rPr>
        <w:t>Представлено отдельным файлом.</w:t>
      </w:r>
    </w:p>
    <w:p>
      <w:pPr>
        <w:pStyle w:val="Normal"/>
        <w:shd w:val="clear" w:fill="FFFFFF"/>
        <w:tabs>
          <w:tab w:val="clear" w:pos="709"/>
          <w:tab w:val="left" w:pos="851" w:leader="none"/>
        </w:tabs>
        <w:rPr>
          <w:sz w:val="22"/>
        </w:rPr>
      </w:pPr>
      <w:r>
        <w:rPr>
          <w:sz w:val="22"/>
        </w:rPr>
      </w:r>
    </w:p>
    <w:p>
      <w:pPr>
        <w:pStyle w:val="Normal"/>
        <w:shd w:val="clear" w:fill="FFFFFF"/>
        <w:tabs>
          <w:tab w:val="clear" w:pos="709"/>
          <w:tab w:val="left" w:pos="851" w:leader="none"/>
        </w:tabs>
        <w:rPr>
          <w:sz w:val="22"/>
        </w:rPr>
      </w:pPr>
      <w:r>
        <w:rPr>
          <w:sz w:val="22"/>
        </w:rPr>
      </w:r>
    </w:p>
    <w:p>
      <w:pPr>
        <w:pStyle w:val="Normal"/>
        <w:shd w:val="clear" w:fill="FFFFFF"/>
        <w:tabs>
          <w:tab w:val="clear" w:pos="709"/>
          <w:tab w:val="left" w:pos="851" w:leader="none"/>
        </w:tabs>
        <w:rPr>
          <w:sz w:val="22"/>
        </w:rPr>
      </w:pPr>
      <w:r>
        <w:rPr>
          <w:sz w:val="22"/>
        </w:rPr>
      </w:r>
    </w:p>
    <w:p>
      <w:pPr>
        <w:pStyle w:val="Normal"/>
        <w:shd w:val="clear" w:fill="FFFFFF"/>
        <w:tabs>
          <w:tab w:val="clear" w:pos="709"/>
          <w:tab w:val="left" w:pos="851" w:leader="none"/>
        </w:tabs>
        <w:rPr>
          <w:sz w:val="22"/>
        </w:rPr>
      </w:pPr>
      <w:r>
        <w:rPr>
          <w:sz w:val="22"/>
        </w:rPr>
      </w:r>
    </w:p>
    <w:p>
      <w:pPr>
        <w:pStyle w:val="3"/>
        <w:rPr/>
      </w:pPr>
      <w:bookmarkStart w:id="55" w:name="__RefHeading___Toc5759_1322379191"/>
      <w:bookmarkEnd w:id="55"/>
      <w:r>
        <w:rPr>
          <w:rFonts w:eastAsia="Times New Roman" w:cs="Times New Roman"/>
          <w:b/>
          <w:bCs/>
          <w:color w:val="auto"/>
          <w:kern w:val="0"/>
          <w:sz w:val="22"/>
          <w:szCs w:val="22"/>
          <w:u w:val="single"/>
          <w:lang w:val="ru-RU" w:eastAsia="en-US" w:bidi="en-US"/>
        </w:rPr>
        <w:t>РАЗДЕЛ  5.</w:t>
      </w:r>
      <w:r>
        <w:rPr>
          <w:rFonts w:eastAsia="Times New Roman" w:cs="Times New Roman"/>
          <w:b/>
          <w:bCs/>
          <w:color w:val="auto"/>
          <w:kern w:val="0"/>
          <w:sz w:val="22"/>
          <w:szCs w:val="22"/>
          <w:u w:val="none"/>
          <w:lang w:val="ru-RU" w:eastAsia="en-US" w:bidi="en-US"/>
        </w:rPr>
        <w:t xml:space="preserve"> ОБОСНОВАНИЕ НАЧАЛЬНОЙ (МАКСИМАЛЬНОЙ) ЦЕНЫ ДОГОВОРА</w:t>
      </w:r>
    </w:p>
    <w:p>
      <w:pPr>
        <w:pStyle w:val="Normal"/>
        <w:shd w:val="clear" w:fill="FFFFFF"/>
        <w:tabs>
          <w:tab w:val="clear" w:pos="709"/>
          <w:tab w:val="left" w:pos="851" w:leader="none"/>
        </w:tabs>
        <w:jc w:val="center"/>
        <w:rPr>
          <w:rFonts w:ascii="Times New Roman" w:hAnsi="Times New Roman" w:eastAsia="Times New Roman" w:cs="Times New Roman"/>
          <w:b/>
          <w:b/>
          <w:bCs/>
          <w:color w:val="auto"/>
          <w:kern w:val="0"/>
          <w:sz w:val="22"/>
          <w:szCs w:val="22"/>
          <w:lang w:val="ru-RU" w:eastAsia="en-US" w:bidi="en-US"/>
        </w:rPr>
      </w:pPr>
      <w:r>
        <w:rPr>
          <w:rFonts w:eastAsia="Times New Roman" w:cs="Times New Roman"/>
          <w:b/>
          <w:bCs/>
          <w:color w:val="auto"/>
          <w:kern w:val="0"/>
          <w:sz w:val="22"/>
          <w:szCs w:val="22"/>
          <w:lang w:val="ru-RU" w:eastAsia="en-US" w:bidi="en-US"/>
        </w:rPr>
      </w:r>
    </w:p>
    <w:p>
      <w:pPr>
        <w:pStyle w:val="Normal"/>
        <w:shd w:val="clear" w:fill="FFFFFF"/>
        <w:tabs>
          <w:tab w:val="clear" w:pos="709"/>
          <w:tab w:val="left" w:pos="851" w:leader="none"/>
        </w:tabs>
        <w:jc w:val="center"/>
        <w:rPr>
          <w:color w:val="C9211E"/>
        </w:rPr>
      </w:pPr>
      <w:r>
        <w:rPr>
          <w:rFonts w:eastAsia="Times New Roman" w:cs="Times New Roman"/>
          <w:b w:val="false"/>
          <w:bCs w:val="false"/>
          <w:color w:val="C9211E"/>
          <w:kern w:val="0"/>
          <w:sz w:val="22"/>
          <w:szCs w:val="22"/>
          <w:u w:val="none"/>
          <w:lang w:val="ru-RU" w:eastAsia="en-US" w:bidi="en-US"/>
        </w:rPr>
        <w:t>Представлено отдельным файлом</w:t>
      </w:r>
    </w:p>
    <w:p>
      <w:pPr>
        <w:pStyle w:val="Normal"/>
        <w:shd w:val="clear" w:fill="FFFFFF"/>
        <w:tabs>
          <w:tab w:val="clear" w:pos="709"/>
          <w:tab w:val="left" w:pos="851" w:leader="none"/>
        </w:tabs>
        <w:jc w:val="center"/>
        <w:rPr/>
      </w:pPr>
      <w:r>
        <w:rPr/>
      </w:r>
    </w:p>
    <w:p>
      <w:pPr>
        <w:pStyle w:val="Normal"/>
        <w:shd w:val="clear" w:fill="FFFFFF"/>
        <w:tabs>
          <w:tab w:val="clear" w:pos="709"/>
          <w:tab w:val="left" w:pos="851" w:leader="none"/>
        </w:tabs>
        <w:rPr>
          <w:sz w:val="22"/>
        </w:rPr>
      </w:pPr>
      <w:r>
        <w:rPr>
          <w:sz w:val="22"/>
        </w:rPr>
      </w:r>
    </w:p>
    <w:p>
      <w:pPr>
        <w:pStyle w:val="Normal"/>
        <w:shd w:val="clear" w:fill="FFFFFF"/>
        <w:tabs>
          <w:tab w:val="clear" w:pos="709"/>
          <w:tab w:val="left" w:pos="851" w:leader="none"/>
        </w:tabs>
        <w:rPr>
          <w:sz w:val="22"/>
        </w:rPr>
      </w:pPr>
      <w:r>
        <w:rPr>
          <w:sz w:val="22"/>
        </w:rPr>
      </w:r>
    </w:p>
    <w:p>
      <w:pPr>
        <w:pStyle w:val="3"/>
        <w:shd w:val="clear" w:fill="FFFFFF"/>
        <w:tabs>
          <w:tab w:val="clear" w:pos="709"/>
          <w:tab w:val="left" w:pos="851" w:leader="none"/>
        </w:tabs>
        <w:rPr>
          <w:sz w:val="22"/>
        </w:rPr>
      </w:pPr>
      <w:bookmarkStart w:id="56" w:name="__RefHeading___Toc5753_1322379191"/>
      <w:bookmarkEnd w:id="56"/>
      <w:r>
        <w:rPr>
          <w:rFonts w:eastAsia="Times New Roman" w:cs="Times New Roman"/>
          <w:b/>
          <w:bCs/>
          <w:color w:val="auto"/>
          <w:kern w:val="0"/>
          <w:sz w:val="22"/>
          <w:szCs w:val="22"/>
          <w:u w:val="single"/>
          <w:lang w:val="ru-RU" w:eastAsia="en-US" w:bidi="en-US"/>
        </w:rPr>
        <w:t>РАЗДЕЛ 6</w:t>
      </w:r>
      <w:r>
        <w:rPr>
          <w:sz w:val="22"/>
          <w:u w:val="single"/>
        </w:rPr>
        <w:t>.</w:t>
      </w:r>
      <w:r>
        <w:rPr>
          <w:sz w:val="22"/>
        </w:rPr>
        <w:t xml:space="preserve">    </w:t>
      </w:r>
    </w:p>
    <w:p>
      <w:pPr>
        <w:pStyle w:val="3"/>
        <w:shd w:val="clear" w:fill="FFFFFF"/>
        <w:tabs>
          <w:tab w:val="clear" w:pos="709"/>
          <w:tab w:val="left" w:pos="851" w:leader="none"/>
        </w:tabs>
        <w:rPr>
          <w:sz w:val="22"/>
        </w:rPr>
      </w:pPr>
      <w:r>
        <w:rPr>
          <w:sz w:val="22"/>
        </w:rPr>
        <w:t xml:space="preserve">ОБРАЗЦЫ ФОРМ ДОКУМЕНТОВ, </w:t>
      </w:r>
    </w:p>
    <w:p>
      <w:pPr>
        <w:pStyle w:val="3"/>
        <w:shd w:val="clear" w:fill="FFFFFF"/>
        <w:tabs>
          <w:tab w:val="clear" w:pos="709"/>
          <w:tab w:val="left" w:pos="851" w:leader="none"/>
        </w:tabs>
        <w:rPr>
          <w:sz w:val="22"/>
        </w:rPr>
      </w:pPr>
      <w:bookmarkStart w:id="57" w:name="__RefHeading___Toc5182_1815835872"/>
      <w:bookmarkEnd w:id="57"/>
      <w:r>
        <w:rPr>
          <w:sz w:val="22"/>
        </w:rPr>
        <w:t>ВКЛЮЧАЕМЫХ В ЗАЯВКУ НА УЧАСТИЕ В АУКЦИОНЕ В ЭЛЕКТРОННОЙ ФОРМЕ</w:t>
      </w:r>
    </w:p>
    <w:p>
      <w:pPr>
        <w:pStyle w:val="Style57"/>
        <w:jc w:val="center"/>
        <w:rPr>
          <w:lang w:val="ru-RU"/>
        </w:rPr>
      </w:pPr>
      <w:r>
        <w:rPr>
          <w:lang w:val="ru-RU"/>
        </w:rPr>
      </w:r>
    </w:p>
    <w:p>
      <w:pPr>
        <w:pStyle w:val="Style57"/>
        <w:jc w:val="right"/>
        <w:rPr>
          <w:b/>
          <w:b/>
          <w:bCs/>
          <w:color w:val="3465A4"/>
        </w:rPr>
      </w:pPr>
      <w:bookmarkStart w:id="58" w:name="__RefHeading___Toc5184_1815835872"/>
      <w:bookmarkEnd w:id="58"/>
      <w:r>
        <w:rPr>
          <w:b/>
          <w:bCs/>
          <w:color w:val="3465A4"/>
          <w:lang w:val="ru-RU"/>
        </w:rPr>
        <w:t>Форма 1 «Согласие на участие в аукционе»</w:t>
      </w:r>
    </w:p>
    <w:p>
      <w:pPr>
        <w:pStyle w:val="Style57"/>
        <w:jc w:val="center"/>
        <w:rPr>
          <w:lang w:val="ru-RU"/>
        </w:rPr>
      </w:pPr>
      <w:r>
        <w:rPr>
          <w:lang w:val="ru-RU"/>
        </w:rPr>
      </w:r>
    </w:p>
    <w:p>
      <w:pPr>
        <w:pStyle w:val="Style57"/>
        <w:ind w:left="0" w:right="0" w:hanging="0"/>
        <w:rPr>
          <w:lang w:val="ru-RU"/>
        </w:rPr>
      </w:pPr>
      <w:r>
        <w:rPr>
          <w:lang w:val="ru-RU"/>
        </w:rPr>
        <w:t>Согласие на участие в электронном аукционе Настоящим организация (физическое лицо), сведения о которой (ом) указаны во второй части заявки, выражает согласие на поставку товаров и (или) выполнение работ и (или) оказание услуг, соответствующих требованиям документации об электронном аукционе на _____________________________(наименование объекта закупки) реестровый номер торгов _________________________, на условиях, предусмотренных указанной аукционной документацией</w:t>
      </w:r>
    </w:p>
    <w:p>
      <w:pPr>
        <w:pStyle w:val="Style57"/>
        <w:ind w:left="0" w:right="0" w:hanging="0"/>
        <w:rPr>
          <w:lang w:val="ru-RU"/>
        </w:rPr>
      </w:pPr>
      <w:r>
        <w:rPr>
          <w:lang w:val="ru-RU"/>
        </w:rPr>
      </w:r>
    </w:p>
    <w:p>
      <w:pPr>
        <w:pStyle w:val="Style57"/>
        <w:ind w:left="0" w:right="0" w:hanging="0"/>
        <w:rPr>
          <w:lang w:val="ru-RU"/>
        </w:rPr>
      </w:pPr>
      <w:r>
        <w:rPr>
          <w:lang w:val="ru-RU"/>
        </w:rPr>
      </w:r>
    </w:p>
    <w:p>
      <w:pPr>
        <w:pStyle w:val="Style57"/>
        <w:ind w:left="0" w:right="0" w:hanging="0"/>
        <w:rPr>
          <w:lang w:val="ru-RU"/>
        </w:rPr>
      </w:pPr>
      <w:r>
        <w:rPr>
          <w:lang w:val="ru-RU"/>
        </w:rPr>
      </w:r>
    </w:p>
    <w:p>
      <w:pPr>
        <w:pStyle w:val="Style57"/>
        <w:ind w:left="0" w:right="0" w:hanging="0"/>
        <w:jc w:val="right"/>
        <w:rPr>
          <w:color w:val="3465A4"/>
        </w:rPr>
      </w:pPr>
      <w:r>
        <w:rPr>
          <w:b/>
          <w:color w:val="3465A4"/>
          <w:sz w:val="22"/>
          <w:lang w:val="ru-RU"/>
        </w:rPr>
        <w:t xml:space="preserve">Форма № </w:t>
      </w:r>
      <w:r>
        <w:rPr>
          <w:rFonts w:eastAsia="Times New Roman" w:cs="Times New Roman"/>
          <w:b/>
          <w:color w:val="3465A4"/>
          <w:kern w:val="0"/>
          <w:sz w:val="22"/>
          <w:szCs w:val="22"/>
          <w:lang w:val="ru-RU" w:eastAsia="en-US" w:bidi="en-US"/>
        </w:rPr>
        <w:t>2</w:t>
      </w:r>
      <w:r>
        <w:rPr>
          <w:b/>
          <w:color w:val="3465A4"/>
          <w:sz w:val="22"/>
          <w:lang w:val="ru-RU"/>
        </w:rPr>
        <w:t>. «Анкета участника размещения заказа»</w:t>
      </w:r>
    </w:p>
    <w:p>
      <w:pPr>
        <w:pStyle w:val="Normal"/>
        <w:jc w:val="center"/>
        <w:rPr>
          <w:sz w:val="22"/>
          <w:lang w:val="ru-RU"/>
        </w:rPr>
      </w:pPr>
      <w:r>
        <w:rPr>
          <w:sz w:val="22"/>
          <w:lang w:val="ru-RU"/>
        </w:rPr>
      </w:r>
    </w:p>
    <w:p>
      <w:pPr>
        <w:pStyle w:val="Caaieiaie2"/>
        <w:widowControl/>
        <w:rPr>
          <w:sz w:val="22"/>
          <w:szCs w:val="22"/>
        </w:rPr>
      </w:pPr>
      <w:r>
        <w:rPr>
          <w:sz w:val="22"/>
          <w:szCs w:val="22"/>
        </w:rPr>
        <w:t xml:space="preserve">АНКЕТА УЧАСТНИКА </w:t>
      </w:r>
    </w:p>
    <w:p>
      <w:pPr>
        <w:pStyle w:val="Style67"/>
        <w:rPr>
          <w:lang w:val="ru-RU"/>
        </w:rPr>
      </w:pPr>
      <w:r>
        <w:rPr>
          <w:lang w:val="ru-RU"/>
        </w:rPr>
      </w:r>
    </w:p>
    <w:tbl>
      <w:tblPr>
        <w:tblW w:w="10035" w:type="dxa"/>
        <w:jc w:val="left"/>
        <w:tblInd w:w="15" w:type="dxa"/>
        <w:tblCellMar>
          <w:top w:w="15" w:type="dxa"/>
          <w:left w:w="15" w:type="dxa"/>
          <w:bottom w:w="0" w:type="dxa"/>
          <w:right w:w="15" w:type="dxa"/>
        </w:tblCellMar>
      </w:tblPr>
      <w:tblGrid>
        <w:gridCol w:w="4250"/>
        <w:gridCol w:w="5784"/>
      </w:tblGrid>
      <w:tr>
        <w:trPr>
          <w:trHeight w:val="170" w:hRule="atLeast"/>
        </w:trPr>
        <w:tc>
          <w:tcPr>
            <w:tcW w:w="10034"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ind w:left="-15" w:right="0" w:hanging="0"/>
              <w:jc w:val="center"/>
              <w:rPr>
                <w:b/>
                <w:b/>
                <w:bCs/>
                <w:sz w:val="22"/>
                <w:szCs w:val="22"/>
                <w:lang w:val="ru-RU"/>
              </w:rPr>
            </w:pPr>
            <w:r>
              <w:rPr>
                <w:b/>
                <w:bCs/>
                <w:sz w:val="22"/>
                <w:szCs w:val="22"/>
                <w:lang w:val="ru-RU"/>
              </w:rPr>
              <w:t>1. Паспорт участника закупки</w:t>
            </w:r>
          </w:p>
        </w:tc>
      </w:tr>
      <w:tr>
        <w:trPr>
          <w:trHeight w:val="133" w:hRule="atLeast"/>
        </w:trPr>
        <w:tc>
          <w:tcPr>
            <w:tcW w:w="425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ind w:left="89" w:right="126" w:hanging="0"/>
              <w:rPr>
                <w:sz w:val="22"/>
                <w:szCs w:val="22"/>
                <w:lang w:val="ru-RU"/>
              </w:rPr>
            </w:pPr>
            <w:r>
              <w:rPr>
                <w:sz w:val="22"/>
                <w:szCs w:val="22"/>
                <w:lang w:val="ru-RU"/>
              </w:rPr>
              <w:t>1.1. Организационно-правовая форма</w:t>
            </w:r>
          </w:p>
        </w:tc>
        <w:tc>
          <w:tcPr>
            <w:tcW w:w="5784" w:type="dxa"/>
            <w:tcBorders>
              <w:top w:val="single" w:sz="4" w:space="0" w:color="000000"/>
              <w:left w:val="single" w:sz="4" w:space="0" w:color="000000"/>
              <w:bottom w:val="single" w:sz="4" w:space="0" w:color="000000"/>
              <w:right w:val="single" w:sz="4" w:space="0" w:color="000000"/>
            </w:tcBorders>
            <w:shd w:fill="auto" w:val="clear"/>
            <w:tcMar>
              <w:top w:w="0" w:type="dxa"/>
              <w:left w:w="5" w:type="dxa"/>
              <w:right w:w="5" w:type="dxa"/>
            </w:tcMar>
            <w:vAlign w:val="center"/>
          </w:tcPr>
          <w:p>
            <w:pPr>
              <w:pStyle w:val="Normal"/>
              <w:widowControl w:val="false"/>
              <w:jc w:val="center"/>
              <w:rPr>
                <w:rFonts w:eastAsia="Arial Unicode MS"/>
                <w:sz w:val="22"/>
                <w:szCs w:val="22"/>
                <w:lang w:val="ru-RU"/>
              </w:rPr>
            </w:pPr>
            <w:r>
              <w:rPr>
                <w:rFonts w:eastAsia="Arial Unicode MS"/>
                <w:sz w:val="22"/>
                <w:szCs w:val="22"/>
                <w:lang w:val="ru-RU"/>
              </w:rPr>
            </w:r>
          </w:p>
        </w:tc>
      </w:tr>
      <w:tr>
        <w:trPr>
          <w:trHeight w:val="133" w:hRule="atLeast"/>
        </w:trPr>
        <w:tc>
          <w:tcPr>
            <w:tcW w:w="425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ind w:left="89" w:right="126" w:hanging="0"/>
              <w:rPr>
                <w:sz w:val="22"/>
                <w:szCs w:val="22"/>
                <w:lang w:val="ru-RU"/>
              </w:rPr>
            </w:pPr>
            <w:r>
              <w:rPr>
                <w:sz w:val="22"/>
                <w:szCs w:val="22"/>
                <w:lang w:val="ru-RU"/>
              </w:rPr>
              <w:t>1.2. Полное наименование</w:t>
            </w:r>
          </w:p>
        </w:tc>
        <w:tc>
          <w:tcPr>
            <w:tcW w:w="5784" w:type="dxa"/>
            <w:tcBorders>
              <w:top w:val="single" w:sz="4" w:space="0" w:color="000000"/>
              <w:left w:val="single" w:sz="4" w:space="0" w:color="000000"/>
              <w:bottom w:val="single" w:sz="4" w:space="0" w:color="000000"/>
              <w:right w:val="single" w:sz="4" w:space="0" w:color="000000"/>
            </w:tcBorders>
            <w:shd w:fill="auto" w:val="clear"/>
            <w:tcMar>
              <w:top w:w="0" w:type="dxa"/>
              <w:left w:w="5" w:type="dxa"/>
              <w:right w:w="5" w:type="dxa"/>
            </w:tcMar>
            <w:vAlign w:val="center"/>
          </w:tcPr>
          <w:p>
            <w:pPr>
              <w:pStyle w:val="Normal"/>
              <w:widowControl w:val="false"/>
              <w:jc w:val="center"/>
              <w:rPr>
                <w:rFonts w:eastAsia="Arial Unicode MS"/>
                <w:sz w:val="22"/>
                <w:szCs w:val="22"/>
                <w:lang w:val="ru-RU"/>
              </w:rPr>
            </w:pPr>
            <w:r>
              <w:rPr>
                <w:rFonts w:eastAsia="Arial Unicode MS"/>
                <w:sz w:val="22"/>
                <w:szCs w:val="22"/>
                <w:lang w:val="ru-RU"/>
              </w:rPr>
            </w:r>
          </w:p>
        </w:tc>
      </w:tr>
      <w:tr>
        <w:trPr>
          <w:trHeight w:val="151" w:hRule="atLeast"/>
        </w:trPr>
        <w:tc>
          <w:tcPr>
            <w:tcW w:w="425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ind w:left="89" w:right="126" w:hanging="0"/>
              <w:rPr>
                <w:sz w:val="22"/>
                <w:szCs w:val="22"/>
                <w:lang w:val="ru-RU"/>
              </w:rPr>
            </w:pPr>
            <w:r>
              <w:rPr>
                <w:sz w:val="22"/>
                <w:szCs w:val="22"/>
                <w:lang w:val="ru-RU"/>
              </w:rPr>
              <w:t>1.3. Сокращенное наименование</w:t>
            </w:r>
          </w:p>
        </w:tc>
        <w:tc>
          <w:tcPr>
            <w:tcW w:w="5784" w:type="dxa"/>
            <w:tcBorders>
              <w:top w:val="single" w:sz="4" w:space="0" w:color="000000"/>
              <w:left w:val="single" w:sz="4" w:space="0" w:color="000000"/>
              <w:bottom w:val="single" w:sz="4" w:space="0" w:color="000000"/>
              <w:right w:val="single" w:sz="4" w:space="0" w:color="000000"/>
            </w:tcBorders>
            <w:shd w:fill="auto" w:val="clear"/>
            <w:tcMar>
              <w:top w:w="0" w:type="dxa"/>
              <w:left w:w="5" w:type="dxa"/>
              <w:right w:w="5" w:type="dxa"/>
            </w:tcMar>
            <w:vAlign w:val="center"/>
          </w:tcPr>
          <w:p>
            <w:pPr>
              <w:pStyle w:val="Normal"/>
              <w:widowControl w:val="false"/>
              <w:jc w:val="center"/>
              <w:rPr>
                <w:rFonts w:eastAsia="Arial Unicode MS"/>
                <w:sz w:val="22"/>
                <w:szCs w:val="22"/>
                <w:lang w:val="ru-RU"/>
              </w:rPr>
            </w:pPr>
            <w:r>
              <w:rPr>
                <w:rFonts w:eastAsia="Arial Unicode MS"/>
                <w:sz w:val="22"/>
                <w:szCs w:val="22"/>
                <w:lang w:val="ru-RU"/>
              </w:rPr>
            </w:r>
          </w:p>
        </w:tc>
      </w:tr>
      <w:tr>
        <w:trPr>
          <w:trHeight w:val="74" w:hRule="atLeast"/>
        </w:trPr>
        <w:tc>
          <w:tcPr>
            <w:tcW w:w="425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ind w:left="89" w:right="126" w:hanging="0"/>
              <w:rPr>
                <w:sz w:val="22"/>
                <w:szCs w:val="22"/>
                <w:lang w:val="ru-RU"/>
              </w:rPr>
            </w:pPr>
            <w:r>
              <w:rPr>
                <w:sz w:val="22"/>
                <w:szCs w:val="22"/>
                <w:lang w:val="ru-RU"/>
              </w:rPr>
              <w:t>1.4. ИНН / КПП / ОГРН</w:t>
            </w:r>
          </w:p>
        </w:tc>
        <w:tc>
          <w:tcPr>
            <w:tcW w:w="5784" w:type="dxa"/>
            <w:tcBorders>
              <w:top w:val="single" w:sz="4" w:space="0" w:color="000000"/>
              <w:left w:val="single" w:sz="4" w:space="0" w:color="000000"/>
              <w:bottom w:val="single" w:sz="4" w:space="0" w:color="000000"/>
              <w:right w:val="single" w:sz="4" w:space="0" w:color="000000"/>
            </w:tcBorders>
            <w:shd w:fill="auto" w:val="clear"/>
            <w:tcMar>
              <w:top w:w="0" w:type="dxa"/>
              <w:left w:w="5" w:type="dxa"/>
              <w:right w:w="5" w:type="dxa"/>
            </w:tcMar>
            <w:vAlign w:val="center"/>
          </w:tcPr>
          <w:p>
            <w:pPr>
              <w:pStyle w:val="Normal"/>
              <w:widowControl w:val="false"/>
              <w:jc w:val="center"/>
              <w:rPr>
                <w:rFonts w:eastAsia="Arial Unicode MS"/>
                <w:sz w:val="22"/>
                <w:szCs w:val="22"/>
                <w:lang w:val="ru-RU"/>
              </w:rPr>
            </w:pPr>
            <w:r>
              <w:rPr>
                <w:rFonts w:eastAsia="Arial Unicode MS"/>
                <w:sz w:val="22"/>
                <w:szCs w:val="22"/>
                <w:lang w:val="ru-RU"/>
              </w:rPr>
            </w:r>
          </w:p>
        </w:tc>
      </w:tr>
      <w:tr>
        <w:trPr>
          <w:trHeight w:val="231" w:hRule="atLeast"/>
        </w:trPr>
        <w:tc>
          <w:tcPr>
            <w:tcW w:w="425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ind w:left="89" w:right="126" w:hanging="0"/>
              <w:rPr>
                <w:sz w:val="22"/>
                <w:szCs w:val="22"/>
                <w:lang w:val="ru-RU"/>
              </w:rPr>
            </w:pPr>
            <w:r>
              <w:rPr>
                <w:sz w:val="22"/>
                <w:szCs w:val="22"/>
                <w:lang w:val="ru-RU"/>
              </w:rPr>
              <w:t>1.5. Юридический адрес</w:t>
            </w:r>
          </w:p>
        </w:tc>
        <w:tc>
          <w:tcPr>
            <w:tcW w:w="5784" w:type="dxa"/>
            <w:tcBorders>
              <w:top w:val="single" w:sz="4" w:space="0" w:color="000000"/>
              <w:left w:val="single" w:sz="4" w:space="0" w:color="000000"/>
              <w:bottom w:val="single" w:sz="4" w:space="0" w:color="000000"/>
              <w:right w:val="single" w:sz="4" w:space="0" w:color="000000"/>
            </w:tcBorders>
            <w:shd w:fill="auto" w:val="clear"/>
            <w:tcMar>
              <w:top w:w="0" w:type="dxa"/>
              <w:left w:w="5" w:type="dxa"/>
              <w:right w:w="5" w:type="dxa"/>
            </w:tcMar>
            <w:vAlign w:val="center"/>
          </w:tcPr>
          <w:p>
            <w:pPr>
              <w:pStyle w:val="Normal"/>
              <w:widowControl w:val="false"/>
              <w:jc w:val="center"/>
              <w:rPr>
                <w:rFonts w:eastAsia="Arial Unicode MS"/>
                <w:sz w:val="22"/>
                <w:szCs w:val="22"/>
                <w:lang w:val="ru-RU"/>
              </w:rPr>
            </w:pPr>
            <w:r>
              <w:rPr>
                <w:rFonts w:eastAsia="Arial Unicode MS"/>
                <w:sz w:val="22"/>
                <w:szCs w:val="22"/>
                <w:lang w:val="ru-RU"/>
              </w:rPr>
            </w:r>
          </w:p>
        </w:tc>
      </w:tr>
      <w:tr>
        <w:trPr>
          <w:trHeight w:val="123" w:hRule="atLeast"/>
        </w:trPr>
        <w:tc>
          <w:tcPr>
            <w:tcW w:w="425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ind w:left="89" w:right="126" w:hanging="0"/>
              <w:rPr>
                <w:sz w:val="22"/>
                <w:szCs w:val="22"/>
                <w:lang w:val="ru-RU"/>
              </w:rPr>
            </w:pPr>
            <w:r>
              <w:rPr>
                <w:sz w:val="22"/>
                <w:szCs w:val="22"/>
                <w:lang w:val="ru-RU"/>
              </w:rPr>
              <w:t>1.6. Почтовый адрес</w:t>
            </w:r>
          </w:p>
        </w:tc>
        <w:tc>
          <w:tcPr>
            <w:tcW w:w="5784" w:type="dxa"/>
            <w:tcBorders>
              <w:top w:val="single" w:sz="4" w:space="0" w:color="000000"/>
              <w:left w:val="single" w:sz="4" w:space="0" w:color="000000"/>
              <w:bottom w:val="single" w:sz="4" w:space="0" w:color="000000"/>
              <w:right w:val="single" w:sz="4" w:space="0" w:color="000000"/>
            </w:tcBorders>
            <w:shd w:fill="FFFFFF" w:val="clear"/>
            <w:tcMar>
              <w:top w:w="0" w:type="dxa"/>
              <w:left w:w="5" w:type="dxa"/>
              <w:right w:w="5" w:type="dxa"/>
            </w:tcMar>
            <w:vAlign w:val="center"/>
          </w:tcPr>
          <w:p>
            <w:pPr>
              <w:pStyle w:val="Normal"/>
              <w:widowControl w:val="false"/>
              <w:jc w:val="center"/>
              <w:rPr>
                <w:rFonts w:eastAsia="Arial Unicode MS"/>
                <w:sz w:val="22"/>
                <w:szCs w:val="22"/>
                <w:lang w:val="ru-RU"/>
              </w:rPr>
            </w:pPr>
            <w:r>
              <w:rPr>
                <w:rFonts w:eastAsia="Arial Unicode MS"/>
                <w:sz w:val="22"/>
                <w:szCs w:val="22"/>
                <w:lang w:val="ru-RU"/>
              </w:rPr>
            </w:r>
          </w:p>
        </w:tc>
      </w:tr>
      <w:tr>
        <w:trPr>
          <w:trHeight w:val="37" w:hRule="atLeast"/>
        </w:trPr>
        <w:tc>
          <w:tcPr>
            <w:tcW w:w="425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ind w:left="89" w:right="126" w:hanging="0"/>
              <w:rPr>
                <w:sz w:val="22"/>
                <w:szCs w:val="22"/>
                <w:lang w:val="ru-RU"/>
              </w:rPr>
            </w:pPr>
            <w:r>
              <w:rPr>
                <w:sz w:val="22"/>
                <w:szCs w:val="22"/>
                <w:lang w:val="ru-RU"/>
              </w:rPr>
              <w:t>1.7. Интернет-сайт</w:t>
            </w:r>
          </w:p>
        </w:tc>
        <w:tc>
          <w:tcPr>
            <w:tcW w:w="5784" w:type="dxa"/>
            <w:tcBorders>
              <w:top w:val="single" w:sz="4" w:space="0" w:color="000000"/>
              <w:left w:val="single" w:sz="4" w:space="0" w:color="000000"/>
              <w:bottom w:val="single" w:sz="4" w:space="0" w:color="000000"/>
              <w:right w:val="single" w:sz="4" w:space="0" w:color="000000"/>
            </w:tcBorders>
            <w:shd w:fill="FFFFFF" w:val="clear"/>
            <w:tcMar>
              <w:top w:w="0" w:type="dxa"/>
              <w:left w:w="5" w:type="dxa"/>
              <w:right w:w="5" w:type="dxa"/>
            </w:tcMar>
            <w:vAlign w:val="center"/>
          </w:tcPr>
          <w:p>
            <w:pPr>
              <w:pStyle w:val="Normal"/>
              <w:widowControl w:val="false"/>
              <w:jc w:val="center"/>
              <w:rPr>
                <w:sz w:val="22"/>
                <w:szCs w:val="22"/>
                <w:lang w:val="ru-RU"/>
              </w:rPr>
            </w:pPr>
            <w:r>
              <w:rPr>
                <w:sz w:val="22"/>
                <w:szCs w:val="22"/>
                <w:lang w:val="ru-RU"/>
              </w:rPr>
            </w:r>
          </w:p>
        </w:tc>
      </w:tr>
      <w:tr>
        <w:trPr>
          <w:trHeight w:val="37" w:hRule="atLeast"/>
        </w:trPr>
        <w:tc>
          <w:tcPr>
            <w:tcW w:w="425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ind w:left="89" w:right="126" w:hanging="0"/>
              <w:rPr>
                <w:sz w:val="22"/>
                <w:szCs w:val="22"/>
                <w:lang w:val="ru-RU"/>
              </w:rPr>
            </w:pPr>
            <w:r>
              <w:rPr>
                <w:sz w:val="22"/>
                <w:szCs w:val="22"/>
                <w:lang w:val="ru-RU"/>
              </w:rPr>
              <w:t>1.8. Электронная почта</w:t>
            </w:r>
          </w:p>
        </w:tc>
        <w:tc>
          <w:tcPr>
            <w:tcW w:w="5784" w:type="dxa"/>
            <w:tcBorders>
              <w:top w:val="single" w:sz="4" w:space="0" w:color="000000"/>
              <w:left w:val="single" w:sz="4" w:space="0" w:color="000000"/>
              <w:bottom w:val="single" w:sz="4" w:space="0" w:color="000000"/>
              <w:right w:val="single" w:sz="4" w:space="0" w:color="000000"/>
            </w:tcBorders>
            <w:shd w:fill="FFFFFF" w:val="clear"/>
            <w:tcMar>
              <w:top w:w="0" w:type="dxa"/>
              <w:left w:w="5" w:type="dxa"/>
              <w:right w:w="5" w:type="dxa"/>
            </w:tcMar>
            <w:vAlign w:val="center"/>
          </w:tcPr>
          <w:p>
            <w:pPr>
              <w:pStyle w:val="Normal"/>
              <w:widowControl w:val="false"/>
              <w:jc w:val="center"/>
              <w:rPr>
                <w:sz w:val="22"/>
                <w:szCs w:val="22"/>
                <w:lang w:val="ru-RU"/>
              </w:rPr>
            </w:pPr>
            <w:r>
              <w:rPr>
                <w:sz w:val="22"/>
                <w:szCs w:val="22"/>
                <w:lang w:val="ru-RU"/>
              </w:rPr>
            </w:r>
          </w:p>
        </w:tc>
      </w:tr>
      <w:tr>
        <w:trPr>
          <w:trHeight w:val="37" w:hRule="atLeast"/>
        </w:trPr>
        <w:tc>
          <w:tcPr>
            <w:tcW w:w="425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ind w:left="89" w:right="126" w:hanging="0"/>
              <w:rPr>
                <w:sz w:val="22"/>
                <w:szCs w:val="22"/>
                <w:lang w:val="ru-RU"/>
              </w:rPr>
            </w:pPr>
            <w:r>
              <w:rPr>
                <w:sz w:val="22"/>
                <w:szCs w:val="22"/>
                <w:lang w:val="ru-RU"/>
              </w:rPr>
              <w:t>1.9. Телефон (код региона, номер)</w:t>
            </w:r>
          </w:p>
        </w:tc>
        <w:tc>
          <w:tcPr>
            <w:tcW w:w="5784" w:type="dxa"/>
            <w:tcBorders>
              <w:top w:val="single" w:sz="4" w:space="0" w:color="000000"/>
              <w:left w:val="single" w:sz="4" w:space="0" w:color="000000"/>
              <w:bottom w:val="single" w:sz="4" w:space="0" w:color="000000"/>
              <w:right w:val="single" w:sz="4" w:space="0" w:color="000000"/>
            </w:tcBorders>
            <w:shd w:fill="FFFFFF" w:val="clear"/>
            <w:tcMar>
              <w:top w:w="0" w:type="dxa"/>
              <w:left w:w="5" w:type="dxa"/>
              <w:right w:w="5" w:type="dxa"/>
            </w:tcMar>
            <w:vAlign w:val="center"/>
          </w:tcPr>
          <w:p>
            <w:pPr>
              <w:pStyle w:val="Normal"/>
              <w:widowControl w:val="false"/>
              <w:jc w:val="center"/>
              <w:rPr>
                <w:sz w:val="22"/>
                <w:szCs w:val="22"/>
                <w:lang w:val="ru-RU"/>
              </w:rPr>
            </w:pPr>
            <w:r>
              <w:rPr>
                <w:sz w:val="22"/>
                <w:szCs w:val="22"/>
                <w:lang w:val="ru-RU"/>
              </w:rPr>
            </w:r>
          </w:p>
        </w:tc>
      </w:tr>
      <w:tr>
        <w:trPr>
          <w:trHeight w:val="205" w:hRule="atLeast"/>
        </w:trPr>
        <w:tc>
          <w:tcPr>
            <w:tcW w:w="425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ind w:left="89" w:right="126" w:hanging="0"/>
              <w:rPr>
                <w:sz w:val="22"/>
                <w:szCs w:val="22"/>
                <w:lang w:val="ru-RU"/>
              </w:rPr>
            </w:pPr>
            <w:r>
              <w:rPr>
                <w:sz w:val="22"/>
                <w:szCs w:val="22"/>
                <w:lang w:val="ru-RU"/>
              </w:rPr>
              <w:t>1.10. Банковские реквизиты</w:t>
            </w:r>
          </w:p>
        </w:tc>
        <w:tc>
          <w:tcPr>
            <w:tcW w:w="5784" w:type="dxa"/>
            <w:tcBorders>
              <w:top w:val="single" w:sz="4" w:space="0" w:color="000000"/>
              <w:left w:val="single" w:sz="4" w:space="0" w:color="000000"/>
              <w:bottom w:val="single" w:sz="4" w:space="0" w:color="000000"/>
              <w:right w:val="single" w:sz="4" w:space="0" w:color="000000"/>
            </w:tcBorders>
            <w:shd w:fill="FFFFFF" w:val="clear"/>
            <w:tcMar>
              <w:top w:w="0" w:type="dxa"/>
              <w:left w:w="5" w:type="dxa"/>
              <w:right w:w="5" w:type="dxa"/>
            </w:tcMar>
            <w:vAlign w:val="center"/>
          </w:tcPr>
          <w:p>
            <w:pPr>
              <w:pStyle w:val="Normal"/>
              <w:widowControl w:val="false"/>
              <w:jc w:val="center"/>
              <w:rPr>
                <w:sz w:val="22"/>
                <w:szCs w:val="22"/>
                <w:lang w:val="ru-RU"/>
              </w:rPr>
            </w:pPr>
            <w:r>
              <w:rPr>
                <w:sz w:val="22"/>
                <w:szCs w:val="22"/>
                <w:lang w:val="ru-RU"/>
              </w:rPr>
            </w:r>
          </w:p>
        </w:tc>
      </w:tr>
      <w:tr>
        <w:trPr>
          <w:trHeight w:val="96" w:hRule="atLeast"/>
        </w:trPr>
        <w:tc>
          <w:tcPr>
            <w:tcW w:w="425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ind w:left="89" w:right="126" w:hanging="0"/>
              <w:rPr>
                <w:sz w:val="22"/>
                <w:szCs w:val="22"/>
                <w:lang w:val="ru-RU"/>
              </w:rPr>
            </w:pPr>
            <w:r>
              <w:rPr>
                <w:sz w:val="22"/>
                <w:szCs w:val="22"/>
                <w:lang w:val="ru-RU"/>
              </w:rPr>
              <w:t>1.11. Учредители</w:t>
            </w:r>
          </w:p>
        </w:tc>
        <w:tc>
          <w:tcPr>
            <w:tcW w:w="5784" w:type="dxa"/>
            <w:tcBorders>
              <w:top w:val="single" w:sz="4" w:space="0" w:color="000000"/>
              <w:left w:val="single" w:sz="4" w:space="0" w:color="000000"/>
              <w:bottom w:val="single" w:sz="4" w:space="0" w:color="000000"/>
              <w:right w:val="single" w:sz="4" w:space="0" w:color="000000"/>
            </w:tcBorders>
            <w:shd w:fill="FFFFFF" w:val="clear"/>
            <w:tcMar>
              <w:top w:w="0" w:type="dxa"/>
              <w:left w:w="5" w:type="dxa"/>
              <w:right w:w="5" w:type="dxa"/>
            </w:tcMar>
            <w:vAlign w:val="center"/>
          </w:tcPr>
          <w:p>
            <w:pPr>
              <w:pStyle w:val="Normal"/>
              <w:widowControl w:val="false"/>
              <w:jc w:val="center"/>
              <w:rPr>
                <w:sz w:val="22"/>
                <w:szCs w:val="22"/>
                <w:lang w:val="ru-RU"/>
              </w:rPr>
            </w:pPr>
            <w:r>
              <w:rPr>
                <w:sz w:val="22"/>
                <w:szCs w:val="22"/>
                <w:lang w:val="ru-RU"/>
              </w:rPr>
            </w:r>
          </w:p>
        </w:tc>
      </w:tr>
      <w:tr>
        <w:trPr>
          <w:trHeight w:val="127" w:hRule="atLeast"/>
        </w:trPr>
        <w:tc>
          <w:tcPr>
            <w:tcW w:w="425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ind w:left="89" w:right="126" w:hanging="0"/>
              <w:rPr>
                <w:sz w:val="22"/>
                <w:szCs w:val="22"/>
                <w:lang w:val="ru-RU"/>
              </w:rPr>
            </w:pPr>
            <w:r>
              <w:rPr>
                <w:sz w:val="22"/>
                <w:szCs w:val="22"/>
                <w:lang w:val="ru-RU"/>
              </w:rPr>
              <w:t>1.12. Год создания</w:t>
            </w:r>
          </w:p>
        </w:tc>
        <w:tc>
          <w:tcPr>
            <w:tcW w:w="5784" w:type="dxa"/>
            <w:tcBorders>
              <w:top w:val="single" w:sz="4" w:space="0" w:color="000000"/>
              <w:left w:val="single" w:sz="4" w:space="0" w:color="000000"/>
              <w:bottom w:val="single" w:sz="4" w:space="0" w:color="000000"/>
              <w:right w:val="single" w:sz="4" w:space="0" w:color="000000"/>
            </w:tcBorders>
            <w:shd w:fill="FFFFFF" w:val="clear"/>
            <w:tcMar>
              <w:top w:w="0" w:type="dxa"/>
              <w:left w:w="5" w:type="dxa"/>
              <w:right w:w="5" w:type="dxa"/>
            </w:tcMar>
            <w:vAlign w:val="center"/>
          </w:tcPr>
          <w:p>
            <w:pPr>
              <w:pStyle w:val="Normal"/>
              <w:widowControl w:val="false"/>
              <w:jc w:val="center"/>
              <w:rPr>
                <w:sz w:val="22"/>
                <w:szCs w:val="22"/>
                <w:lang w:val="ru-RU"/>
              </w:rPr>
            </w:pPr>
            <w:r>
              <w:rPr>
                <w:sz w:val="22"/>
                <w:szCs w:val="22"/>
                <w:lang w:val="ru-RU"/>
              </w:rPr>
            </w:r>
          </w:p>
        </w:tc>
      </w:tr>
      <w:tr>
        <w:trPr>
          <w:trHeight w:val="37" w:hRule="atLeast"/>
        </w:trPr>
        <w:tc>
          <w:tcPr>
            <w:tcW w:w="10034" w:type="dxa"/>
            <w:gridSpan w:val="2"/>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jc w:val="center"/>
              <w:rPr>
                <w:b/>
                <w:b/>
                <w:bCs/>
                <w:sz w:val="22"/>
                <w:szCs w:val="22"/>
                <w:lang w:val="ru-RU"/>
              </w:rPr>
            </w:pPr>
            <w:r>
              <w:rPr>
                <w:b/>
                <w:bCs/>
                <w:sz w:val="22"/>
                <w:szCs w:val="22"/>
                <w:lang w:val="ru-RU"/>
              </w:rPr>
              <w:t>2. Руководитель участника закупки</w:t>
            </w:r>
          </w:p>
        </w:tc>
      </w:tr>
      <w:tr>
        <w:trPr>
          <w:trHeight w:val="133" w:hRule="atLeast"/>
        </w:trPr>
        <w:tc>
          <w:tcPr>
            <w:tcW w:w="425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ind w:left="89" w:right="126" w:hanging="0"/>
              <w:rPr>
                <w:sz w:val="22"/>
                <w:szCs w:val="22"/>
                <w:lang w:val="ru-RU"/>
              </w:rPr>
            </w:pPr>
            <w:r>
              <w:rPr>
                <w:sz w:val="22"/>
                <w:szCs w:val="22"/>
                <w:lang w:val="ru-RU"/>
              </w:rPr>
              <w:t>2.1. Фамилия Имя Отчество</w:t>
            </w:r>
          </w:p>
        </w:tc>
        <w:tc>
          <w:tcPr>
            <w:tcW w:w="5784" w:type="dxa"/>
            <w:tcBorders>
              <w:top w:val="single" w:sz="4" w:space="0" w:color="000000"/>
              <w:left w:val="single" w:sz="4" w:space="0" w:color="000000"/>
              <w:bottom w:val="single" w:sz="4" w:space="0" w:color="000000"/>
              <w:right w:val="single" w:sz="4" w:space="0" w:color="000000"/>
            </w:tcBorders>
            <w:shd w:fill="FFFFFF" w:val="clear"/>
            <w:tcMar>
              <w:top w:w="0" w:type="dxa"/>
              <w:left w:w="5" w:type="dxa"/>
              <w:right w:w="5" w:type="dxa"/>
            </w:tcMar>
            <w:vAlign w:val="center"/>
          </w:tcPr>
          <w:p>
            <w:pPr>
              <w:pStyle w:val="Normal"/>
              <w:widowControl w:val="false"/>
              <w:jc w:val="center"/>
              <w:rPr>
                <w:rFonts w:eastAsia="Arial Unicode MS"/>
                <w:sz w:val="22"/>
                <w:szCs w:val="22"/>
                <w:lang w:val="ru-RU"/>
              </w:rPr>
            </w:pPr>
            <w:r>
              <w:rPr>
                <w:rFonts w:eastAsia="Arial Unicode MS"/>
                <w:sz w:val="22"/>
                <w:szCs w:val="22"/>
                <w:lang w:val="ru-RU"/>
              </w:rPr>
            </w:r>
          </w:p>
        </w:tc>
      </w:tr>
      <w:tr>
        <w:trPr>
          <w:trHeight w:val="151" w:hRule="atLeast"/>
        </w:trPr>
        <w:tc>
          <w:tcPr>
            <w:tcW w:w="425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ind w:left="89" w:right="126" w:hanging="0"/>
              <w:rPr>
                <w:sz w:val="22"/>
                <w:szCs w:val="22"/>
                <w:lang w:val="ru-RU"/>
              </w:rPr>
            </w:pPr>
            <w:r>
              <w:rPr>
                <w:sz w:val="22"/>
                <w:szCs w:val="22"/>
                <w:lang w:val="ru-RU"/>
              </w:rPr>
              <w:t>2.2. Должность</w:t>
            </w:r>
          </w:p>
        </w:tc>
        <w:tc>
          <w:tcPr>
            <w:tcW w:w="5784" w:type="dxa"/>
            <w:tcBorders>
              <w:top w:val="single" w:sz="4" w:space="0" w:color="000000"/>
              <w:left w:val="single" w:sz="4" w:space="0" w:color="000000"/>
              <w:bottom w:val="single" w:sz="4" w:space="0" w:color="000000"/>
              <w:right w:val="single" w:sz="4" w:space="0" w:color="000000"/>
            </w:tcBorders>
            <w:shd w:fill="FFFFFF" w:val="clear"/>
            <w:tcMar>
              <w:top w:w="0" w:type="dxa"/>
              <w:left w:w="5" w:type="dxa"/>
              <w:right w:w="5" w:type="dxa"/>
            </w:tcMar>
            <w:vAlign w:val="center"/>
          </w:tcPr>
          <w:p>
            <w:pPr>
              <w:pStyle w:val="Normal"/>
              <w:widowControl w:val="false"/>
              <w:jc w:val="center"/>
              <w:rPr>
                <w:rFonts w:eastAsia="Arial Unicode MS"/>
                <w:sz w:val="22"/>
                <w:szCs w:val="22"/>
                <w:lang w:val="ru-RU"/>
              </w:rPr>
            </w:pPr>
            <w:r>
              <w:rPr>
                <w:rFonts w:eastAsia="Arial Unicode MS"/>
                <w:sz w:val="22"/>
                <w:szCs w:val="22"/>
                <w:lang w:val="ru-RU"/>
              </w:rPr>
            </w:r>
          </w:p>
        </w:tc>
      </w:tr>
      <w:tr>
        <w:trPr>
          <w:trHeight w:val="106" w:hRule="atLeast"/>
        </w:trPr>
        <w:tc>
          <w:tcPr>
            <w:tcW w:w="10034" w:type="dxa"/>
            <w:gridSpan w:val="2"/>
            <w:tcBorders>
              <w:top w:val="single" w:sz="4" w:space="0" w:color="000000"/>
              <w:left w:val="single" w:sz="4" w:space="0" w:color="000000"/>
              <w:bottom w:val="single" w:sz="4" w:space="0" w:color="000000"/>
              <w:right w:val="single" w:sz="4" w:space="0" w:color="000000"/>
            </w:tcBorders>
            <w:shd w:fill="FFFFFF" w:val="clear"/>
            <w:vAlign w:val="center"/>
          </w:tcPr>
          <w:p>
            <w:pPr>
              <w:pStyle w:val="Xl48"/>
              <w:widowControl w:val="false"/>
              <w:pBdr>
                <w:bottom w:val="nil"/>
              </w:pBdr>
              <w:spacing w:before="280" w:after="280"/>
              <w:ind w:left="-15" w:right="-15" w:hanging="0"/>
              <w:textAlignment w:val="auto"/>
              <w:rPr>
                <w:sz w:val="22"/>
                <w:szCs w:val="22"/>
              </w:rPr>
            </w:pPr>
            <w:r>
              <w:rPr>
                <w:sz w:val="22"/>
                <w:szCs w:val="22"/>
                <w:lang w:val="ru-RU"/>
              </w:rPr>
              <w:t xml:space="preserve">3. Контактное </w:t>
            </w:r>
            <w:r>
              <w:rPr>
                <w:rFonts w:eastAsia="Times New Roman"/>
                <w:sz w:val="22"/>
                <w:szCs w:val="22"/>
                <w:lang w:val="ru-RU"/>
              </w:rPr>
              <w:t>лицо участника закупки</w:t>
            </w:r>
          </w:p>
        </w:tc>
      </w:tr>
      <w:tr>
        <w:trPr>
          <w:trHeight w:val="123" w:hRule="atLeast"/>
        </w:trPr>
        <w:tc>
          <w:tcPr>
            <w:tcW w:w="425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ind w:left="89" w:right="126" w:hanging="0"/>
              <w:rPr>
                <w:sz w:val="22"/>
                <w:szCs w:val="22"/>
                <w:lang w:val="ru-RU"/>
              </w:rPr>
            </w:pPr>
            <w:r>
              <w:rPr>
                <w:sz w:val="22"/>
                <w:szCs w:val="22"/>
                <w:lang w:val="ru-RU"/>
              </w:rPr>
              <w:t>3.1. Фамилия Имя Отчество</w:t>
            </w:r>
          </w:p>
        </w:tc>
        <w:tc>
          <w:tcPr>
            <w:tcW w:w="5784" w:type="dxa"/>
            <w:tcBorders>
              <w:top w:val="single" w:sz="4" w:space="0" w:color="000000"/>
              <w:left w:val="single" w:sz="4" w:space="0" w:color="000000"/>
              <w:bottom w:val="single" w:sz="4" w:space="0" w:color="000000"/>
              <w:right w:val="single" w:sz="4" w:space="0" w:color="000000"/>
            </w:tcBorders>
            <w:shd w:fill="FFFFFF" w:val="clear"/>
            <w:tcMar>
              <w:top w:w="0" w:type="dxa"/>
              <w:left w:w="5" w:type="dxa"/>
              <w:right w:w="5" w:type="dxa"/>
            </w:tcMar>
            <w:vAlign w:val="center"/>
          </w:tcPr>
          <w:p>
            <w:pPr>
              <w:pStyle w:val="Normal"/>
              <w:widowControl w:val="false"/>
              <w:jc w:val="center"/>
              <w:rPr>
                <w:rFonts w:eastAsia="Arial Unicode MS"/>
                <w:sz w:val="22"/>
                <w:szCs w:val="22"/>
                <w:lang w:val="ru-RU"/>
              </w:rPr>
            </w:pPr>
            <w:r>
              <w:rPr>
                <w:rFonts w:eastAsia="Arial Unicode MS"/>
                <w:sz w:val="22"/>
                <w:szCs w:val="22"/>
                <w:lang w:val="ru-RU"/>
              </w:rPr>
            </w:r>
          </w:p>
        </w:tc>
      </w:tr>
      <w:tr>
        <w:trPr>
          <w:trHeight w:val="156" w:hRule="atLeast"/>
        </w:trPr>
        <w:tc>
          <w:tcPr>
            <w:tcW w:w="425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ind w:left="89" w:right="126" w:hanging="0"/>
              <w:rPr>
                <w:sz w:val="22"/>
                <w:szCs w:val="22"/>
                <w:lang w:val="ru-RU"/>
              </w:rPr>
            </w:pPr>
            <w:r>
              <w:rPr>
                <w:sz w:val="22"/>
                <w:szCs w:val="22"/>
                <w:lang w:val="ru-RU"/>
              </w:rPr>
              <w:t>3.2. Должность (подразделение предприятия)</w:t>
            </w:r>
          </w:p>
        </w:tc>
        <w:tc>
          <w:tcPr>
            <w:tcW w:w="5784" w:type="dxa"/>
            <w:tcBorders>
              <w:top w:val="single" w:sz="4" w:space="0" w:color="000000"/>
              <w:left w:val="single" w:sz="4" w:space="0" w:color="000000"/>
              <w:bottom w:val="single" w:sz="4" w:space="0" w:color="000000"/>
              <w:right w:val="single" w:sz="4" w:space="0" w:color="000000"/>
            </w:tcBorders>
            <w:shd w:fill="FFFFFF" w:val="clear"/>
            <w:tcMar>
              <w:top w:w="0" w:type="dxa"/>
              <w:left w:w="5" w:type="dxa"/>
              <w:right w:w="5" w:type="dxa"/>
            </w:tcMar>
            <w:vAlign w:val="center"/>
          </w:tcPr>
          <w:p>
            <w:pPr>
              <w:pStyle w:val="Normal"/>
              <w:widowControl w:val="false"/>
              <w:jc w:val="center"/>
              <w:rPr>
                <w:rFonts w:eastAsia="Arial Unicode MS"/>
                <w:sz w:val="22"/>
                <w:szCs w:val="22"/>
                <w:lang w:val="ru-RU"/>
              </w:rPr>
            </w:pPr>
            <w:r>
              <w:rPr>
                <w:rFonts w:eastAsia="Arial Unicode MS"/>
                <w:sz w:val="22"/>
                <w:szCs w:val="22"/>
                <w:lang w:val="ru-RU"/>
              </w:rPr>
            </w:r>
          </w:p>
        </w:tc>
      </w:tr>
      <w:tr>
        <w:trPr>
          <w:trHeight w:val="47" w:hRule="atLeast"/>
        </w:trPr>
        <w:tc>
          <w:tcPr>
            <w:tcW w:w="425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ind w:left="89" w:right="126" w:hanging="0"/>
              <w:rPr>
                <w:sz w:val="22"/>
                <w:szCs w:val="22"/>
                <w:lang w:val="ru-RU"/>
              </w:rPr>
            </w:pPr>
            <w:r>
              <w:rPr>
                <w:sz w:val="22"/>
                <w:szCs w:val="22"/>
                <w:lang w:val="ru-RU"/>
              </w:rPr>
              <w:t>3.3. Телефон (код региона, номер)</w:t>
            </w:r>
          </w:p>
        </w:tc>
        <w:tc>
          <w:tcPr>
            <w:tcW w:w="5784" w:type="dxa"/>
            <w:tcBorders>
              <w:top w:val="single" w:sz="4" w:space="0" w:color="000000"/>
              <w:left w:val="single" w:sz="4" w:space="0" w:color="000000"/>
              <w:bottom w:val="single" w:sz="4" w:space="0" w:color="000000"/>
              <w:right w:val="single" w:sz="4" w:space="0" w:color="000000"/>
            </w:tcBorders>
            <w:shd w:fill="FFFFFF" w:val="clear"/>
            <w:tcMar>
              <w:top w:w="0" w:type="dxa"/>
              <w:left w:w="5" w:type="dxa"/>
              <w:right w:w="5" w:type="dxa"/>
            </w:tcMar>
            <w:vAlign w:val="center"/>
          </w:tcPr>
          <w:p>
            <w:pPr>
              <w:pStyle w:val="Normal"/>
              <w:widowControl w:val="false"/>
              <w:jc w:val="center"/>
              <w:rPr>
                <w:rFonts w:eastAsia="Arial Unicode MS"/>
                <w:sz w:val="22"/>
                <w:szCs w:val="22"/>
                <w:lang w:val="ru-RU"/>
              </w:rPr>
            </w:pPr>
            <w:r>
              <w:rPr>
                <w:rFonts w:eastAsia="Arial Unicode MS"/>
                <w:sz w:val="22"/>
                <w:szCs w:val="22"/>
                <w:lang w:val="ru-RU"/>
              </w:rPr>
            </w:r>
          </w:p>
        </w:tc>
      </w:tr>
      <w:tr>
        <w:trPr>
          <w:trHeight w:val="79" w:hRule="atLeast"/>
        </w:trPr>
        <w:tc>
          <w:tcPr>
            <w:tcW w:w="425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ind w:left="89" w:right="126" w:hanging="0"/>
              <w:rPr>
                <w:sz w:val="22"/>
                <w:szCs w:val="22"/>
                <w:lang w:val="ru-RU"/>
              </w:rPr>
            </w:pPr>
            <w:r>
              <w:rPr>
                <w:sz w:val="22"/>
                <w:szCs w:val="22"/>
                <w:lang w:val="ru-RU"/>
              </w:rPr>
              <w:t>3.4. Электронная почта</w:t>
            </w:r>
          </w:p>
        </w:tc>
        <w:tc>
          <w:tcPr>
            <w:tcW w:w="5784" w:type="dxa"/>
            <w:tcBorders>
              <w:top w:val="single" w:sz="4" w:space="0" w:color="000000"/>
              <w:left w:val="single" w:sz="4" w:space="0" w:color="000000"/>
              <w:bottom w:val="single" w:sz="4" w:space="0" w:color="000000"/>
              <w:right w:val="single" w:sz="4" w:space="0" w:color="000000"/>
            </w:tcBorders>
            <w:shd w:fill="FFFFFF" w:val="clear"/>
            <w:tcMar>
              <w:top w:w="0" w:type="dxa"/>
              <w:left w:w="5" w:type="dxa"/>
              <w:right w:w="5" w:type="dxa"/>
            </w:tcMar>
            <w:vAlign w:val="center"/>
          </w:tcPr>
          <w:p>
            <w:pPr>
              <w:pStyle w:val="Normal"/>
              <w:widowControl w:val="false"/>
              <w:jc w:val="center"/>
              <w:rPr>
                <w:rFonts w:eastAsia="Arial Unicode MS"/>
                <w:sz w:val="22"/>
                <w:szCs w:val="22"/>
                <w:lang w:val="ru-RU"/>
              </w:rPr>
            </w:pPr>
            <w:r>
              <w:rPr>
                <w:rFonts w:eastAsia="Arial Unicode MS"/>
                <w:sz w:val="22"/>
                <w:szCs w:val="22"/>
                <w:lang w:val="ru-RU"/>
              </w:rPr>
            </w:r>
          </w:p>
        </w:tc>
      </w:tr>
    </w:tbl>
    <w:p>
      <w:pPr>
        <w:pStyle w:val="Normal"/>
        <w:keepNext w:val="true"/>
        <w:keepLines/>
        <w:ind w:left="5529" w:right="0" w:hanging="0"/>
        <w:rPr>
          <w:szCs w:val="24"/>
          <w:lang w:val="ru-RU"/>
        </w:rPr>
      </w:pPr>
      <w:r>
        <w:rPr>
          <w:szCs w:val="24"/>
          <w:lang w:val="ru-RU"/>
        </w:rPr>
      </w:r>
    </w:p>
    <w:p>
      <w:pPr>
        <w:pStyle w:val="Style59"/>
        <w:keepNext w:val="true"/>
        <w:keepLines/>
        <w:tabs>
          <w:tab w:val="clear" w:pos="709"/>
          <w:tab w:val="left" w:pos="851" w:leader="none"/>
        </w:tabs>
        <w:ind w:left="0" w:right="79" w:hanging="0"/>
        <w:jc w:val="both"/>
        <w:rPr>
          <w:sz w:val="24"/>
          <w:szCs w:val="24"/>
          <w:lang w:val="ru-RU"/>
        </w:rPr>
      </w:pPr>
      <w:r>
        <w:rPr>
          <w:sz w:val="24"/>
          <w:szCs w:val="24"/>
          <w:lang w:val="ru-RU"/>
        </w:rPr>
      </w:r>
    </w:p>
    <w:p>
      <w:pPr>
        <w:pStyle w:val="Style59"/>
        <w:keepNext w:val="true"/>
        <w:keepLines/>
        <w:tabs>
          <w:tab w:val="clear" w:pos="709"/>
          <w:tab w:val="left" w:pos="851" w:leader="none"/>
        </w:tabs>
        <w:ind w:left="0" w:right="79" w:hanging="0"/>
        <w:jc w:val="both"/>
        <w:rPr/>
      </w:pPr>
      <w:r>
        <w:rPr>
          <w:sz w:val="24"/>
          <w:szCs w:val="24"/>
          <w:lang w:val="ru-RU"/>
        </w:rPr>
        <w:t xml:space="preserve">Руководитель (уполномоченное лицо) </w:t>
      </w:r>
    </w:p>
    <w:p>
      <w:pPr>
        <w:pStyle w:val="Style59"/>
        <w:keepNext w:val="true"/>
        <w:keepLines/>
        <w:tabs>
          <w:tab w:val="clear" w:pos="709"/>
          <w:tab w:val="left" w:pos="851" w:leader="none"/>
        </w:tabs>
        <w:ind w:left="0" w:right="79" w:hanging="0"/>
        <w:jc w:val="both"/>
        <w:rPr/>
      </w:pPr>
      <w:r>
        <w:rPr>
          <w:sz w:val="24"/>
          <w:szCs w:val="24"/>
          <w:lang w:val="ru-RU"/>
        </w:rPr>
        <w:t xml:space="preserve">участника закупки  _______________________________________________ </w:t>
      </w:r>
      <w:r>
        <w:rPr>
          <w:b/>
          <w:i/>
          <w:sz w:val="24"/>
          <w:szCs w:val="24"/>
          <w:lang w:val="ru-RU"/>
        </w:rPr>
        <w:t>И.О. Фамилия</w:t>
      </w:r>
    </w:p>
    <w:p>
      <w:pPr>
        <w:pStyle w:val="Style59"/>
        <w:keepNext w:val="true"/>
        <w:keepLines/>
        <w:ind w:left="360" w:right="79" w:hanging="0"/>
        <w:jc w:val="both"/>
        <w:rPr/>
      </w:pPr>
      <w:r>
        <w:rPr/>
        <w:t xml:space="preserve">                                                                </w:t>
      </w:r>
      <w:r>
        <w:rPr/>
        <w:t xml:space="preserve">(МП)                                  </w:t>
      </w:r>
      <w:r>
        <w:rPr>
          <w:lang w:val="ru-RU"/>
        </w:rPr>
        <w:t>(</w:t>
      </w:r>
      <w:r>
        <w:rPr>
          <w:i/>
        </w:rPr>
        <w:t>подпись)</w:t>
      </w:r>
    </w:p>
    <w:p>
      <w:pPr>
        <w:pStyle w:val="Normal"/>
        <w:jc w:val="right"/>
        <w:rPr>
          <w:color w:val="3465A4"/>
        </w:rPr>
      </w:pPr>
      <w:r>
        <w:rPr>
          <w:color w:val="3465A4"/>
        </w:rPr>
      </w:r>
    </w:p>
    <w:p>
      <w:pPr>
        <w:pStyle w:val="Normal"/>
        <w:jc w:val="right"/>
        <w:rPr>
          <w:color w:val="3465A4"/>
        </w:rPr>
      </w:pPr>
      <w:r>
        <w:rPr>
          <w:color w:val="3465A4"/>
        </w:rPr>
      </w:r>
    </w:p>
    <w:p>
      <w:pPr>
        <w:pStyle w:val="Normal"/>
        <w:jc w:val="right"/>
        <w:rPr>
          <w:b/>
          <w:b/>
          <w:sz w:val="22"/>
          <w:lang w:val="ru-RU"/>
        </w:rPr>
      </w:pPr>
      <w:r>
        <w:rPr>
          <w:b/>
          <w:sz w:val="22"/>
          <w:lang w:val="ru-RU"/>
        </w:rPr>
      </w:r>
    </w:p>
    <w:p>
      <w:pPr>
        <w:pStyle w:val="Normal"/>
        <w:jc w:val="right"/>
        <w:rPr>
          <w:b/>
          <w:b/>
          <w:sz w:val="22"/>
          <w:lang w:val="ru-RU"/>
        </w:rPr>
      </w:pPr>
      <w:r>
        <w:rPr>
          <w:b/>
          <w:sz w:val="22"/>
          <w:lang w:val="ru-RU"/>
        </w:rPr>
      </w:r>
    </w:p>
    <w:p>
      <w:pPr>
        <w:pStyle w:val="Normal"/>
        <w:jc w:val="right"/>
        <w:rPr>
          <w:b/>
          <w:b/>
          <w:sz w:val="22"/>
          <w:lang w:val="ru-RU"/>
        </w:rPr>
      </w:pPr>
      <w:r>
        <w:rPr>
          <w:b/>
          <w:sz w:val="22"/>
          <w:lang w:val="ru-RU"/>
        </w:rPr>
      </w:r>
    </w:p>
    <w:p>
      <w:pPr>
        <w:pStyle w:val="Normal"/>
        <w:jc w:val="right"/>
        <w:rPr>
          <w:color w:val="3465A4"/>
        </w:rPr>
      </w:pPr>
      <w:r>
        <w:rPr>
          <w:color w:val="3465A4"/>
        </w:rPr>
      </w:r>
    </w:p>
    <w:p>
      <w:pPr>
        <w:pStyle w:val="Normal"/>
        <w:jc w:val="right"/>
        <w:rPr>
          <w:color w:val="3465A4"/>
        </w:rPr>
      </w:pPr>
      <w:r>
        <w:rPr>
          <w:b/>
          <w:color w:val="3465A4"/>
          <w:sz w:val="22"/>
          <w:shd w:fill="auto" w:val="clear"/>
          <w:lang w:val="ru-RU"/>
        </w:rPr>
        <w:t xml:space="preserve">Форма № </w:t>
      </w:r>
      <w:r>
        <w:rPr>
          <w:rFonts w:eastAsia="Times New Roman" w:cs="Times New Roman"/>
          <w:b/>
          <w:color w:val="3465A4"/>
          <w:kern w:val="0"/>
          <w:sz w:val="22"/>
          <w:szCs w:val="22"/>
          <w:shd w:fill="auto" w:val="clear"/>
          <w:lang w:val="ru-RU" w:eastAsia="en-US" w:bidi="en-US"/>
        </w:rPr>
        <w:t>3</w:t>
      </w:r>
    </w:p>
    <w:p>
      <w:pPr>
        <w:pStyle w:val="ListParagraph"/>
        <w:tabs>
          <w:tab w:val="clear" w:pos="709"/>
          <w:tab w:val="left" w:pos="0" w:leader="none"/>
          <w:tab w:val="left" w:pos="1276" w:leader="none"/>
          <w:tab w:val="left" w:pos="1560" w:leader="none"/>
        </w:tabs>
        <w:ind w:left="644" w:right="0" w:hanging="0"/>
        <w:rPr>
          <w:lang w:val="ru-RU"/>
        </w:rPr>
      </w:pPr>
      <w:r>
        <w:rPr>
          <w:lang w:val="ru-RU"/>
        </w:rPr>
      </w:r>
    </w:p>
    <w:p>
      <w:pPr>
        <w:pStyle w:val="ListParagraph"/>
        <w:tabs>
          <w:tab w:val="clear" w:pos="709"/>
          <w:tab w:val="left" w:pos="0" w:leader="none"/>
          <w:tab w:val="left" w:pos="1276" w:leader="none"/>
          <w:tab w:val="left" w:pos="1560" w:leader="none"/>
        </w:tabs>
        <w:ind w:left="644" w:right="0" w:hanging="0"/>
        <w:jc w:val="center"/>
        <w:rPr/>
      </w:pPr>
      <w:r>
        <w:rPr>
          <w:b/>
          <w:bCs/>
          <w:color w:val="000000"/>
          <w:sz w:val="22"/>
          <w:lang w:val="ru-RU"/>
        </w:rPr>
        <w:t>ФОРМА ДЕКЛАРАЦИИ О СООТВЕТСТВИИ УЧАСТНИКА ЗАКУПКИ ТРЕБОВАНИЯМ ПРЕДЪЯВЛЯЕМЫМ ЗАКАЗЧИКОМ К УЧАСТНИКАМ ЗАКУПКИ ДОКУМЕНТАЦИЕЙ О ПРОВЕДЕНИИ АУКЦИОНА</w:t>
      </w:r>
    </w:p>
    <w:p>
      <w:pPr>
        <w:pStyle w:val="ListParagraph"/>
        <w:tabs>
          <w:tab w:val="clear" w:pos="709"/>
          <w:tab w:val="left" w:pos="0" w:leader="none"/>
          <w:tab w:val="left" w:pos="1276" w:leader="none"/>
          <w:tab w:val="left" w:pos="1560" w:leader="none"/>
        </w:tabs>
        <w:ind w:left="644" w:right="0" w:hanging="0"/>
        <w:rPr>
          <w:lang w:val="ru-RU"/>
        </w:rPr>
      </w:pPr>
      <w:r>
        <w:rPr>
          <w:lang w:val="ru-RU"/>
        </w:rPr>
      </w:r>
    </w:p>
    <w:p>
      <w:pPr>
        <w:pStyle w:val="ListParagraph"/>
        <w:tabs>
          <w:tab w:val="clear" w:pos="709"/>
          <w:tab w:val="left" w:pos="0" w:leader="none"/>
          <w:tab w:val="left" w:pos="1276" w:leader="none"/>
          <w:tab w:val="left" w:pos="1560" w:leader="none"/>
        </w:tabs>
        <w:ind w:left="0" w:right="0" w:hanging="0"/>
        <w:rPr/>
      </w:pPr>
      <w:r>
        <w:rPr>
          <w:color w:val="000000"/>
          <w:sz w:val="22"/>
          <w:lang w:val="ru-RU"/>
        </w:rPr>
        <w:t xml:space="preserve">Настоящим подтверждаем, что_____________________ соответствует требованиям </w:t>
      </w:r>
      <w:r>
        <w:rPr>
          <w:sz w:val="22"/>
          <w:lang w:val="ru-RU"/>
        </w:rPr>
        <w:t xml:space="preserve">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pPr>
        <w:pStyle w:val="Normal"/>
        <w:ind w:left="0" w:right="0" w:hanging="0"/>
        <w:rPr>
          <w:sz w:val="22"/>
          <w:lang w:val="ru-RU"/>
        </w:rPr>
      </w:pPr>
      <w:r>
        <w:rPr>
          <w:sz w:val="22"/>
          <w:lang w:val="ru-RU"/>
        </w:rPr>
        <w:t xml:space="preserve"> </w:t>
      </w:r>
      <w:r>
        <w:rPr>
          <w:sz w:val="22"/>
          <w:lang w:val="ru-RU"/>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pPr>
        <w:pStyle w:val="Normal"/>
        <w:ind w:left="0" w:right="0" w:hanging="0"/>
        <w:rPr>
          <w:sz w:val="22"/>
          <w:lang w:val="ru-RU"/>
        </w:rPr>
      </w:pPr>
      <w:r>
        <w:rPr>
          <w:sz w:val="22"/>
          <w:lang w:val="ru-RU"/>
        </w:rPr>
        <w:t>-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pPr>
        <w:pStyle w:val="Normal"/>
        <w:ind w:left="0" w:right="0" w:hanging="0"/>
        <w:rPr>
          <w:sz w:val="22"/>
          <w:lang w:val="ru-RU"/>
        </w:rPr>
      </w:pPr>
      <w:r>
        <w:rPr>
          <w:sz w:val="22"/>
          <w:lang w:val="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указанной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pPr>
        <w:pStyle w:val="Normal"/>
        <w:ind w:left="0" w:right="0" w:hanging="0"/>
        <w:rPr>
          <w:sz w:val="22"/>
          <w:lang w:val="ru-RU"/>
        </w:rPr>
      </w:pPr>
      <w:r>
        <w:rPr>
          <w:sz w:val="22"/>
          <w:lang w:val="ru-RU"/>
        </w:rPr>
        <w:t>- отсутствие в предусмотренном федеральными законами № 223-ФЗ и № 44-ФЗ реестре недобросовестных поставщиков (подрядчиков, исполнителей) информации об участнике закупки;</w:t>
      </w:r>
    </w:p>
    <w:p>
      <w:pPr>
        <w:pStyle w:val="Normal"/>
        <w:ind w:left="0" w:right="0" w:hanging="0"/>
        <w:rPr>
          <w:sz w:val="22"/>
          <w:lang w:val="ru-RU"/>
        </w:rPr>
      </w:pPr>
      <w:r>
        <w:rPr>
          <w:sz w:val="22"/>
          <w:lang w:val="ru-RU"/>
        </w:rPr>
        <w:t>- обладание участниками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pPr>
        <w:pStyle w:val="Normal"/>
        <w:ind w:left="0" w:right="0" w:hanging="0"/>
        <w:rPr>
          <w:sz w:val="22"/>
          <w:lang w:val="ru-RU"/>
        </w:rPr>
      </w:pPr>
      <w:r>
        <w:rPr>
          <w:sz w:val="22"/>
          <w:lang w:val="ru-RU"/>
        </w:rPr>
        <w:t>-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pPr>
        <w:pStyle w:val="Normal"/>
        <w:ind w:left="0" w:right="0" w:hanging="0"/>
        <w:rPr>
          <w:sz w:val="22"/>
          <w:lang w:val="ru-RU"/>
        </w:rPr>
      </w:pPr>
      <w:r>
        <w:rPr>
          <w:sz w:val="22"/>
          <w:lang w:val="ru-RU"/>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pPr>
        <w:pStyle w:val="Normal"/>
        <w:ind w:left="0" w:right="0" w:hanging="0"/>
        <w:rPr>
          <w:sz w:val="22"/>
          <w:lang w:val="ru-RU"/>
        </w:rPr>
      </w:pPr>
      <w:r>
        <w:rPr>
          <w:sz w:val="22"/>
          <w:lang w:val="ru-RU"/>
        </w:rPr>
        <w:t>- участник закупки не является офшорной компанией;</w:t>
      </w:r>
    </w:p>
    <w:p>
      <w:pPr>
        <w:pStyle w:val="Normal"/>
        <w:ind w:left="0" w:right="0" w:hanging="0"/>
        <w:rPr>
          <w:color w:val="000000"/>
          <w:sz w:val="22"/>
          <w:lang w:val="ru-RU"/>
        </w:rPr>
      </w:pPr>
      <w:r>
        <w:rPr>
          <w:color w:val="000000"/>
          <w:sz w:val="22"/>
          <w:lang w:val="ru-RU"/>
        </w:rPr>
        <w:t>- отсутствие у участника закупки ограничений для участия в закупках, установленных законодательством Российской Федерации.</w:t>
      </w:r>
    </w:p>
    <w:p>
      <w:pPr>
        <w:pStyle w:val="Normal"/>
        <w:ind w:left="0" w:right="0" w:hanging="0"/>
        <w:rPr>
          <w:color w:val="000000"/>
          <w:sz w:val="22"/>
          <w:lang w:val="ru-RU"/>
        </w:rPr>
      </w:pPr>
      <w:r>
        <w:rPr>
          <w:color w:val="000000"/>
          <w:sz w:val="22"/>
          <w:lang w:val="ru-RU"/>
        </w:rPr>
      </w:r>
    </w:p>
    <w:p>
      <w:pPr>
        <w:pStyle w:val="Normal"/>
        <w:ind w:left="0" w:right="0" w:hanging="0"/>
        <w:rPr>
          <w:color w:val="000000"/>
          <w:sz w:val="22"/>
          <w:lang w:val="ru-RU"/>
        </w:rPr>
      </w:pPr>
      <w:r>
        <w:rPr>
          <w:color w:val="000000"/>
          <w:sz w:val="22"/>
          <w:lang w:val="ru-RU"/>
        </w:rPr>
        <w:t>Страна происхождения ___________________________</w:t>
      </w:r>
    </w:p>
    <w:p>
      <w:pPr>
        <w:pStyle w:val="Normal"/>
        <w:ind w:left="0" w:right="0" w:hanging="0"/>
        <w:rPr>
          <w:color w:val="000000"/>
          <w:sz w:val="22"/>
          <w:lang w:val="ru-RU"/>
        </w:rPr>
      </w:pPr>
      <w:r>
        <w:rPr>
          <w:sz w:val="24"/>
          <w:szCs w:val="24"/>
          <w:lang w:val="ru-RU"/>
        </w:rPr>
        <w:t xml:space="preserve">Руководитель (уполномоченное лицо) </w:t>
      </w:r>
    </w:p>
    <w:p>
      <w:pPr>
        <w:pStyle w:val="Style59"/>
        <w:keepNext w:val="true"/>
        <w:keepLines/>
        <w:tabs>
          <w:tab w:val="clear" w:pos="709"/>
          <w:tab w:val="left" w:pos="851" w:leader="none"/>
        </w:tabs>
        <w:ind w:left="0" w:right="79" w:hanging="0"/>
        <w:rPr/>
      </w:pPr>
      <w:r>
        <w:rPr>
          <w:sz w:val="24"/>
          <w:szCs w:val="24"/>
          <w:lang w:val="ru-RU"/>
        </w:rPr>
        <w:t xml:space="preserve">участника закупки  _______________________________________________ </w:t>
      </w:r>
      <w:r>
        <w:rPr>
          <w:b/>
          <w:i/>
          <w:sz w:val="24"/>
          <w:szCs w:val="24"/>
          <w:lang w:val="ru-RU"/>
        </w:rPr>
        <w:t>И.О. Фамилия</w:t>
      </w:r>
    </w:p>
    <w:sectPr>
      <w:headerReference w:type="default" r:id="rId10"/>
      <w:footerReference w:type="default" r:id="rId11"/>
      <w:type w:val="nextPage"/>
      <w:pgSz w:w="11906" w:h="16838"/>
      <w:pgMar w:left="1134" w:right="706" w:header="0" w:top="1134" w:footer="923" w:bottom="143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Cambria">
    <w:charset w:val="cc"/>
    <w:family w:val="roman"/>
    <w:pitch w:val="variable"/>
  </w:font>
  <w:font w:name="Symbol">
    <w:charset w:val="cc"/>
    <w:family w:val="roman"/>
    <w:pitch w:val="variable"/>
  </w:font>
  <w:font w:name="Wingdings">
    <w:charset w:val="cc"/>
    <w:family w:val="roman"/>
    <w:pitch w:val="variable"/>
  </w:font>
  <w:font w:name="Courier New">
    <w:charset w:val="cc"/>
    <w:family w:val="roman"/>
    <w:pitch w:val="variable"/>
  </w:font>
  <w:font w:name="StarSymbol">
    <w:altName w:val="Arial Unicode MS"/>
    <w:charset w:val="cc"/>
    <w:family w:val="roman"/>
    <w:pitch w:val="variable"/>
  </w:font>
  <w:font w:name="Arial">
    <w:charset w:val="cc"/>
    <w:family w:val="roman"/>
    <w:pitch w:val="variable"/>
  </w:font>
  <w:font w:name="Tahoma">
    <w:charset w:val="cc"/>
    <w:family w:val="roman"/>
    <w:pitch w:val="variable"/>
  </w:font>
  <w:font w:name="Lucida Sans Unicode">
    <w:charset w:val="cc"/>
    <w:family w:val="roman"/>
    <w:pitch w:val="variable"/>
  </w:font>
  <w:font w:name="OpenSymbol">
    <w:altName w:val="Arial Unicode MS"/>
    <w:charset w:val="cc"/>
    <w:family w:val="roman"/>
    <w:pitch w:val="variable"/>
  </w:font>
  <w:font w:name="Liberation Sans">
    <w:altName w:val="Arial"/>
    <w:charset w:val="cc"/>
    <w:family w:val="roman"/>
    <w:pitch w:val="variable"/>
  </w:font>
  <w:font w:name="Verdana">
    <w:charset w:val="cc"/>
    <w:family w:val="roman"/>
    <w:pitch w:val="variable"/>
  </w:font>
  <w:font w:name="Liberation Mono">
    <w:altName w:val="Courier New"/>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43"/>
      <w:rPr>
        <w:sz w:val="20"/>
        <w:szCs w:val="20"/>
      </w:rPr>
    </w:pPr>
    <w:r>
      <w:rPr/>
      <w:fldChar w:fldCharType="begin"/>
    </w:r>
    <w:r>
      <w:rPr/>
      <w:instrText> PAGE </w:instrText>
    </w:r>
    <w:r>
      <w:rPr/>
      <w:fldChar w:fldCharType="separate"/>
    </w:r>
    <w:r>
      <w:rPr/>
      <w:t>27</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42"/>
      <w:spacing w:before="120" w:after="120"/>
      <w:ind w:left="0" w:right="0" w:hanging="0"/>
      <w:jc w:val="right"/>
      <w:rPr>
        <w:sz w:val="20"/>
      </w:rPr>
    </w:pPr>
    <w:r>
      <w:rPr>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606"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decimal"/>
      <w:lvlText w:val="2.%1."/>
      <w:lvlJc w:val="left"/>
      <w:pPr>
        <w:ind w:left="128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decimal"/>
      <w:lvlText w:val="2.1.%1."/>
      <w:lvlJc w:val="left"/>
      <w:pPr>
        <w:ind w:left="128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2"/>
      <w:numFmt w:val="decimal"/>
      <w:lvlText w:val="2.%1."/>
      <w:lvlJc w:val="left"/>
      <w:pPr>
        <w:ind w:left="128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lvl w:ilvl="0">
      <w:start w:val="1"/>
      <w:numFmt w:val="decimal"/>
      <w:lvlText w:val="2.2.%1."/>
      <w:lvlJc w:val="left"/>
      <w:pPr>
        <w:ind w:left="502" w:hanging="360"/>
      </w:pPr>
    </w:lvl>
    <w:lvl w:ilvl="1">
      <w:start w:val="1"/>
      <w:numFmt w:val="lowerLetter"/>
      <w:lvlText w:val="%2."/>
      <w:lvlJc w:val="left"/>
      <w:pPr>
        <w:ind w:left="939" w:hanging="360"/>
      </w:pPr>
    </w:lvl>
    <w:lvl w:ilvl="2">
      <w:start w:val="1"/>
      <w:numFmt w:val="lowerRoman"/>
      <w:lvlText w:val="%3."/>
      <w:lvlJc w:val="right"/>
      <w:pPr>
        <w:ind w:left="1659" w:hanging="180"/>
      </w:pPr>
    </w:lvl>
    <w:lvl w:ilvl="3">
      <w:start w:val="1"/>
      <w:numFmt w:val="decimal"/>
      <w:lvlText w:val="%4."/>
      <w:lvlJc w:val="left"/>
      <w:pPr>
        <w:ind w:left="2379" w:hanging="360"/>
      </w:pPr>
    </w:lvl>
    <w:lvl w:ilvl="4">
      <w:start w:val="1"/>
      <w:numFmt w:val="lowerLetter"/>
      <w:lvlText w:val="%5."/>
      <w:lvlJc w:val="left"/>
      <w:pPr>
        <w:ind w:left="3099" w:hanging="360"/>
      </w:pPr>
    </w:lvl>
    <w:lvl w:ilvl="5">
      <w:start w:val="1"/>
      <w:numFmt w:val="lowerRoman"/>
      <w:lvlText w:val="%6."/>
      <w:lvlJc w:val="right"/>
      <w:pPr>
        <w:ind w:left="3819" w:hanging="180"/>
      </w:pPr>
    </w:lvl>
    <w:lvl w:ilvl="6">
      <w:start w:val="1"/>
      <w:numFmt w:val="decimal"/>
      <w:lvlText w:val="%7."/>
      <w:lvlJc w:val="left"/>
      <w:pPr>
        <w:ind w:left="4539" w:hanging="360"/>
      </w:pPr>
    </w:lvl>
    <w:lvl w:ilvl="7">
      <w:start w:val="1"/>
      <w:numFmt w:val="lowerLetter"/>
      <w:lvlText w:val="%8."/>
      <w:lvlJc w:val="left"/>
      <w:pPr>
        <w:ind w:left="5259" w:hanging="360"/>
      </w:pPr>
    </w:lvl>
    <w:lvl w:ilvl="8">
      <w:start w:val="1"/>
      <w:numFmt w:val="lowerRoman"/>
      <w:lvlText w:val="%9."/>
      <w:lvlJc w:val="right"/>
      <w:pPr>
        <w:ind w:left="5979" w:hanging="180"/>
      </w:pPr>
    </w:lvl>
  </w:abstractNum>
  <w:abstractNum w:abstractNumId="6">
    <w:lvl w:ilvl="0">
      <w:start w:val="3"/>
      <w:numFmt w:val="decimal"/>
      <w:lvlText w:val="2.%1."/>
      <w:lvlJc w:val="left"/>
      <w:pPr>
        <w:ind w:left="128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lvl w:ilvl="0">
      <w:start w:val="1"/>
      <w:numFmt w:val="decimal"/>
      <w:lvlText w:val="3.%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8">
    <w:lvl w:ilvl="0">
      <w:start w:val="1"/>
      <w:numFmt w:val="decimal"/>
      <w:lvlText w:val="3.1.%1."/>
      <w:lvlJc w:val="left"/>
      <w:pPr>
        <w:ind w:left="644" w:hanging="360"/>
      </w:pPr>
    </w:lvl>
    <w:lvl w:ilvl="1">
      <w:start w:val="1"/>
      <w:numFmt w:val="lowerLetter"/>
      <w:lvlText w:val="%2."/>
      <w:lvlJc w:val="left"/>
      <w:pPr>
        <w:ind w:left="797" w:hanging="360"/>
      </w:pPr>
    </w:lvl>
    <w:lvl w:ilvl="2">
      <w:start w:val="1"/>
      <w:numFmt w:val="lowerRoman"/>
      <w:lvlText w:val="%3."/>
      <w:lvlJc w:val="right"/>
      <w:pPr>
        <w:ind w:left="1517" w:hanging="180"/>
      </w:pPr>
    </w:lvl>
    <w:lvl w:ilvl="3">
      <w:start w:val="1"/>
      <w:numFmt w:val="decimal"/>
      <w:lvlText w:val="%4."/>
      <w:lvlJc w:val="left"/>
      <w:pPr>
        <w:ind w:left="2237" w:hanging="360"/>
      </w:pPr>
    </w:lvl>
    <w:lvl w:ilvl="4">
      <w:start w:val="1"/>
      <w:numFmt w:val="lowerLetter"/>
      <w:lvlText w:val="%5."/>
      <w:lvlJc w:val="left"/>
      <w:pPr>
        <w:ind w:left="2957" w:hanging="360"/>
      </w:pPr>
    </w:lvl>
    <w:lvl w:ilvl="5">
      <w:start w:val="1"/>
      <w:numFmt w:val="lowerRoman"/>
      <w:lvlText w:val="%6."/>
      <w:lvlJc w:val="right"/>
      <w:pPr>
        <w:ind w:left="3677" w:hanging="180"/>
      </w:pPr>
    </w:lvl>
    <w:lvl w:ilvl="6">
      <w:start w:val="1"/>
      <w:numFmt w:val="decimal"/>
      <w:lvlText w:val="%7."/>
      <w:lvlJc w:val="left"/>
      <w:pPr>
        <w:ind w:left="4397" w:hanging="360"/>
      </w:pPr>
    </w:lvl>
    <w:lvl w:ilvl="7">
      <w:start w:val="1"/>
      <w:numFmt w:val="lowerLetter"/>
      <w:lvlText w:val="%8."/>
      <w:lvlJc w:val="left"/>
      <w:pPr>
        <w:ind w:left="5117" w:hanging="360"/>
      </w:pPr>
    </w:lvl>
    <w:lvl w:ilvl="8">
      <w:start w:val="1"/>
      <w:numFmt w:val="lowerRoman"/>
      <w:lvlText w:val="%9."/>
      <w:lvlJc w:val="right"/>
      <w:pPr>
        <w:ind w:left="5837" w:hanging="180"/>
      </w:pPr>
    </w:lvl>
  </w:abstractNum>
  <w:abstractNum w:abstractNumId="9">
    <w:lvl w:ilvl="0">
      <w:start w:val="1"/>
      <w:numFmt w:val="decimal"/>
      <w:lvlText w:val="%1.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0">
    <w:lvl w:ilvl="0">
      <w:start w:val="1"/>
      <w:numFmt w:val="decimal"/>
      <w:lvlText w:val="1.1.%1."/>
      <w:lvlJc w:val="left"/>
      <w:pPr>
        <w:ind w:left="114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lvl w:ilvl="0">
      <w:start w:val="2"/>
      <w:numFmt w:val="decimal"/>
      <w:lvlText w:val="1.%1."/>
      <w:lvlJc w:val="left"/>
      <w:pPr>
        <w:ind w:left="114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lvl w:ilvl="0">
      <w:start w:val="1"/>
      <w:numFmt w:val="decimal"/>
      <w:lvlText w:val="1.2.%1."/>
      <w:lvlJc w:val="left"/>
      <w:pPr>
        <w:ind w:left="1146" w:hanging="360"/>
      </w:pPr>
      <w:rPr>
        <w:sz w:val="22"/>
        <w:b w:val="fals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lvl w:ilvl="0">
      <w:start w:val="1"/>
      <w:numFmt w:val="decimal"/>
      <w:lvlText w:val="1.3.%1."/>
      <w:lvlJc w:val="left"/>
      <w:pPr>
        <w:ind w:left="128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lvl w:ilvl="0">
      <w:start w:val="1"/>
      <w:numFmt w:val="decimal"/>
      <w:lvlText w:val="1.6.%1."/>
      <w:lvlJc w:val="left"/>
      <w:pPr>
        <w:ind w:left="128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lvl w:ilvl="0">
      <w:start w:val="1"/>
      <w:numFmt w:val="decimal"/>
      <w:lvlText w:val="7.%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lvl w:ilvl="0">
      <w:start w:val="1"/>
      <w:numFmt w:val="decimal"/>
      <w:lvlText w:val="8.1.%1."/>
      <w:lvlJc w:val="left"/>
      <w:pPr>
        <w:ind w:left="1287" w:hanging="360"/>
      </w:pPr>
      <w:rPr>
        <w:sz w:val="22"/>
        <w:b w:val="fals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lvl w:ilvl="0">
      <w:start w:val="1"/>
      <w:numFmt w:val="decimal"/>
      <w:lvlText w:val="1%1.0."/>
      <w:lvlJc w:val="left"/>
      <w:pPr>
        <w:ind w:left="128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lvl w:ilvl="0">
      <w:start w:val="1"/>
      <w:numFmt w:val="decimal"/>
      <w:lvlText w:val="1%1.1.0."/>
      <w:lvlJc w:val="left"/>
      <w:pPr>
        <w:ind w:left="1211" w:hanging="360"/>
      </w:pPr>
      <w:rPr>
        <w:sz w:val="22"/>
        <w:b w:val="false"/>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lvl w:ilvl="0">
      <w:start w:val="2"/>
      <w:numFmt w:val="decimal"/>
      <w:lvlText w:val="1%1.0."/>
      <w:lvlJc w:val="left"/>
      <w:pPr>
        <w:ind w:left="128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lvl w:ilvl="0">
      <w:start w:val="1"/>
      <w:numFmt w:val="decimal"/>
      <w:lvlText w:val="1%1.2.0."/>
      <w:lvlJc w:val="left"/>
      <w:pPr>
        <w:ind w:left="1287" w:hanging="360"/>
      </w:pPr>
      <w:rPr>
        <w:sz w:val="22"/>
        <w:b w:val="fals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lvl w:ilvl="0">
      <w:start w:val="1"/>
      <w:numFmt w:val="decimal"/>
      <w:lvlText w:val="11.%1."/>
      <w:lvlJc w:val="left"/>
      <w:pPr>
        <w:ind w:left="128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lvl w:ilvl="0">
      <w:start w:val="1"/>
      <w:numFmt w:val="decimal"/>
      <w:lvlText w:val="6.%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3">
    <w:lvl w:ilvl="0">
      <w:start w:val="1"/>
      <w:numFmt w:val="decimal"/>
      <w:lvlText w:val="6.1.%1."/>
      <w:lvlJc w:val="left"/>
      <w:pPr>
        <w:ind w:left="1429" w:hanging="360"/>
      </w:pPr>
      <w:rPr>
        <w:sz w:val="22"/>
        <w:b w:val="false"/>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4">
    <w:lvl w:ilvl="0">
      <w:start w:val="1"/>
      <w:numFmt w:val="decimal"/>
      <w:lvlText w:val="4.3.%1."/>
      <w:lvlJc w:val="left"/>
      <w:pPr>
        <w:ind w:left="1495"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5">
    <w:lvl w:ilvl="0">
      <w:start w:val="1"/>
      <w:numFmt w:val="decimal"/>
      <w:lvlText w:val="2.3.%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lvl w:ilvl="0">
      <w:start w:val="1"/>
      <w:numFmt w:val="decimal"/>
      <w:lvlText w:val="4.%1."/>
      <w:lvlJc w:val="left"/>
      <w:pPr>
        <w:ind w:left="928" w:hanging="360"/>
      </w:pPr>
      <w:rPr>
        <w:sz w:val="22"/>
        <w:b w:val="false"/>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7">
    <w:lvl w:ilvl="0">
      <w:start w:val="1"/>
      <w:numFmt w:val="decimal"/>
      <w:lvlText w:val="4.1.%1."/>
      <w:lvlJc w:val="left"/>
      <w:pPr>
        <w:ind w:left="1287" w:hanging="360"/>
      </w:pPr>
      <w:rPr>
        <w:sz w:val="22"/>
        <w:b w:val="false"/>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8">
    <w:lvl w:ilvl="0">
      <w:start w:val="1"/>
      <w:numFmt w:val="decimal"/>
      <w:lvlText w:val="4.2.%1."/>
      <w:lvlJc w:val="left"/>
      <w:pPr>
        <w:ind w:left="1637" w:hanging="360"/>
      </w:pPr>
      <w:rPr>
        <w:sz w:val="22"/>
        <w:b w:val="false"/>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29">
    <w:lvl w:ilvl="0">
      <w:start w:val="1"/>
      <w:numFmt w:val="decimal"/>
      <w:lvlText w:val="%1."/>
      <w:lvlJc w:val="left"/>
      <w:pPr>
        <w:ind w:left="1145" w:hanging="360"/>
      </w:p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30">
    <w:lvl w:ilvl="0">
      <w:start w:val="1"/>
      <w:numFmt w:val="decimal"/>
      <w:lvlText w:val="%1."/>
      <w:lvlJc w:val="left"/>
      <w:pPr>
        <w:ind w:left="1145" w:hanging="360"/>
      </w:p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31">
    <w:lvl w:ilvl="0">
      <w:start w:val="1"/>
      <w:numFmt w:val="decimal"/>
      <w:lvlText w:val="11.1.%1."/>
      <w:lvlJc w:val="left"/>
      <w:pPr>
        <w:ind w:left="1506" w:hanging="360"/>
      </w:pPr>
      <w:rPr>
        <w:sz w:val="22"/>
        <w:b w:val="false"/>
      </w:rPr>
    </w:lvl>
    <w:lvl w:ilvl="1">
      <w:start w:val="1"/>
      <w:numFmt w:val="lowerLetter"/>
      <w:lvlText w:val="%2."/>
      <w:lvlJc w:val="left"/>
      <w:pPr>
        <w:ind w:left="2226" w:hanging="360"/>
      </w:pPr>
    </w:lvl>
    <w:lvl w:ilvl="2">
      <w:start w:val="1"/>
      <w:numFmt w:val="lowerRoman"/>
      <w:lvlText w:val="%3."/>
      <w:lvlJc w:val="right"/>
      <w:pPr>
        <w:ind w:left="2946" w:hanging="180"/>
      </w:pPr>
    </w:lvl>
    <w:lvl w:ilvl="3">
      <w:start w:val="1"/>
      <w:numFmt w:val="decimal"/>
      <w:lvlText w:val="%4."/>
      <w:lvlJc w:val="left"/>
      <w:pPr>
        <w:ind w:left="3666" w:hanging="360"/>
      </w:pPr>
    </w:lvl>
    <w:lvl w:ilvl="4">
      <w:start w:val="1"/>
      <w:numFmt w:val="lowerLetter"/>
      <w:lvlText w:val="%5."/>
      <w:lvlJc w:val="left"/>
      <w:pPr>
        <w:ind w:left="4386" w:hanging="360"/>
      </w:pPr>
    </w:lvl>
    <w:lvl w:ilvl="5">
      <w:start w:val="1"/>
      <w:numFmt w:val="lowerRoman"/>
      <w:lvlText w:val="%6."/>
      <w:lvlJc w:val="right"/>
      <w:pPr>
        <w:ind w:left="5106" w:hanging="180"/>
      </w:pPr>
    </w:lvl>
    <w:lvl w:ilvl="6">
      <w:start w:val="1"/>
      <w:numFmt w:val="decimal"/>
      <w:lvlText w:val="%7."/>
      <w:lvlJc w:val="left"/>
      <w:pPr>
        <w:ind w:left="5826" w:hanging="360"/>
      </w:pPr>
    </w:lvl>
    <w:lvl w:ilvl="7">
      <w:start w:val="1"/>
      <w:numFmt w:val="lowerLetter"/>
      <w:lvlText w:val="%8."/>
      <w:lvlJc w:val="left"/>
      <w:pPr>
        <w:ind w:left="6546" w:hanging="360"/>
      </w:pPr>
    </w:lvl>
    <w:lvl w:ilvl="8">
      <w:start w:val="1"/>
      <w:numFmt w:val="lowerRoman"/>
      <w:lvlText w:val="%9."/>
      <w:lvlJc w:val="right"/>
      <w:pPr>
        <w:ind w:left="7266" w:hanging="180"/>
      </w:pPr>
    </w:lvl>
  </w:abstractNum>
  <w:abstractNum w:abstractNumId="32">
    <w:lvl w:ilvl="0">
      <w:start w:val="1"/>
      <w:numFmt w:val="decimal"/>
      <w:lvlText w:val="%1."/>
      <w:lvlJc w:val="left"/>
      <w:pPr>
        <w:ind w:left="2226" w:hanging="360"/>
      </w:pPr>
    </w:lvl>
    <w:lvl w:ilvl="1">
      <w:start w:val="1"/>
      <w:numFmt w:val="lowerLetter"/>
      <w:lvlText w:val="%2."/>
      <w:lvlJc w:val="left"/>
      <w:pPr>
        <w:ind w:left="2946" w:hanging="360"/>
      </w:pPr>
    </w:lvl>
    <w:lvl w:ilvl="2">
      <w:start w:val="1"/>
      <w:numFmt w:val="lowerRoman"/>
      <w:lvlText w:val="%3."/>
      <w:lvlJc w:val="right"/>
      <w:pPr>
        <w:ind w:left="3666" w:hanging="180"/>
      </w:pPr>
    </w:lvl>
    <w:lvl w:ilvl="3">
      <w:start w:val="1"/>
      <w:numFmt w:val="decimal"/>
      <w:lvlText w:val="%4."/>
      <w:lvlJc w:val="left"/>
      <w:pPr>
        <w:ind w:left="4386" w:hanging="360"/>
      </w:pPr>
    </w:lvl>
    <w:lvl w:ilvl="4">
      <w:start w:val="1"/>
      <w:numFmt w:val="lowerLetter"/>
      <w:lvlText w:val="%5."/>
      <w:lvlJc w:val="left"/>
      <w:pPr>
        <w:ind w:left="5106" w:hanging="360"/>
      </w:pPr>
    </w:lvl>
    <w:lvl w:ilvl="5">
      <w:start w:val="1"/>
      <w:numFmt w:val="lowerRoman"/>
      <w:lvlText w:val="%6."/>
      <w:lvlJc w:val="right"/>
      <w:pPr>
        <w:ind w:left="5826" w:hanging="180"/>
      </w:pPr>
    </w:lvl>
    <w:lvl w:ilvl="6">
      <w:start w:val="1"/>
      <w:numFmt w:val="decimal"/>
      <w:lvlText w:val="%7."/>
      <w:lvlJc w:val="left"/>
      <w:pPr>
        <w:ind w:left="6546" w:hanging="360"/>
      </w:pPr>
    </w:lvl>
    <w:lvl w:ilvl="7">
      <w:start w:val="1"/>
      <w:numFmt w:val="lowerLetter"/>
      <w:lvlText w:val="%8."/>
      <w:lvlJc w:val="left"/>
      <w:pPr>
        <w:ind w:left="7266" w:hanging="360"/>
      </w:pPr>
    </w:lvl>
    <w:lvl w:ilvl="8">
      <w:start w:val="1"/>
      <w:numFmt w:val="lowerRoman"/>
      <w:lvlText w:val="%9."/>
      <w:lvlJc w:val="right"/>
      <w:pPr>
        <w:ind w:left="7986" w:hanging="180"/>
      </w:pPr>
    </w:lvl>
  </w:abstractNum>
  <w:abstractNum w:abstractNumId="33">
    <w:lvl w:ilvl="0">
      <w:start w:val="1"/>
      <w:numFmt w:val="decimal"/>
      <w:lvlText w:val="%1."/>
      <w:lvlJc w:val="left"/>
      <w:pPr>
        <w:ind w:left="2226" w:hanging="360"/>
      </w:pPr>
    </w:lvl>
    <w:lvl w:ilvl="1">
      <w:start w:val="1"/>
      <w:numFmt w:val="lowerLetter"/>
      <w:lvlText w:val="%2."/>
      <w:lvlJc w:val="left"/>
      <w:pPr>
        <w:ind w:left="2946" w:hanging="360"/>
      </w:pPr>
    </w:lvl>
    <w:lvl w:ilvl="2">
      <w:start w:val="1"/>
      <w:numFmt w:val="lowerRoman"/>
      <w:lvlText w:val="%3."/>
      <w:lvlJc w:val="right"/>
      <w:pPr>
        <w:ind w:left="3666" w:hanging="180"/>
      </w:pPr>
    </w:lvl>
    <w:lvl w:ilvl="3">
      <w:start w:val="1"/>
      <w:numFmt w:val="decimal"/>
      <w:lvlText w:val="%4."/>
      <w:lvlJc w:val="left"/>
      <w:pPr>
        <w:ind w:left="4386" w:hanging="360"/>
      </w:pPr>
    </w:lvl>
    <w:lvl w:ilvl="4">
      <w:start w:val="1"/>
      <w:numFmt w:val="lowerLetter"/>
      <w:lvlText w:val="%5."/>
      <w:lvlJc w:val="left"/>
      <w:pPr>
        <w:ind w:left="5106" w:hanging="360"/>
      </w:pPr>
    </w:lvl>
    <w:lvl w:ilvl="5">
      <w:start w:val="1"/>
      <w:numFmt w:val="lowerRoman"/>
      <w:lvlText w:val="%6."/>
      <w:lvlJc w:val="right"/>
      <w:pPr>
        <w:ind w:left="5826" w:hanging="180"/>
      </w:pPr>
    </w:lvl>
    <w:lvl w:ilvl="6">
      <w:start w:val="1"/>
      <w:numFmt w:val="decimal"/>
      <w:lvlText w:val="%7."/>
      <w:lvlJc w:val="left"/>
      <w:pPr>
        <w:ind w:left="6546" w:hanging="360"/>
      </w:pPr>
    </w:lvl>
    <w:lvl w:ilvl="7">
      <w:start w:val="1"/>
      <w:numFmt w:val="lowerLetter"/>
      <w:lvlText w:val="%8."/>
      <w:lvlJc w:val="left"/>
      <w:pPr>
        <w:ind w:left="7266" w:hanging="360"/>
      </w:pPr>
    </w:lvl>
    <w:lvl w:ilvl="8">
      <w:start w:val="1"/>
      <w:numFmt w:val="lowerRoman"/>
      <w:lvlText w:val="%9."/>
      <w:lvlJc w:val="right"/>
      <w:pPr>
        <w:ind w:left="7986" w:hanging="180"/>
      </w:pPr>
    </w:lvl>
  </w:abstractNum>
  <w:abstractNum w:abstractNumId="34">
    <w:lvl w:ilvl="0">
      <w:start w:val="1"/>
      <w:numFmt w:val="decimal"/>
      <w:lvlText w:val="1.4.%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35">
    <w:lvl w:ilvl="0">
      <w:start w:val="1"/>
      <w:numFmt w:val="decimal"/>
      <w:lvlText w:val="3.2.%1."/>
      <w:lvlJc w:val="left"/>
      <w:pPr>
        <w:ind w:left="1287" w:hanging="360"/>
      </w:pPr>
      <w:rPr>
        <w:sz w:val="22"/>
        <w:b w:val="false"/>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6">
    <w:lvl w:ilvl="0">
      <w:start w:val="1"/>
      <w:numFmt w:val="decimal"/>
      <w:lvlText w:val="5.%1."/>
      <w:lvlJc w:val="left"/>
      <w:pPr>
        <w:ind w:left="128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lvl w:ilvl="0">
      <w:start w:val="1"/>
      <w:numFmt w:val="decimal"/>
      <w:lvlText w:val="9.%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9">
    <w:lvl w:ilvl="0">
      <w:start w:val="4"/>
      <w:numFmt w:val="decimal"/>
      <w:lvlText w:val="%1."/>
      <w:lvlJc w:val="left"/>
      <w:pPr>
        <w:ind w:left="540" w:hanging="540"/>
      </w:pPr>
    </w:lvl>
    <w:lvl w:ilvl="1">
      <w:start w:val="4"/>
      <w:numFmt w:val="decimal"/>
      <w:lvlText w:val="%1.%2."/>
      <w:lvlJc w:val="left"/>
      <w:pPr>
        <w:ind w:left="753" w:hanging="540"/>
      </w:pPr>
    </w:lvl>
    <w:lvl w:ilvl="2">
      <w:start w:val="1"/>
      <w:numFmt w:val="decimal"/>
      <w:lvlText w:val="%1.%2.%3."/>
      <w:lvlJc w:val="left"/>
      <w:pPr>
        <w:ind w:left="1146" w:hanging="720"/>
      </w:pPr>
    </w:lvl>
    <w:lvl w:ilvl="3">
      <w:start w:val="1"/>
      <w:numFmt w:val="decimal"/>
      <w:lvlText w:val="%1.%2.%3.%4."/>
      <w:lvlJc w:val="left"/>
      <w:pPr>
        <w:ind w:left="1359" w:hanging="720"/>
      </w:pPr>
    </w:lvl>
    <w:lvl w:ilvl="4">
      <w:start w:val="1"/>
      <w:numFmt w:val="decimal"/>
      <w:lvlText w:val="%1.%2.%3.%4.%5."/>
      <w:lvlJc w:val="left"/>
      <w:pPr>
        <w:ind w:left="1932" w:hanging="1080"/>
      </w:pPr>
    </w:lvl>
    <w:lvl w:ilvl="5">
      <w:start w:val="1"/>
      <w:numFmt w:val="decimal"/>
      <w:lvlText w:val="%1.%2.%3.%4.%5.%6."/>
      <w:lvlJc w:val="left"/>
      <w:pPr>
        <w:ind w:left="2145" w:hanging="1080"/>
      </w:pPr>
    </w:lvl>
    <w:lvl w:ilvl="6">
      <w:start w:val="1"/>
      <w:numFmt w:val="decimal"/>
      <w:lvlText w:val="%1.%2.%3.%4.%5.%6.%7."/>
      <w:lvlJc w:val="left"/>
      <w:pPr>
        <w:ind w:left="2718" w:hanging="1440"/>
      </w:pPr>
    </w:lvl>
    <w:lvl w:ilvl="7">
      <w:start w:val="1"/>
      <w:numFmt w:val="decimal"/>
      <w:lvlText w:val="%1.%2.%3.%4.%5.%6.%7.%8."/>
      <w:lvlJc w:val="left"/>
      <w:pPr>
        <w:ind w:left="2931" w:hanging="1440"/>
      </w:pPr>
    </w:lvl>
    <w:lvl w:ilvl="8">
      <w:start w:val="1"/>
      <w:numFmt w:val="decimal"/>
      <w:lvlText w:val="%1.%2.%3.%4.%5.%6.%7.%8.%9."/>
      <w:lvlJc w:val="left"/>
      <w:pPr>
        <w:ind w:left="3504" w:hanging="1800"/>
      </w:pPr>
    </w:lvl>
  </w:abstractNum>
  <w:abstractNum w:abstractNumId="40">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bering>
</file>

<file path=word/settings.xml><?xml version="1.0" encoding="utf-8"?>
<w:settings xmlns:w="http://schemas.openxmlformats.org/wordprocessingml/2006/main">
  <w:zoom w:percent="86"/>
  <w:defaultTabStop w:val="709"/>
  <w:autoHyphenation w:val="fals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sz w:val="20"/>
        <w:lang w:val="ru-RU" w:eastAsia="ru-RU" w:bidi="ar-SA"/>
      </w:rPr>
    </w:rPrDefault>
    <w:pPrDefault>
      <w:pPr/>
    </w:pPrDefault>
  </w:docDefaults>
  <w:style w:type="paragraph" w:styleId="Normal">
    <w:name w:val="Normal"/>
    <w:qFormat/>
    <w:pPr>
      <w:widowControl/>
      <w:suppressAutoHyphens w:val="true"/>
      <w:overflowPunct w:val="true"/>
      <w:bidi w:val="0"/>
      <w:spacing w:before="0" w:after="0"/>
      <w:ind w:left="0" w:right="0" w:firstLine="567"/>
      <w:jc w:val="both"/>
    </w:pPr>
    <w:rPr>
      <w:rFonts w:ascii="Times New Roman" w:hAnsi="Times New Roman" w:eastAsia="Times New Roman" w:cs="Times New Roman"/>
      <w:color w:val="auto"/>
      <w:kern w:val="0"/>
      <w:sz w:val="24"/>
      <w:szCs w:val="22"/>
      <w:lang w:val="en-US" w:eastAsia="en-US" w:bidi="en-US"/>
    </w:rPr>
  </w:style>
  <w:style w:type="paragraph" w:styleId="1">
    <w:name w:val="Heading 1"/>
    <w:basedOn w:val="Normal"/>
    <w:next w:val="Normal"/>
    <w:qFormat/>
    <w:pPr>
      <w:spacing w:before="240" w:after="240"/>
      <w:ind w:left="0" w:right="0" w:firstLine="567"/>
      <w:contextualSpacing/>
      <w:jc w:val="center"/>
      <w:outlineLvl w:val="0"/>
    </w:pPr>
    <w:rPr>
      <w:b/>
      <w:bCs/>
      <w:sz w:val="32"/>
      <w:szCs w:val="28"/>
      <w:lang w:val="ru-RU"/>
    </w:rPr>
  </w:style>
  <w:style w:type="paragraph" w:styleId="2">
    <w:name w:val="Heading 2"/>
    <w:basedOn w:val="Normal"/>
    <w:next w:val="Normal"/>
    <w:qFormat/>
    <w:pPr>
      <w:spacing w:before="120" w:after="120"/>
      <w:ind w:left="0" w:right="0" w:hanging="0"/>
      <w:jc w:val="center"/>
      <w:outlineLvl w:val="1"/>
    </w:pPr>
    <w:rPr>
      <w:b/>
      <w:bCs/>
      <w:sz w:val="28"/>
      <w:szCs w:val="26"/>
      <w:lang w:val="ru-RU"/>
    </w:rPr>
  </w:style>
  <w:style w:type="paragraph" w:styleId="3">
    <w:name w:val="Heading 3"/>
    <w:basedOn w:val="Normal"/>
    <w:next w:val="Normal"/>
    <w:qFormat/>
    <w:pPr>
      <w:spacing w:before="120" w:after="120"/>
      <w:ind w:left="0" w:right="0" w:hanging="0"/>
      <w:jc w:val="center"/>
      <w:outlineLvl w:val="2"/>
    </w:pPr>
    <w:rPr>
      <w:b/>
      <w:bCs/>
      <w:lang w:val="ru-RU"/>
    </w:rPr>
  </w:style>
  <w:style w:type="paragraph" w:styleId="4">
    <w:name w:val="Heading 4"/>
    <w:basedOn w:val="Normal"/>
    <w:next w:val="Normal"/>
    <w:qFormat/>
    <w:pPr>
      <w:spacing w:before="120" w:after="120"/>
      <w:ind w:left="0" w:right="0" w:firstLine="567"/>
      <w:outlineLvl w:val="3"/>
    </w:pPr>
    <w:rPr>
      <w:b/>
      <w:bCs/>
      <w:iCs/>
    </w:rPr>
  </w:style>
  <w:style w:type="paragraph" w:styleId="5">
    <w:name w:val="Heading 5"/>
    <w:basedOn w:val="Normal"/>
    <w:next w:val="Normal"/>
    <w:qFormat/>
    <w:pPr>
      <w:spacing w:before="200" w:after="0"/>
      <w:ind w:left="0" w:right="0" w:firstLine="567"/>
      <w:outlineLvl w:val="4"/>
    </w:pPr>
    <w:rPr>
      <w:rFonts w:ascii="Cambria" w:hAnsi="Cambria"/>
      <w:b/>
      <w:bCs/>
      <w:color w:val="7F7F7F"/>
    </w:rPr>
  </w:style>
  <w:style w:type="paragraph" w:styleId="6">
    <w:name w:val="Heading 6"/>
    <w:basedOn w:val="Normal"/>
    <w:next w:val="Normal"/>
    <w:qFormat/>
    <w:pPr>
      <w:spacing w:lineRule="auto" w:line="271"/>
      <w:ind w:left="0" w:right="0" w:firstLine="567"/>
      <w:outlineLvl w:val="5"/>
    </w:pPr>
    <w:rPr>
      <w:rFonts w:ascii="Cambria" w:hAnsi="Cambria"/>
      <w:b/>
      <w:bCs/>
      <w:i/>
      <w:iCs/>
      <w:color w:val="7F7F7F"/>
    </w:rPr>
  </w:style>
  <w:style w:type="paragraph" w:styleId="7">
    <w:name w:val="Heading 7"/>
    <w:basedOn w:val="Normal"/>
    <w:next w:val="Normal"/>
    <w:qFormat/>
    <w:pPr>
      <w:ind w:left="0" w:right="0" w:firstLine="567"/>
      <w:outlineLvl w:val="6"/>
    </w:pPr>
    <w:rPr>
      <w:rFonts w:ascii="Cambria" w:hAnsi="Cambria"/>
      <w:i/>
      <w:iCs/>
    </w:rPr>
  </w:style>
  <w:style w:type="paragraph" w:styleId="8">
    <w:name w:val="Heading 8"/>
    <w:basedOn w:val="Normal"/>
    <w:next w:val="Normal"/>
    <w:qFormat/>
    <w:pPr>
      <w:ind w:left="0" w:right="0" w:firstLine="567"/>
      <w:outlineLvl w:val="7"/>
    </w:pPr>
    <w:rPr>
      <w:rFonts w:ascii="Cambria" w:hAnsi="Cambria"/>
      <w:sz w:val="20"/>
      <w:szCs w:val="20"/>
    </w:rPr>
  </w:style>
  <w:style w:type="paragraph" w:styleId="9">
    <w:name w:val="Heading 9"/>
    <w:basedOn w:val="Normal"/>
    <w:next w:val="Normal"/>
    <w:qFormat/>
    <w:pPr>
      <w:ind w:left="0" w:right="0" w:firstLine="567"/>
      <w:outlineLvl w:val="8"/>
    </w:pPr>
    <w:rPr>
      <w:rFonts w:ascii="Cambria" w:hAnsi="Cambria"/>
      <w:i/>
      <w:iCs/>
      <w:spacing w:val="5"/>
      <w:sz w:val="20"/>
      <w:szCs w:val="20"/>
    </w:rPr>
  </w:style>
  <w:style w:type="character" w:styleId="DefaultParagraphFont">
    <w:name w:val="Default Paragraph Font"/>
    <w:qFormat/>
    <w:rPr/>
  </w:style>
  <w:style w:type="character" w:styleId="11">
    <w:name w:val="Заголовок 1 Знак"/>
    <w:basedOn w:val="DefaultParagraphFont"/>
    <w:qFormat/>
    <w:rPr>
      <w:rFonts w:ascii="Times New Roman" w:hAnsi="Times New Roman"/>
      <w:b/>
      <w:bCs/>
      <w:sz w:val="32"/>
      <w:szCs w:val="28"/>
      <w:lang w:eastAsia="en-US" w:bidi="en-US"/>
    </w:rPr>
  </w:style>
  <w:style w:type="character" w:styleId="21">
    <w:name w:val="Заголовок 2 Знак"/>
    <w:basedOn w:val="DefaultParagraphFont"/>
    <w:qFormat/>
    <w:rPr>
      <w:rFonts w:ascii="Times New Roman" w:hAnsi="Times New Roman"/>
      <w:b/>
      <w:bCs/>
      <w:sz w:val="28"/>
      <w:szCs w:val="26"/>
      <w:lang w:eastAsia="en-US" w:bidi="en-US"/>
    </w:rPr>
  </w:style>
  <w:style w:type="character" w:styleId="31">
    <w:name w:val="Заголовок 3 Знак"/>
    <w:basedOn w:val="DefaultParagraphFont"/>
    <w:qFormat/>
    <w:rPr>
      <w:rFonts w:ascii="Times New Roman" w:hAnsi="Times New Roman"/>
      <w:b/>
      <w:bCs/>
      <w:sz w:val="24"/>
      <w:szCs w:val="22"/>
      <w:lang w:eastAsia="en-US" w:bidi="en-US"/>
    </w:rPr>
  </w:style>
  <w:style w:type="character" w:styleId="41">
    <w:name w:val="Заголовок 4 Знак"/>
    <w:basedOn w:val="DefaultParagraphFont"/>
    <w:qFormat/>
    <w:rPr>
      <w:rFonts w:ascii="Times New Roman" w:hAnsi="Times New Roman"/>
      <w:b/>
      <w:bCs/>
      <w:iCs/>
      <w:sz w:val="24"/>
      <w:szCs w:val="22"/>
      <w:lang w:val="en-US" w:eastAsia="en-US" w:bidi="en-US"/>
    </w:rPr>
  </w:style>
  <w:style w:type="character" w:styleId="51">
    <w:name w:val="Заголовок 5 Знак"/>
    <w:basedOn w:val="DefaultParagraphFont"/>
    <w:qFormat/>
    <w:rPr>
      <w:rFonts w:ascii="Cambria" w:hAnsi="Cambria" w:eastAsia="Times New Roman" w:cs="Times New Roman"/>
      <w:b/>
      <w:bCs/>
      <w:color w:val="7F7F7F"/>
    </w:rPr>
  </w:style>
  <w:style w:type="character" w:styleId="61">
    <w:name w:val="Заголовок 6 Знак"/>
    <w:basedOn w:val="DefaultParagraphFont"/>
    <w:qFormat/>
    <w:rPr>
      <w:rFonts w:ascii="Cambria" w:hAnsi="Cambria" w:eastAsia="Times New Roman" w:cs="Times New Roman"/>
      <w:b/>
      <w:bCs/>
      <w:i/>
      <w:iCs/>
      <w:color w:val="7F7F7F"/>
    </w:rPr>
  </w:style>
  <w:style w:type="character" w:styleId="71">
    <w:name w:val="Заголовок 7 Знак"/>
    <w:basedOn w:val="DefaultParagraphFont"/>
    <w:qFormat/>
    <w:rPr>
      <w:rFonts w:ascii="Cambria" w:hAnsi="Cambria" w:eastAsia="Times New Roman" w:cs="Times New Roman"/>
      <w:i/>
      <w:iCs/>
    </w:rPr>
  </w:style>
  <w:style w:type="character" w:styleId="81">
    <w:name w:val="Заголовок 8 Знак"/>
    <w:basedOn w:val="DefaultParagraphFont"/>
    <w:qFormat/>
    <w:rPr>
      <w:rFonts w:ascii="Cambria" w:hAnsi="Cambria" w:eastAsia="Times New Roman" w:cs="Times New Roman"/>
      <w:sz w:val="20"/>
      <w:szCs w:val="20"/>
    </w:rPr>
  </w:style>
  <w:style w:type="character" w:styleId="91">
    <w:name w:val="Заголовок 9 Знак"/>
    <w:basedOn w:val="DefaultParagraphFont"/>
    <w:qFormat/>
    <w:rPr>
      <w:rFonts w:ascii="Cambria" w:hAnsi="Cambria" w:eastAsia="Times New Roman" w:cs="Times New Roman"/>
      <w:i/>
      <w:iCs/>
      <w:spacing w:val="5"/>
      <w:sz w:val="20"/>
      <w:szCs w:val="20"/>
    </w:rPr>
  </w:style>
  <w:style w:type="character" w:styleId="WW8Num2z0">
    <w:name w:val="WW8Num2z0"/>
    <w:qFormat/>
    <w:rPr>
      <w:rFonts w:ascii="Times New Roman" w:hAnsi="Times New Roman" w:cs="Times New Roman"/>
      <w:sz w:val="24"/>
      <w:szCs w:val="24"/>
    </w:rPr>
  </w:style>
  <w:style w:type="character" w:styleId="WW8Num4z0">
    <w:name w:val="WW8Num4z0"/>
    <w:qFormat/>
    <w:rPr>
      <w:rFonts w:ascii="Symbol" w:hAnsi="Symbol" w:cs="Times New Roman"/>
      <w:sz w:val="24"/>
      <w:szCs w:val="24"/>
    </w:rPr>
  </w:style>
  <w:style w:type="character" w:styleId="WW8Num5z0">
    <w:name w:val="WW8Num5z0"/>
    <w:qFormat/>
    <w:rPr>
      <w:rFonts w:ascii="Times New Roman" w:hAnsi="Times New Roman" w:cs="Times New Roman"/>
      <w:sz w:val="24"/>
      <w:szCs w:val="24"/>
    </w:rPr>
  </w:style>
  <w:style w:type="character" w:styleId="WW8Num9z0">
    <w:name w:val="WW8Num9z0"/>
    <w:qFormat/>
    <w:rPr>
      <w:rFonts w:ascii="Times New Roman" w:hAnsi="Times New Roman" w:cs="Times New Roman"/>
    </w:rPr>
  </w:style>
  <w:style w:type="character" w:styleId="WW8Num11z2">
    <w:name w:val="WW8Num11z2"/>
    <w:qFormat/>
    <w:rPr>
      <w:rFonts w:ascii="Wingdings" w:hAnsi="Wingdings"/>
    </w:rPr>
  </w:style>
  <w:style w:type="character" w:styleId="WW8Num11z3">
    <w:name w:val="WW8Num11z3"/>
    <w:qFormat/>
    <w:rPr>
      <w:rFonts w:ascii="Symbol" w:hAnsi="Symbol"/>
    </w:rPr>
  </w:style>
  <w:style w:type="character" w:styleId="WW8Num11z4">
    <w:name w:val="WW8Num11z4"/>
    <w:qFormat/>
    <w:rPr>
      <w:rFonts w:ascii="Courier New" w:hAnsi="Courier New" w:cs="Courier New"/>
    </w:rPr>
  </w:style>
  <w:style w:type="character" w:styleId="WW8Num12z0">
    <w:name w:val="WW8Num12z0"/>
    <w:qFormat/>
    <w:rPr>
      <w:rFonts w:ascii="Symbol" w:hAnsi="Symbol"/>
    </w:rPr>
  </w:style>
  <w:style w:type="character" w:styleId="WW8Num13z0">
    <w:name w:val="WW8Num13z0"/>
    <w:qFormat/>
    <w:rPr>
      <w:rFonts w:ascii="Symbol" w:hAnsi="Symbol"/>
    </w:rPr>
  </w:style>
  <w:style w:type="character" w:styleId="WW8Num18z0">
    <w:name w:val="WW8Num18z0"/>
    <w:qFormat/>
    <w:rPr>
      <w:rFonts w:ascii="Symbol" w:hAnsi="Symbol" w:cs="StarSymbol"/>
      <w:sz w:val="18"/>
      <w:szCs w:val="18"/>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52">
    <w:name w:val="Основной шрифт абзаца5"/>
    <w:qFormat/>
    <w:rPr/>
  </w:style>
  <w:style w:type="character" w:styleId="42">
    <w:name w:val="Основной шрифт абзаца4"/>
    <w:qFormat/>
    <w:rPr/>
  </w:style>
  <w:style w:type="character" w:styleId="WWAbsatzStandardschriftart11">
    <w:name w:val="WW-Absatz-Standardschriftart11"/>
    <w:qFormat/>
    <w:rPr/>
  </w:style>
  <w:style w:type="character" w:styleId="WW8Num17z0">
    <w:name w:val="WW8Num17z0"/>
    <w:qFormat/>
    <w:rPr>
      <w:rFonts w:ascii="Times New Roman" w:hAnsi="Times New Roman"/>
    </w:rPr>
  </w:style>
  <w:style w:type="character" w:styleId="WW8Num19z0">
    <w:name w:val="WW8Num19z0"/>
    <w:qFormat/>
    <w:rPr>
      <w:rFonts w:ascii="Symbol" w:hAnsi="Symbol" w:cs="StarSymbol"/>
      <w:sz w:val="18"/>
      <w:szCs w:val="18"/>
    </w:rPr>
  </w:style>
  <w:style w:type="character" w:styleId="WW8Num21z0">
    <w:name w:val="WW8Num21z0"/>
    <w:qFormat/>
    <w:rPr>
      <w:rFonts w:ascii="Times New Roman" w:hAnsi="Times New Roman" w:cs="Times New Roman"/>
      <w:sz w:val="24"/>
      <w:szCs w:val="24"/>
    </w:rPr>
  </w:style>
  <w:style w:type="character" w:styleId="WW8Num21z1">
    <w:name w:val="WW8Num21z1"/>
    <w:qFormat/>
    <w:rPr>
      <w:rFonts w:ascii="Courier New" w:hAnsi="Courier New" w:cs="Courier New"/>
    </w:rPr>
  </w:style>
  <w:style w:type="character" w:styleId="32">
    <w:name w:val="Основной шрифт абзаца3"/>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AbsatzStandardschriftart1111111111111111">
    <w:name w:val="WW-Absatz-Standardschriftart1111111111111111"/>
    <w:qFormat/>
    <w:rPr/>
  </w:style>
  <w:style w:type="character" w:styleId="WW8Num3z0">
    <w:name w:val="WW8Num3z0"/>
    <w:qFormat/>
    <w:rPr>
      <w:rFonts w:ascii="Times New Roman" w:hAnsi="Times New Roman" w:cs="Times New Roman"/>
      <w:sz w:val="24"/>
      <w:szCs w:val="24"/>
    </w:rPr>
  </w:style>
  <w:style w:type="character" w:styleId="WW8Num6z0">
    <w:name w:val="WW8Num6z0"/>
    <w:qFormat/>
    <w:rPr>
      <w:rFonts w:ascii="Symbol" w:hAnsi="Symbol"/>
    </w:rPr>
  </w:style>
  <w:style w:type="character" w:styleId="WW8Num10z0">
    <w:name w:val="WW8Num10z0"/>
    <w:qFormat/>
    <w:rPr>
      <w:rFonts w:ascii="Times New Roman" w:hAnsi="Times New Roman" w:cs="Times New Roman"/>
    </w:rPr>
  </w:style>
  <w:style w:type="character" w:styleId="WW8Num12z2">
    <w:name w:val="WW8Num12z2"/>
    <w:qFormat/>
    <w:rPr>
      <w:rFonts w:ascii="Wingdings" w:hAnsi="Wingdings"/>
    </w:rPr>
  </w:style>
  <w:style w:type="character" w:styleId="WW8Num12z3">
    <w:name w:val="WW8Num12z3"/>
    <w:qFormat/>
    <w:rPr>
      <w:rFonts w:ascii="Symbol" w:hAnsi="Symbol"/>
    </w:rPr>
  </w:style>
  <w:style w:type="character" w:styleId="WW8Num12z4">
    <w:name w:val="WW8Num12z4"/>
    <w:qFormat/>
    <w:rPr>
      <w:rFonts w:ascii="Courier New" w:hAnsi="Courier New" w:cs="Courier New"/>
    </w:rPr>
  </w:style>
  <w:style w:type="character" w:styleId="WW8Num14z0">
    <w:name w:val="WW8Num14z0"/>
    <w:qFormat/>
    <w:rPr>
      <w:rFonts w:ascii="Symbol" w:hAnsi="Symbol"/>
    </w:rPr>
  </w:style>
  <w:style w:type="character" w:styleId="22">
    <w:name w:val="Основной шрифт абзаца2"/>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8Num7z0">
    <w:name w:val="WW8Num7z0"/>
    <w:qFormat/>
    <w:rPr>
      <w:rFonts w:ascii="Symbol" w:hAnsi="Symbol"/>
    </w:rPr>
  </w:style>
  <w:style w:type="character" w:styleId="WW8Num11z0">
    <w:name w:val="WW8Num11z0"/>
    <w:qFormat/>
    <w:rPr>
      <w:rFonts w:ascii="Times New Roman" w:hAnsi="Times New Roman" w:cs="Times New Roman"/>
    </w:rPr>
  </w:style>
  <w:style w:type="character" w:styleId="WW8Num14z2">
    <w:name w:val="WW8Num14z2"/>
    <w:qFormat/>
    <w:rPr>
      <w:rFonts w:ascii="Wingdings" w:hAnsi="Wingdings"/>
    </w:rPr>
  </w:style>
  <w:style w:type="character" w:styleId="WW8Num14z3">
    <w:name w:val="WW8Num14z3"/>
    <w:qFormat/>
    <w:rPr>
      <w:rFonts w:ascii="Symbol" w:hAnsi="Symbol"/>
    </w:rPr>
  </w:style>
  <w:style w:type="character" w:styleId="WW8Num14z4">
    <w:name w:val="WW8Num14z4"/>
    <w:qFormat/>
    <w:rPr>
      <w:rFonts w:ascii="Courier New" w:hAnsi="Courier New" w:cs="Courier New"/>
    </w:rPr>
  </w:style>
  <w:style w:type="character" w:styleId="WW8Num15z0">
    <w:name w:val="WW8Num15z0"/>
    <w:qFormat/>
    <w:rPr>
      <w:rFonts w:ascii="Symbol" w:hAnsi="Symbol"/>
    </w:rPr>
  </w:style>
  <w:style w:type="character" w:styleId="WW8Num16z0">
    <w:name w:val="WW8Num16z0"/>
    <w:qFormat/>
    <w:rPr>
      <w:rFonts w:ascii="Times New Roman" w:hAnsi="Times New Roman" w:eastAsia="Times New Roman" w:cs="Times New Roman"/>
    </w:rPr>
  </w:style>
  <w:style w:type="character" w:styleId="WWAbsatzStandardschriftart1111111111111111111">
    <w:name w:val="WW-Absatz-Standardschriftart1111111111111111111"/>
    <w:qFormat/>
    <w:rPr/>
  </w:style>
  <w:style w:type="character" w:styleId="WW8Num12z1">
    <w:name w:val="WW8Num12z1"/>
    <w:qFormat/>
    <w:rPr>
      <w:rFonts w:ascii="Courier New" w:hAnsi="Courier New" w:cs="Courier New"/>
    </w:rPr>
  </w:style>
  <w:style w:type="character" w:styleId="WW8Num13z1">
    <w:name w:val="WW8Num13z1"/>
    <w:qFormat/>
    <w:rPr>
      <w:rFonts w:ascii="Courier New" w:hAnsi="Courier New" w:cs="Courier New"/>
    </w:rPr>
  </w:style>
  <w:style w:type="character" w:styleId="WW8Num13z2">
    <w:name w:val="WW8Num13z2"/>
    <w:qFormat/>
    <w:rPr>
      <w:rFonts w:ascii="Wingdings" w:hAnsi="Wingdings"/>
    </w:rPr>
  </w:style>
  <w:style w:type="character" w:styleId="WW8Num14z1">
    <w:name w:val="WW8Num14z1"/>
    <w:qFormat/>
    <w:rPr>
      <w:rFonts w:ascii="Courier New" w:hAnsi="Courier New" w:cs="Courier New"/>
    </w:rPr>
  </w:style>
  <w:style w:type="character" w:styleId="WW8Num15z1">
    <w:name w:val="WW8Num15z1"/>
    <w:qFormat/>
    <w:rPr>
      <w:rFonts w:ascii="Courier New" w:hAnsi="Courier New" w:cs="Courier New"/>
    </w:rPr>
  </w:style>
  <w:style w:type="character" w:styleId="WW8Num15z2">
    <w:name w:val="WW8Num15z2"/>
    <w:qFormat/>
    <w:rPr>
      <w:rFonts w:ascii="Wingdings" w:hAnsi="Wingdings"/>
    </w:rPr>
  </w:style>
  <w:style w:type="character" w:styleId="WW8Num19z1">
    <w:name w:val="WW8Num19z1"/>
    <w:qFormat/>
    <w:rPr>
      <w:rFonts w:ascii="Symbol" w:hAnsi="Symbol"/>
    </w:rPr>
  </w:style>
  <w:style w:type="character" w:styleId="WW8Num19z2">
    <w:name w:val="WW8Num19z2"/>
    <w:qFormat/>
    <w:rPr>
      <w:rFonts w:ascii="Wingdings" w:hAnsi="Wingdings"/>
    </w:rPr>
  </w:style>
  <w:style w:type="character" w:styleId="WW8Num19z4">
    <w:name w:val="WW8Num19z4"/>
    <w:qFormat/>
    <w:rPr>
      <w:rFonts w:ascii="Courier New" w:hAnsi="Courier New" w:cs="Courier New"/>
    </w:rPr>
  </w:style>
  <w:style w:type="character" w:styleId="WW8Num21z2">
    <w:name w:val="WW8Num21z2"/>
    <w:qFormat/>
    <w:rPr>
      <w:rFonts w:ascii="Wingdings" w:hAnsi="Wingdings"/>
    </w:rPr>
  </w:style>
  <w:style w:type="character" w:styleId="WW8Num21z3">
    <w:name w:val="WW8Num21z3"/>
    <w:qFormat/>
    <w:rPr>
      <w:rFonts w:ascii="Symbol" w:hAnsi="Symbol"/>
    </w:rPr>
  </w:style>
  <w:style w:type="character" w:styleId="WW8Num28z0">
    <w:name w:val="WW8Num28z0"/>
    <w:qFormat/>
    <w:rPr>
      <w:rFonts w:ascii="Symbol" w:hAnsi="Symbol"/>
    </w:rPr>
  </w:style>
  <w:style w:type="character" w:styleId="WW8Num28z1">
    <w:name w:val="WW8Num28z1"/>
    <w:qFormat/>
    <w:rPr>
      <w:rFonts w:ascii="Courier New" w:hAnsi="Courier New" w:cs="Courier New"/>
    </w:rPr>
  </w:style>
  <w:style w:type="character" w:styleId="WW8Num28z2">
    <w:name w:val="WW8Num28z2"/>
    <w:qFormat/>
    <w:rPr>
      <w:rFonts w:ascii="Wingdings" w:hAnsi="Wingdings"/>
    </w:rPr>
  </w:style>
  <w:style w:type="character" w:styleId="WW8Num29z0">
    <w:name w:val="WW8Num29z0"/>
    <w:qFormat/>
    <w:rPr>
      <w:rFonts w:ascii="Times New Roman" w:hAnsi="Times New Roman" w:eastAsia="Times New Roman" w:cs="Times New Roman"/>
    </w:rPr>
  </w:style>
  <w:style w:type="character" w:styleId="WW8Num29z1">
    <w:name w:val="WW8Num29z1"/>
    <w:qFormat/>
    <w:rPr>
      <w:rFonts w:ascii="Courier New" w:hAnsi="Courier New"/>
    </w:rPr>
  </w:style>
  <w:style w:type="character" w:styleId="WW8Num29z2">
    <w:name w:val="WW8Num29z2"/>
    <w:qFormat/>
    <w:rPr>
      <w:rFonts w:ascii="Wingdings" w:hAnsi="Wingdings"/>
    </w:rPr>
  </w:style>
  <w:style w:type="character" w:styleId="WW8Num29z3">
    <w:name w:val="WW8Num29z3"/>
    <w:qFormat/>
    <w:rPr>
      <w:rFonts w:ascii="Symbol" w:hAnsi="Symbol"/>
    </w:rPr>
  </w:style>
  <w:style w:type="character" w:styleId="WW8Num32z2">
    <w:name w:val="WW8Num32z2"/>
    <w:qFormat/>
    <w:rPr>
      <w:rFonts w:ascii="Wingdings" w:hAnsi="Wingdings"/>
    </w:rPr>
  </w:style>
  <w:style w:type="character" w:styleId="WW8Num32z3">
    <w:name w:val="WW8Num32z3"/>
    <w:qFormat/>
    <w:rPr>
      <w:rFonts w:ascii="Symbol" w:hAnsi="Symbol"/>
    </w:rPr>
  </w:style>
  <w:style w:type="character" w:styleId="WW8Num32z4">
    <w:name w:val="WW8Num32z4"/>
    <w:qFormat/>
    <w:rPr>
      <w:rFonts w:ascii="Courier New" w:hAnsi="Courier New" w:cs="Courier New"/>
    </w:rPr>
  </w:style>
  <w:style w:type="character" w:styleId="WW8Num34z0">
    <w:name w:val="WW8Num34z0"/>
    <w:qFormat/>
    <w:rPr>
      <w:rFonts w:ascii="Symbol" w:hAnsi="Symbol"/>
    </w:rPr>
  </w:style>
  <w:style w:type="character" w:styleId="WW8Num34z1">
    <w:name w:val="WW8Num34z1"/>
    <w:qFormat/>
    <w:rPr>
      <w:rFonts w:ascii="Courier New" w:hAnsi="Courier New" w:cs="Courier New"/>
    </w:rPr>
  </w:style>
  <w:style w:type="character" w:styleId="WW8Num34z2">
    <w:name w:val="WW8Num34z2"/>
    <w:qFormat/>
    <w:rPr>
      <w:rFonts w:ascii="Wingdings" w:hAnsi="Wingdings"/>
    </w:rPr>
  </w:style>
  <w:style w:type="character" w:styleId="WW8Num35z0">
    <w:name w:val="WW8Num35z0"/>
    <w:qFormat/>
    <w:rPr>
      <w:rFonts w:ascii="Times New Roman" w:hAnsi="Times New Roman" w:cs="Times New Roman"/>
      <w:sz w:val="24"/>
      <w:szCs w:val="24"/>
    </w:rPr>
  </w:style>
  <w:style w:type="character" w:styleId="WW8Num36z0">
    <w:name w:val="WW8Num36z0"/>
    <w:qFormat/>
    <w:rPr>
      <w:b/>
    </w:rPr>
  </w:style>
  <w:style w:type="character" w:styleId="WW8Num37z0">
    <w:name w:val="WW8Num37z0"/>
    <w:qFormat/>
    <w:rPr>
      <w:rFonts w:ascii="Times New Roman" w:hAnsi="Times New Roman" w:eastAsia="Times New Roman" w:cs="Times New Roman"/>
    </w:rPr>
  </w:style>
  <w:style w:type="character" w:styleId="WW8NumSt40z0">
    <w:name w:val="WW8NumSt40z0"/>
    <w:qFormat/>
    <w:rPr>
      <w:rFonts w:ascii="Times New Roman" w:hAnsi="Times New Roman" w:cs="Times New Roman"/>
    </w:rPr>
  </w:style>
  <w:style w:type="character" w:styleId="13">
    <w:name w:val="Заголовок 1 Знак3"/>
    <w:qFormat/>
    <w:rPr/>
  </w:style>
  <w:style w:type="character" w:styleId="12">
    <w:name w:val="Заголовок 1 Знак Знак Знак Знак Знак Знак Знак Знак Знак"/>
    <w:basedOn w:val="13"/>
    <w:qFormat/>
    <w:rPr>
      <w:kern w:val="2"/>
      <w:sz w:val="36"/>
      <w:lang w:val="ru-RU" w:eastAsia="ar-SA" w:bidi="ar-SA"/>
    </w:rPr>
  </w:style>
  <w:style w:type="character" w:styleId="Style5">
    <w:name w:val="Интернет-ссылка"/>
    <w:basedOn w:val="DefaultParagraphFont"/>
    <w:rPr>
      <w:color w:val="0000FF"/>
      <w:u w:val="single"/>
    </w:rPr>
  </w:style>
  <w:style w:type="character" w:styleId="Style6">
    <w:name w:val="Посещённая гиперссылка"/>
    <w:rPr>
      <w:color w:val="800000"/>
      <w:u w:val="single"/>
    </w:rPr>
  </w:style>
  <w:style w:type="character" w:styleId="Style7">
    <w:name w:val="название формы"/>
    <w:basedOn w:val="13"/>
    <w:qFormat/>
    <w:rPr>
      <w:rFonts w:ascii="Times New Roman" w:hAnsi="Times New Roman"/>
      <w:b/>
      <w:sz w:val="24"/>
      <w:lang w:val="ru-RU" w:eastAsia="ar-SA" w:bidi="ar-SA"/>
    </w:rPr>
  </w:style>
  <w:style w:type="character" w:styleId="33">
    <w:name w:val="Стиль3 Знак Знак"/>
    <w:basedOn w:val="13"/>
    <w:qFormat/>
    <w:rPr>
      <w:sz w:val="24"/>
      <w:lang w:val="ru-RU" w:eastAsia="ar-SA" w:bidi="ar-SA"/>
    </w:rPr>
  </w:style>
  <w:style w:type="character" w:styleId="Style8">
    <w:name w:val="Пункт Знак Знак"/>
    <w:basedOn w:val="13"/>
    <w:qFormat/>
    <w:rPr>
      <w:sz w:val="28"/>
      <w:lang w:val="ru-RU" w:eastAsia="ar-SA" w:bidi="ar-SA"/>
    </w:rPr>
  </w:style>
  <w:style w:type="character" w:styleId="Pagenumber">
    <w:name w:val="page number"/>
    <w:basedOn w:val="13"/>
    <w:qFormat/>
    <w:rPr>
      <w:rFonts w:ascii="Times New Roman" w:hAnsi="Times New Roman" w:cs="Times New Roman"/>
    </w:rPr>
  </w:style>
  <w:style w:type="character" w:styleId="Style9">
    <w:name w:val="Основной шрифт"/>
    <w:qFormat/>
    <w:rPr/>
  </w:style>
  <w:style w:type="character" w:styleId="Style10">
    <w:name w:val="Знак Знак Знак"/>
    <w:basedOn w:val="13"/>
    <w:qFormat/>
    <w:rPr>
      <w:sz w:val="24"/>
      <w:lang w:val="ru-RU" w:eastAsia="ar-SA" w:bidi="ar-SA"/>
    </w:rPr>
  </w:style>
  <w:style w:type="character" w:styleId="14">
    <w:name w:val="Основной текст с отступом1"/>
    <w:basedOn w:val="13"/>
    <w:qFormat/>
    <w:rPr>
      <w:sz w:val="24"/>
      <w:lang w:val="ru-RU" w:eastAsia="ar-SA" w:bidi="ar-SA"/>
    </w:rPr>
  </w:style>
  <w:style w:type="character" w:styleId="Style11">
    <w:name w:val="Основной текст Знак Знак"/>
    <w:basedOn w:val="13"/>
    <w:qFormat/>
    <w:rPr>
      <w:sz w:val="24"/>
      <w:lang w:val="ru-RU" w:eastAsia="ar-SA" w:bidi="ar-SA"/>
    </w:rPr>
  </w:style>
  <w:style w:type="character" w:styleId="WW8Num24z5">
    <w:name w:val="WW8Num24z5"/>
    <w:qFormat/>
    <w:rPr>
      <w:rFonts w:ascii="Symbol" w:hAnsi="Symbol"/>
    </w:rPr>
  </w:style>
  <w:style w:type="character" w:styleId="WW8Num32z0">
    <w:name w:val="WW8Num32z0"/>
    <w:qFormat/>
    <w:rPr>
      <w:b/>
    </w:rPr>
  </w:style>
  <w:style w:type="character" w:styleId="Style12">
    <w:name w:val="текст Знак Знак Знак Знак Знак"/>
    <w:basedOn w:val="13"/>
    <w:qFormat/>
    <w:rPr>
      <w:sz w:val="24"/>
      <w:lang w:val="ru-RU" w:eastAsia="ar-SA" w:bidi="ar-SA"/>
    </w:rPr>
  </w:style>
  <w:style w:type="character" w:styleId="Style13">
    <w:name w:val="Маркеры списка"/>
    <w:qFormat/>
    <w:rPr>
      <w:rFonts w:ascii="StarSymbol" w:hAnsi="StarSymbol" w:eastAsia="StarSymbol" w:cs="StarSymbol"/>
      <w:sz w:val="18"/>
      <w:szCs w:val="18"/>
    </w:rPr>
  </w:style>
  <w:style w:type="character" w:styleId="Style14">
    <w:name w:val="Символ нумерации"/>
    <w:qFormat/>
    <w:rPr/>
  </w:style>
  <w:style w:type="character" w:styleId="WW8Num24z0">
    <w:name w:val="WW8Num24z0"/>
    <w:qFormat/>
    <w:rPr>
      <w:rFonts w:ascii="Times New Roman" w:hAnsi="Times New Roman" w:eastAsia="Times New Roman" w:cs="Times New Roman"/>
    </w:rPr>
  </w:style>
  <w:style w:type="character" w:styleId="WW8Num24z1">
    <w:name w:val="WW8Num24z1"/>
    <w:qFormat/>
    <w:rPr>
      <w:rFonts w:ascii="Courier New" w:hAnsi="Courier New"/>
    </w:rPr>
  </w:style>
  <w:style w:type="character" w:styleId="WW8Num24z2">
    <w:name w:val="WW8Num24z2"/>
    <w:qFormat/>
    <w:rPr>
      <w:rFonts w:ascii="Wingdings" w:hAnsi="Wingdings"/>
    </w:rPr>
  </w:style>
  <w:style w:type="character" w:styleId="WW8Num24z3">
    <w:name w:val="WW8Num24z3"/>
    <w:qFormat/>
    <w:rPr>
      <w:rFonts w:ascii="Symbol" w:hAnsi="Symbol"/>
    </w:rPr>
  </w:style>
  <w:style w:type="character" w:styleId="Style15">
    <w:name w:val="Основной текст Знак"/>
    <w:basedOn w:val="DefaultParagraphFont"/>
    <w:qFormat/>
    <w:rPr>
      <w:sz w:val="24"/>
      <w:lang w:eastAsia="ar-SA"/>
    </w:rPr>
  </w:style>
  <w:style w:type="character" w:styleId="HTML">
    <w:name w:val="Стандартный HTML Знак"/>
    <w:basedOn w:val="DefaultParagraphFont"/>
    <w:qFormat/>
    <w:rPr>
      <w:rFonts w:ascii="Courier New" w:hAnsi="Courier New" w:cs="Courier New"/>
      <w:lang w:eastAsia="ar-SA"/>
    </w:rPr>
  </w:style>
  <w:style w:type="character" w:styleId="Style16">
    <w:name w:val="Верхний колонтитул Знак"/>
    <w:basedOn w:val="DefaultParagraphFont"/>
    <w:qFormat/>
    <w:rPr>
      <w:rFonts w:ascii="Arial" w:hAnsi="Arial"/>
      <w:sz w:val="24"/>
      <w:lang w:val="ru-RU" w:eastAsia="ar-SA"/>
    </w:rPr>
  </w:style>
  <w:style w:type="character" w:styleId="Style17">
    <w:name w:val="Нижний колонтитул Знак"/>
    <w:basedOn w:val="DefaultParagraphFont"/>
    <w:qFormat/>
    <w:rPr>
      <w:sz w:val="24"/>
      <w:lang w:eastAsia="ar-SA" w:bidi="ar-SA"/>
    </w:rPr>
  </w:style>
  <w:style w:type="character" w:styleId="Style18">
    <w:name w:val="Название Знак"/>
    <w:basedOn w:val="DefaultParagraphFont"/>
    <w:qFormat/>
    <w:rPr>
      <w:rFonts w:ascii="Times New Roman" w:hAnsi="Times New Roman"/>
      <w:b/>
      <w:spacing w:val="5"/>
      <w:sz w:val="52"/>
      <w:szCs w:val="52"/>
      <w:lang w:eastAsia="en-US" w:bidi="en-US"/>
    </w:rPr>
  </w:style>
  <w:style w:type="character" w:styleId="Style19">
    <w:name w:val="Подзаголовок Знак"/>
    <w:basedOn w:val="DefaultParagraphFont"/>
    <w:qFormat/>
    <w:rPr>
      <w:rFonts w:ascii="Cambria" w:hAnsi="Cambria" w:eastAsia="Times New Roman" w:cs="Times New Roman"/>
      <w:i/>
      <w:iCs/>
      <w:spacing w:val="13"/>
      <w:sz w:val="24"/>
      <w:szCs w:val="24"/>
    </w:rPr>
  </w:style>
  <w:style w:type="character" w:styleId="Style20">
    <w:name w:val="Основной текст с отступом Знак"/>
    <w:basedOn w:val="DefaultParagraphFont"/>
    <w:qFormat/>
    <w:rPr>
      <w:sz w:val="24"/>
      <w:lang w:eastAsia="ar-SA"/>
    </w:rPr>
  </w:style>
  <w:style w:type="character" w:styleId="15">
    <w:name w:val="Стиль1 Знак"/>
    <w:basedOn w:val="DefaultParagraphFont"/>
    <w:qFormat/>
    <w:rPr>
      <w:rFonts w:ascii="Times New Roman" w:hAnsi="Times New Roman"/>
      <w:b/>
      <w:sz w:val="28"/>
      <w:szCs w:val="22"/>
      <w:lang w:val="en-US" w:eastAsia="en-US" w:bidi="en-US"/>
    </w:rPr>
  </w:style>
  <w:style w:type="character" w:styleId="Style21">
    <w:name w:val="Текст выноски Знак"/>
    <w:basedOn w:val="DefaultParagraphFont"/>
    <w:qFormat/>
    <w:rPr>
      <w:rFonts w:ascii="Tahoma" w:hAnsi="Tahoma" w:cs="Tahoma"/>
      <w:sz w:val="16"/>
      <w:szCs w:val="16"/>
      <w:lang w:eastAsia="ar-SA"/>
    </w:rPr>
  </w:style>
  <w:style w:type="character" w:styleId="Style22">
    <w:name w:val="Текст сноски Знак"/>
    <w:basedOn w:val="DefaultParagraphFont"/>
    <w:qFormat/>
    <w:rPr>
      <w:lang w:eastAsia="ar-SA"/>
    </w:rPr>
  </w:style>
  <w:style w:type="character" w:styleId="WW8Num22z0">
    <w:name w:val="WW8Num22z0"/>
    <w:qFormat/>
    <w:rPr>
      <w:rFonts w:ascii="Courier New" w:hAnsi="Courier New"/>
    </w:rPr>
  </w:style>
  <w:style w:type="character" w:styleId="WW8Num22z1">
    <w:name w:val="WW8Num22z1"/>
    <w:qFormat/>
    <w:rPr>
      <w:rFonts w:ascii="Courier New" w:hAnsi="Courier New" w:cs="Courier New"/>
    </w:rPr>
  </w:style>
  <w:style w:type="character" w:styleId="WW8Num22z2">
    <w:name w:val="WW8Num22z2"/>
    <w:qFormat/>
    <w:rPr>
      <w:rFonts w:ascii="Wingdings" w:hAnsi="Wingdings"/>
    </w:rPr>
  </w:style>
  <w:style w:type="character" w:styleId="WW8Num22z3">
    <w:name w:val="WW8Num22z3"/>
    <w:qFormat/>
    <w:rPr>
      <w:rFonts w:ascii="Symbol" w:hAnsi="Symbol"/>
    </w:rPr>
  </w:style>
  <w:style w:type="character" w:styleId="23">
    <w:name w:val="Основной текст с отступом 2 Знак"/>
    <w:basedOn w:val="DefaultParagraphFont"/>
    <w:qFormat/>
    <w:rPr>
      <w:sz w:val="28"/>
      <w:lang w:val="ru-RU" w:eastAsia="ru-RU" w:bidi="ar-SA"/>
    </w:rPr>
  </w:style>
  <w:style w:type="character" w:styleId="FontStyle25">
    <w:name w:val="Font Style25"/>
    <w:basedOn w:val="DefaultParagraphFont"/>
    <w:qFormat/>
    <w:rPr>
      <w:rFonts w:ascii="Times New Roman" w:hAnsi="Times New Roman" w:cs="Times New Roman"/>
      <w:sz w:val="20"/>
      <w:szCs w:val="20"/>
    </w:rPr>
  </w:style>
  <w:style w:type="character" w:styleId="FontStyle13">
    <w:name w:val="Font Style13"/>
    <w:basedOn w:val="DefaultParagraphFont"/>
    <w:qFormat/>
    <w:rPr>
      <w:rFonts w:ascii="Lucida Sans Unicode" w:hAnsi="Lucida Sans Unicode" w:cs="Lucida Sans Unicode"/>
      <w:sz w:val="18"/>
      <w:szCs w:val="18"/>
    </w:rPr>
  </w:style>
  <w:style w:type="character" w:styleId="Postbody1">
    <w:name w:val="postbody1"/>
    <w:basedOn w:val="DefaultParagraphFont"/>
    <w:qFormat/>
    <w:rPr>
      <w:sz w:val="13"/>
      <w:szCs w:val="13"/>
    </w:rPr>
  </w:style>
  <w:style w:type="character" w:styleId="Strong">
    <w:name w:val="Strong"/>
    <w:qFormat/>
    <w:rPr>
      <w:b/>
      <w:bCs/>
    </w:rPr>
  </w:style>
  <w:style w:type="character" w:styleId="111">
    <w:name w:val="Заголовок 1 Знак1"/>
    <w:basedOn w:val="DefaultParagraphFont"/>
    <w:qFormat/>
    <w:rPr>
      <w:kern w:val="2"/>
      <w:sz w:val="36"/>
      <w:lang w:eastAsia="ar-SA"/>
    </w:rPr>
  </w:style>
  <w:style w:type="character" w:styleId="Style23">
    <w:name w:val="по умолчанию Знак"/>
    <w:basedOn w:val="111"/>
    <w:qFormat/>
    <w:rPr>
      <w:kern w:val="2"/>
      <w:sz w:val="36"/>
      <w:lang w:eastAsia="ar-SA"/>
    </w:rPr>
  </w:style>
  <w:style w:type="character" w:styleId="Style24">
    <w:name w:val="Выделение"/>
    <w:qFormat/>
    <w:rPr/>
  </w:style>
  <w:style w:type="character" w:styleId="24">
    <w:name w:val="Цитата 2 Знак"/>
    <w:basedOn w:val="DefaultParagraphFont"/>
    <w:qFormat/>
    <w:rPr>
      <w:i/>
      <w:iCs/>
    </w:rPr>
  </w:style>
  <w:style w:type="character" w:styleId="Style25">
    <w:name w:val="Выделенная цитата Знак"/>
    <w:basedOn w:val="DefaultParagraphFont"/>
    <w:qFormat/>
    <w:rPr>
      <w:b/>
      <w:bCs/>
      <w:i/>
      <w:iCs/>
    </w:rPr>
  </w:style>
  <w:style w:type="character" w:styleId="SubtleEmphasis">
    <w:name w:val="Subtle Emphasis"/>
    <w:qFormat/>
    <w:rPr>
      <w:i/>
      <w:iCs/>
    </w:rPr>
  </w:style>
  <w:style w:type="character" w:styleId="IntenseEmphasis">
    <w:name w:val="Intense Emphasis"/>
    <w:basedOn w:val="AbsatzStandardschriftart"/>
    <w:qFormat/>
    <w:rPr>
      <w:rFonts w:ascii="Times New Roman" w:hAnsi="Times New Roman"/>
      <w:b/>
      <w:bCs/>
      <w:sz w:val="32"/>
      <w:szCs w:val="32"/>
    </w:rPr>
  </w:style>
  <w:style w:type="character" w:styleId="SubtleReference">
    <w:name w:val="Subtle Reference"/>
    <w:qFormat/>
    <w:rPr>
      <w:smallCaps/>
    </w:rPr>
  </w:style>
  <w:style w:type="character" w:styleId="IntenseReference">
    <w:name w:val="Intense Reference"/>
    <w:qFormat/>
    <w:rPr>
      <w:smallCaps/>
      <w:spacing w:val="5"/>
      <w:u w:val="single"/>
    </w:rPr>
  </w:style>
  <w:style w:type="character" w:styleId="BookTitle">
    <w:name w:val="Book Title"/>
    <w:qFormat/>
    <w:rPr>
      <w:i/>
      <w:iCs/>
      <w:smallCaps/>
      <w:spacing w:val="5"/>
    </w:rPr>
  </w:style>
  <w:style w:type="character" w:styleId="43">
    <w:name w:val="Стиль4 Знак"/>
    <w:basedOn w:val="Style19"/>
    <w:qFormat/>
    <w:rPr>
      <w:rFonts w:ascii="Cambria" w:hAnsi="Cambria" w:eastAsia="Times New Roman" w:cs="Times New Roman"/>
      <w:i/>
      <w:iCs/>
      <w:spacing w:val="13"/>
      <w:sz w:val="24"/>
      <w:szCs w:val="24"/>
      <w:lang w:val="en-US" w:eastAsia="en-US" w:bidi="en-US"/>
    </w:rPr>
  </w:style>
  <w:style w:type="character" w:styleId="53">
    <w:name w:val="Стиль5 Знак"/>
    <w:basedOn w:val="21"/>
    <w:qFormat/>
    <w:rPr>
      <w:rFonts w:ascii="Times New Roman" w:hAnsi="Times New Roman"/>
      <w:b/>
      <w:bCs/>
      <w:sz w:val="28"/>
      <w:szCs w:val="26"/>
      <w:lang w:eastAsia="en-US" w:bidi="en-US"/>
    </w:rPr>
  </w:style>
  <w:style w:type="character" w:styleId="34">
    <w:name w:val="Основной текст с отступом 3 Знак"/>
    <w:basedOn w:val="DefaultParagraphFont"/>
    <w:qFormat/>
    <w:rPr>
      <w:rFonts w:ascii="Times New Roman" w:hAnsi="Times New Roman"/>
      <w:sz w:val="16"/>
      <w:szCs w:val="16"/>
      <w:lang w:val="en-US" w:eastAsia="en-US" w:bidi="en-US"/>
    </w:rPr>
  </w:style>
  <w:style w:type="character" w:styleId="FontStyle11">
    <w:name w:val="Font Style11"/>
    <w:basedOn w:val="DefaultParagraphFont"/>
    <w:qFormat/>
    <w:rPr>
      <w:rFonts w:ascii="Times New Roman" w:hAnsi="Times New Roman" w:cs="Times New Roman"/>
      <w:b/>
      <w:bCs/>
      <w:sz w:val="22"/>
      <w:szCs w:val="22"/>
    </w:rPr>
  </w:style>
  <w:style w:type="character" w:styleId="FontStyle12">
    <w:name w:val="Font Style12"/>
    <w:basedOn w:val="DefaultParagraphFont"/>
    <w:qFormat/>
    <w:rPr>
      <w:rFonts w:ascii="Times New Roman" w:hAnsi="Times New Roman" w:cs="Times New Roman"/>
      <w:sz w:val="22"/>
      <w:szCs w:val="22"/>
    </w:rPr>
  </w:style>
  <w:style w:type="character" w:styleId="Contextcurrent">
    <w:name w:val="context_current"/>
    <w:basedOn w:val="DefaultParagraphFont"/>
    <w:qFormat/>
    <w:rPr/>
  </w:style>
  <w:style w:type="character" w:styleId="FontStyle47">
    <w:name w:val="Font Style47"/>
    <w:basedOn w:val="DefaultParagraphFont"/>
    <w:qFormat/>
    <w:rPr>
      <w:rFonts w:ascii="Times New Roman" w:hAnsi="Times New Roman" w:cs="Times New Roman"/>
      <w:sz w:val="22"/>
      <w:szCs w:val="22"/>
    </w:rPr>
  </w:style>
  <w:style w:type="character" w:styleId="16">
    <w:name w:val="Основной текст Знак1"/>
    <w:basedOn w:val="DefaultParagraphFont"/>
    <w:qFormat/>
    <w:rPr>
      <w:rFonts w:ascii="Times New Roman" w:hAnsi="Times New Roman" w:eastAsia="Times New Roman"/>
      <w:sz w:val="24"/>
      <w:lang w:eastAsia="ar-SA"/>
    </w:rPr>
  </w:style>
  <w:style w:type="character" w:styleId="17">
    <w:name w:val="Основной текст с отступом Знак1"/>
    <w:basedOn w:val="DefaultParagraphFont"/>
    <w:qFormat/>
    <w:rPr>
      <w:rFonts w:ascii="Times New Roman" w:hAnsi="Times New Roman" w:eastAsia="Times New Roman"/>
      <w:sz w:val="24"/>
      <w:lang w:eastAsia="ar-SA"/>
    </w:rPr>
  </w:style>
  <w:style w:type="character" w:styleId="ConsPlusNormal">
    <w:name w:val="ConsPlusNormal Знак"/>
    <w:basedOn w:val="DefaultParagraphFont"/>
    <w:qFormat/>
    <w:rPr>
      <w:rFonts w:ascii="Arial" w:hAnsi="Arial" w:cs="Arial"/>
      <w:sz w:val="22"/>
      <w:szCs w:val="22"/>
      <w:lang w:val="ru-RU" w:eastAsia="ar-SA" w:bidi="ar-SA"/>
    </w:rPr>
  </w:style>
  <w:style w:type="character" w:styleId="Style26">
    <w:name w:val="Текст концевой сноски Знак"/>
    <w:basedOn w:val="DefaultParagraphFont"/>
    <w:qFormat/>
    <w:rPr>
      <w:rFonts w:ascii="Times New Roman" w:hAnsi="Times New Roman" w:eastAsia="Times New Roman"/>
    </w:rPr>
  </w:style>
  <w:style w:type="character" w:styleId="Style27">
    <w:name w:val="Привязка концевой сноски"/>
    <w:rPr>
      <w:rFonts w:cs="Times New Roman"/>
      <w:vertAlign w:val="superscript"/>
    </w:rPr>
  </w:style>
  <w:style w:type="character" w:styleId="EndnoteCharacters">
    <w:name w:val="Endnote Characters"/>
    <w:basedOn w:val="DefaultParagraphFont"/>
    <w:qFormat/>
    <w:rPr>
      <w:rFonts w:cs="Times New Roman"/>
      <w:vertAlign w:val="superscript"/>
    </w:rPr>
  </w:style>
  <w:style w:type="character" w:styleId="Style28">
    <w:name w:val="Абзац списка Знак"/>
    <w:qFormat/>
    <w:rPr>
      <w:rFonts w:ascii="Times New Roman" w:hAnsi="Times New Roman"/>
      <w:sz w:val="24"/>
      <w:szCs w:val="22"/>
      <w:lang w:val="en-US" w:eastAsia="en-US" w:bidi="en-US"/>
    </w:rPr>
  </w:style>
  <w:style w:type="character" w:styleId="Style29">
    <w:name w:val="Привязка сноски"/>
    <w:rPr>
      <w:rFonts w:cs="Times New Roman"/>
      <w:vertAlign w:val="superscript"/>
    </w:rPr>
  </w:style>
  <w:style w:type="character" w:styleId="FootnoteCharacters">
    <w:name w:val="Footnote Characters"/>
    <w:qFormat/>
    <w:rPr>
      <w:rFonts w:cs="Times New Roman"/>
      <w:vertAlign w:val="superscript"/>
    </w:rPr>
  </w:style>
  <w:style w:type="character" w:styleId="Style30">
    <w:name w:val="Символ концевой сноски"/>
    <w:qFormat/>
    <w:rPr/>
  </w:style>
  <w:style w:type="character" w:styleId="Style31">
    <w:name w:val="Символ сноски"/>
    <w:qFormat/>
    <w:rPr/>
  </w:style>
  <w:style w:type="character" w:styleId="Style32">
    <w:name w:val="Ссылка указателя"/>
    <w:qFormat/>
    <w:rPr/>
  </w:style>
  <w:style w:type="character" w:styleId="18">
    <w:name w:val="Основной шрифт абзаца1"/>
    <w:qFormat/>
    <w:rPr/>
  </w:style>
  <w:style w:type="character" w:styleId="Blk">
    <w:name w:val="blk"/>
    <w:basedOn w:val="18"/>
    <w:qFormat/>
    <w:rPr/>
  </w:style>
  <w:style w:type="character" w:styleId="Appleconvertedspace">
    <w:name w:val="apple-converted-space"/>
    <w:basedOn w:val="18"/>
    <w:qFormat/>
    <w:rPr/>
  </w:style>
  <w:style w:type="character" w:styleId="WW8Num33z0">
    <w:name w:val="WW8Num33z0"/>
    <w:qFormat/>
    <w:rPr>
      <w:rFonts w:ascii="Times New Roman" w:hAnsi="Times New Roman" w:cs="Times New Roman"/>
      <w:sz w:val="24"/>
    </w:rPr>
  </w:style>
  <w:style w:type="character" w:styleId="WW8Num33z1">
    <w:name w:val="WW8Num33z1"/>
    <w:qFormat/>
    <w:rPr/>
  </w:style>
  <w:style w:type="character" w:styleId="WW8Num33z2">
    <w:name w:val="WW8Num33z2"/>
    <w:qFormat/>
    <w:rPr/>
  </w:style>
  <w:style w:type="character" w:styleId="WW8Num33z3">
    <w:name w:val="WW8Num33z3"/>
    <w:qFormat/>
    <w:rPr/>
  </w:style>
  <w:style w:type="character" w:styleId="WW8Num33z4">
    <w:name w:val="WW8Num33z4"/>
    <w:qFormat/>
    <w:rPr/>
  </w:style>
  <w:style w:type="character" w:styleId="WW8Num33z5">
    <w:name w:val="WW8Num33z5"/>
    <w:qFormat/>
    <w:rPr/>
  </w:style>
  <w:style w:type="character" w:styleId="WW8Num33z6">
    <w:name w:val="WW8Num33z6"/>
    <w:qFormat/>
    <w:rPr/>
  </w:style>
  <w:style w:type="character" w:styleId="WW8Num33z7">
    <w:name w:val="WW8Num33z7"/>
    <w:qFormat/>
    <w:rPr/>
  </w:style>
  <w:style w:type="character" w:styleId="WW8Num33z8">
    <w:name w:val="WW8Num33z8"/>
    <w:qFormat/>
    <w:rPr/>
  </w:style>
  <w:style w:type="character" w:styleId="WW8Num6z1">
    <w:name w:val="WW8Num6z1"/>
    <w:qFormat/>
    <w:rPr>
      <w:rFonts w:ascii="OpenSymbol;Arial Unicode MS" w:hAnsi="OpenSymbol;Arial Unicode MS" w:cs="OpenSymbol;Arial Unicode MS"/>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Style33">
    <w:name w:val="Выделение жирным"/>
    <w:qFormat/>
    <w:rPr>
      <w:b/>
      <w:bCs/>
    </w:rPr>
  </w:style>
  <w:style w:type="character" w:styleId="Style34">
    <w:name w:val="комментарий"/>
    <w:qFormat/>
    <w:rPr>
      <w:i/>
      <w:shd w:fill="FFFF99" w:val="clear"/>
    </w:rPr>
  </w:style>
  <w:style w:type="character" w:styleId="3Cambria">
    <w:name w:val="Основной текст (3) + Cambria"/>
    <w:qFormat/>
    <w:rPr>
      <w:rFonts w:ascii="Cambria" w:hAnsi="Cambria" w:eastAsia="Cambria" w:cs="Cambria"/>
      <w:b/>
      <w:bCs/>
      <w:i w:val="false"/>
      <w:iCs w:val="false"/>
      <w:caps w:val="false"/>
      <w:smallCaps w:val="false"/>
      <w:strike w:val="false"/>
      <w:dstrike w:val="false"/>
      <w:color w:val="000000"/>
      <w:spacing w:val="0"/>
      <w:w w:val="100"/>
      <w:sz w:val="24"/>
      <w:szCs w:val="24"/>
      <w:u w:val="none"/>
      <w:lang w:val="ru-RU" w:bidi="ru-RU"/>
    </w:rPr>
  </w:style>
  <w:style w:type="paragraph" w:styleId="Style35">
    <w:name w:val="Заголовок"/>
    <w:basedOn w:val="Normal"/>
    <w:next w:val="Style36"/>
    <w:qFormat/>
    <w:pPr>
      <w:keepNext w:val="true"/>
      <w:spacing w:before="240" w:after="120"/>
    </w:pPr>
    <w:rPr>
      <w:rFonts w:ascii="Liberation Sans" w:hAnsi="Liberation Sans" w:eastAsia="Microsoft YaHei" w:cs="Arial"/>
      <w:sz w:val="28"/>
      <w:szCs w:val="28"/>
    </w:rPr>
  </w:style>
  <w:style w:type="paragraph" w:styleId="Style36">
    <w:name w:val="Body Text"/>
    <w:basedOn w:val="Normal"/>
    <w:pPr>
      <w:widowControl w:val="false"/>
    </w:pPr>
    <w:rPr/>
  </w:style>
  <w:style w:type="paragraph" w:styleId="Style37">
    <w:name w:val="List"/>
    <w:basedOn w:val="Style36"/>
    <w:pPr/>
    <w:rPr>
      <w:rFonts w:ascii="Arial" w:hAnsi="Arial" w:cs="Tahoma"/>
    </w:rPr>
  </w:style>
  <w:style w:type="paragraph" w:styleId="Style38">
    <w:name w:val="Caption"/>
    <w:basedOn w:val="Normal"/>
    <w:qFormat/>
    <w:pPr>
      <w:suppressLineNumbers/>
      <w:spacing w:before="120" w:after="120"/>
    </w:pPr>
    <w:rPr>
      <w:rFonts w:cs="FreeSans"/>
      <w:i/>
      <w:iCs/>
      <w:sz w:val="24"/>
      <w:szCs w:val="24"/>
    </w:rPr>
  </w:style>
  <w:style w:type="paragraph" w:styleId="Style39">
    <w:name w:val="Указатель"/>
    <w:basedOn w:val="Normal"/>
    <w:qFormat/>
    <w:pPr>
      <w:suppressLineNumbers/>
    </w:pPr>
    <w:rPr>
      <w:rFonts w:cs="FreeSans"/>
    </w:rPr>
  </w:style>
  <w:style w:type="paragraph" w:styleId="Caption">
    <w:name w:val="caption"/>
    <w:basedOn w:val="Normal"/>
    <w:next w:val="Normal"/>
    <w:qFormat/>
    <w:pPr/>
    <w:rPr>
      <w:b/>
      <w:bCs/>
      <w:caps/>
      <w:sz w:val="16"/>
      <w:szCs w:val="18"/>
    </w:rPr>
  </w:style>
  <w:style w:type="paragraph" w:styleId="Indexheading">
    <w:name w:val="index heading"/>
    <w:basedOn w:val="Style35"/>
    <w:qFormat/>
    <w:pPr>
      <w:suppressLineNumbers/>
      <w:ind w:left="0" w:right="0" w:hanging="0"/>
    </w:pPr>
    <w:rPr>
      <w:b/>
      <w:bCs/>
      <w:sz w:val="32"/>
      <w:szCs w:val="32"/>
    </w:rPr>
  </w:style>
  <w:style w:type="paragraph" w:styleId="Style40">
    <w:name w:val="Title"/>
    <w:basedOn w:val="Normal"/>
    <w:next w:val="Style36"/>
    <w:qFormat/>
    <w:pPr>
      <w:spacing w:before="0" w:after="0"/>
      <w:contextualSpacing/>
      <w:jc w:val="center"/>
    </w:pPr>
    <w:rPr>
      <w:b/>
      <w:spacing w:val="5"/>
      <w:sz w:val="52"/>
      <w:szCs w:val="52"/>
      <w:lang w:val="ru-RU"/>
    </w:rPr>
  </w:style>
  <w:style w:type="paragraph" w:styleId="19">
    <w:name w:val="Заголовок1"/>
    <w:basedOn w:val="Normal"/>
    <w:next w:val="Style36"/>
    <w:qFormat/>
    <w:pPr>
      <w:keepNext w:val="true"/>
      <w:spacing w:before="240" w:after="120"/>
    </w:pPr>
    <w:rPr>
      <w:rFonts w:ascii="Arial" w:hAnsi="Arial" w:eastAsia="Lucida Sans Unicode" w:cs="Tahoma"/>
      <w:sz w:val="28"/>
      <w:szCs w:val="28"/>
    </w:rPr>
  </w:style>
  <w:style w:type="paragraph" w:styleId="54">
    <w:name w:val="Название5"/>
    <w:basedOn w:val="Normal"/>
    <w:qFormat/>
    <w:pPr>
      <w:suppressLineNumbers/>
      <w:spacing w:before="120" w:after="120"/>
    </w:pPr>
    <w:rPr>
      <w:rFonts w:ascii="Arial" w:hAnsi="Arial" w:cs="Tahoma"/>
      <w:i/>
      <w:iCs/>
    </w:rPr>
  </w:style>
  <w:style w:type="paragraph" w:styleId="55">
    <w:name w:val="Указатель5"/>
    <w:basedOn w:val="Normal"/>
    <w:qFormat/>
    <w:pPr>
      <w:suppressLineNumbers/>
    </w:pPr>
    <w:rPr>
      <w:rFonts w:ascii="Arial" w:hAnsi="Arial" w:cs="Tahoma"/>
    </w:rPr>
  </w:style>
  <w:style w:type="paragraph" w:styleId="44">
    <w:name w:val="Название4"/>
    <w:basedOn w:val="Normal"/>
    <w:qFormat/>
    <w:pPr>
      <w:suppressLineNumbers/>
      <w:spacing w:before="120" w:after="120"/>
    </w:pPr>
    <w:rPr>
      <w:rFonts w:ascii="Arial" w:hAnsi="Arial" w:cs="Tahoma"/>
      <w:i/>
      <w:iCs/>
    </w:rPr>
  </w:style>
  <w:style w:type="paragraph" w:styleId="45">
    <w:name w:val="Указатель4"/>
    <w:basedOn w:val="Normal"/>
    <w:qFormat/>
    <w:pPr>
      <w:suppressLineNumbers/>
    </w:pPr>
    <w:rPr>
      <w:rFonts w:ascii="Arial" w:hAnsi="Arial" w:cs="Tahoma"/>
    </w:rPr>
  </w:style>
  <w:style w:type="paragraph" w:styleId="35">
    <w:name w:val="Название3"/>
    <w:basedOn w:val="Normal"/>
    <w:qFormat/>
    <w:pPr>
      <w:suppressLineNumbers/>
      <w:spacing w:before="120" w:after="120"/>
    </w:pPr>
    <w:rPr>
      <w:rFonts w:ascii="Arial" w:hAnsi="Arial" w:cs="Tahoma"/>
      <w:i/>
      <w:iCs/>
    </w:rPr>
  </w:style>
  <w:style w:type="paragraph" w:styleId="36">
    <w:name w:val="Указатель3"/>
    <w:basedOn w:val="Normal"/>
    <w:qFormat/>
    <w:pPr>
      <w:suppressLineNumbers/>
    </w:pPr>
    <w:rPr>
      <w:rFonts w:ascii="Arial" w:hAnsi="Arial" w:cs="Tahoma"/>
    </w:rPr>
  </w:style>
  <w:style w:type="paragraph" w:styleId="25">
    <w:name w:val="Название2"/>
    <w:basedOn w:val="Normal"/>
    <w:qFormat/>
    <w:pPr>
      <w:suppressLineNumbers/>
      <w:spacing w:before="120" w:after="120"/>
    </w:pPr>
    <w:rPr>
      <w:rFonts w:ascii="Arial" w:hAnsi="Arial" w:cs="Tahoma"/>
      <w:i/>
      <w:iCs/>
    </w:rPr>
  </w:style>
  <w:style w:type="paragraph" w:styleId="26">
    <w:name w:val="Указатель2"/>
    <w:basedOn w:val="Normal"/>
    <w:qFormat/>
    <w:pPr>
      <w:suppressLineNumbers/>
    </w:pPr>
    <w:rPr>
      <w:rFonts w:ascii="Arial" w:hAnsi="Arial" w:cs="Tahoma"/>
    </w:rPr>
  </w:style>
  <w:style w:type="paragraph" w:styleId="110">
    <w:name w:val="Название1"/>
    <w:basedOn w:val="Normal"/>
    <w:qFormat/>
    <w:pPr>
      <w:suppressLineNumbers/>
      <w:spacing w:before="120" w:after="120"/>
    </w:pPr>
    <w:rPr>
      <w:rFonts w:ascii="Arial" w:hAnsi="Arial" w:cs="Tahoma"/>
      <w:i/>
      <w:iCs/>
    </w:rPr>
  </w:style>
  <w:style w:type="paragraph" w:styleId="112">
    <w:name w:val="Указатель1"/>
    <w:basedOn w:val="Normal"/>
    <w:qFormat/>
    <w:pPr>
      <w:suppressLineNumbers/>
    </w:pPr>
    <w:rPr>
      <w:rFonts w:ascii="Arial" w:hAnsi="Arial" w:cs="Tahoma"/>
    </w:rPr>
  </w:style>
  <w:style w:type="paragraph" w:styleId="HTMLPreformatted">
    <w:name w:val="HTML Preformatted"/>
    <w:basedOn w:val="Normal"/>
    <w:qFormat/>
    <w:pPr>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szCs w:val="20"/>
    </w:rPr>
  </w:style>
  <w:style w:type="paragraph" w:styleId="113">
    <w:name w:val="TOC 1"/>
    <w:basedOn w:val="Normal"/>
    <w:next w:val="Normal"/>
    <w:pPr>
      <w:spacing w:before="360" w:after="0"/>
      <w:jc w:val="left"/>
    </w:pPr>
    <w:rPr>
      <w:rFonts w:ascii="Cambria" w:hAnsi="Cambria"/>
      <w:b/>
      <w:bCs/>
      <w:caps/>
      <w:szCs w:val="24"/>
    </w:rPr>
  </w:style>
  <w:style w:type="paragraph" w:styleId="27">
    <w:name w:val="TOC 2"/>
    <w:basedOn w:val="Normal"/>
    <w:next w:val="Normal"/>
    <w:pPr>
      <w:spacing w:before="240" w:after="0"/>
      <w:jc w:val="left"/>
    </w:pPr>
    <w:rPr>
      <w:rFonts w:ascii="Calibri" w:hAnsi="Calibri"/>
      <w:b/>
      <w:bCs/>
      <w:sz w:val="20"/>
      <w:szCs w:val="20"/>
    </w:rPr>
  </w:style>
  <w:style w:type="paragraph" w:styleId="37">
    <w:name w:val="TOC 3"/>
    <w:basedOn w:val="Normal"/>
    <w:next w:val="Normal"/>
    <w:pPr>
      <w:ind w:left="240" w:right="0" w:firstLine="567"/>
      <w:jc w:val="left"/>
    </w:pPr>
    <w:rPr>
      <w:rFonts w:ascii="Calibri" w:hAnsi="Calibri"/>
      <w:sz w:val="20"/>
      <w:szCs w:val="20"/>
    </w:rPr>
  </w:style>
  <w:style w:type="paragraph" w:styleId="Style41">
    <w:name w:val="Верхний и нижний колонтитулы"/>
    <w:basedOn w:val="Normal"/>
    <w:qFormat/>
    <w:pPr/>
    <w:rPr/>
  </w:style>
  <w:style w:type="paragraph" w:styleId="Style42">
    <w:name w:val="Header"/>
    <w:basedOn w:val="Normal"/>
    <w:pPr>
      <w:tabs>
        <w:tab w:val="clear" w:pos="709"/>
        <w:tab w:val="center" w:pos="4153" w:leader="none"/>
        <w:tab w:val="right" w:pos="8306" w:leader="none"/>
      </w:tabs>
      <w:spacing w:before="120" w:after="120"/>
    </w:pPr>
    <w:rPr>
      <w:rFonts w:ascii="Arial" w:hAnsi="Arial"/>
      <w:szCs w:val="20"/>
    </w:rPr>
  </w:style>
  <w:style w:type="paragraph" w:styleId="Style43">
    <w:name w:val="Footer"/>
    <w:basedOn w:val="Normal"/>
    <w:pPr>
      <w:tabs>
        <w:tab w:val="clear" w:pos="709"/>
        <w:tab w:val="center" w:pos="4153" w:leader="none"/>
        <w:tab w:val="right" w:pos="8306" w:leader="none"/>
      </w:tabs>
    </w:pPr>
    <w:rPr>
      <w:szCs w:val="20"/>
    </w:rPr>
  </w:style>
  <w:style w:type="paragraph" w:styleId="Envelopeaddress">
    <w:name w:val="envelope address"/>
    <w:basedOn w:val="Normal"/>
    <w:qFormat/>
    <w:pPr>
      <w:ind w:left="2880" w:right="0" w:firstLine="567"/>
    </w:pPr>
    <w:rPr>
      <w:rFonts w:ascii="Arial" w:hAnsi="Arial" w:cs="Arial"/>
    </w:rPr>
  </w:style>
  <w:style w:type="paragraph" w:styleId="Envelopereturn">
    <w:name w:val="envelope return"/>
    <w:basedOn w:val="Normal"/>
    <w:qFormat/>
    <w:pPr/>
    <w:rPr>
      <w:rFonts w:ascii="Arial" w:hAnsi="Arial" w:cs="Arial"/>
      <w:sz w:val="20"/>
      <w:szCs w:val="20"/>
    </w:rPr>
  </w:style>
  <w:style w:type="paragraph" w:styleId="28">
    <w:name w:val="Маркированный список2"/>
    <w:basedOn w:val="Normal"/>
    <w:qFormat/>
    <w:pPr>
      <w:widowControl w:val="false"/>
    </w:pPr>
    <w:rPr>
      <w:sz w:val="22"/>
    </w:rPr>
  </w:style>
  <w:style w:type="paragraph" w:styleId="114">
    <w:name w:val="Нумерованный список1"/>
    <w:basedOn w:val="Normal"/>
    <w:qFormat/>
    <w:pPr>
      <w:tabs>
        <w:tab w:val="clear" w:pos="709"/>
        <w:tab w:val="left" w:pos="360" w:leader="none"/>
      </w:tabs>
      <w:ind w:left="360" w:right="0" w:hanging="360"/>
    </w:pPr>
    <w:rPr>
      <w:szCs w:val="20"/>
    </w:rPr>
  </w:style>
  <w:style w:type="paragraph" w:styleId="211">
    <w:name w:val="Маркированный список 21"/>
    <w:basedOn w:val="Normal"/>
    <w:qFormat/>
    <w:pPr>
      <w:tabs>
        <w:tab w:val="clear" w:pos="709"/>
        <w:tab w:val="left" w:pos="643" w:leader="none"/>
      </w:tabs>
      <w:ind w:left="643" w:right="0" w:hanging="360"/>
    </w:pPr>
    <w:rPr>
      <w:szCs w:val="20"/>
    </w:rPr>
  </w:style>
  <w:style w:type="paragraph" w:styleId="311">
    <w:name w:val="Маркированный список 31"/>
    <w:basedOn w:val="Normal"/>
    <w:qFormat/>
    <w:pPr>
      <w:tabs>
        <w:tab w:val="clear" w:pos="709"/>
        <w:tab w:val="left" w:pos="926" w:leader="none"/>
      </w:tabs>
      <w:ind w:left="926" w:right="0" w:hanging="360"/>
    </w:pPr>
    <w:rPr>
      <w:szCs w:val="20"/>
    </w:rPr>
  </w:style>
  <w:style w:type="paragraph" w:styleId="411">
    <w:name w:val="Маркированный список 41"/>
    <w:basedOn w:val="Normal"/>
    <w:qFormat/>
    <w:pPr>
      <w:tabs>
        <w:tab w:val="clear" w:pos="709"/>
        <w:tab w:val="left" w:pos="1209" w:leader="none"/>
      </w:tabs>
      <w:ind w:left="1209" w:right="0" w:hanging="360"/>
    </w:pPr>
    <w:rPr>
      <w:szCs w:val="20"/>
    </w:rPr>
  </w:style>
  <w:style w:type="paragraph" w:styleId="511">
    <w:name w:val="Маркированный список 51"/>
    <w:basedOn w:val="Normal"/>
    <w:qFormat/>
    <w:pPr>
      <w:tabs>
        <w:tab w:val="clear" w:pos="709"/>
        <w:tab w:val="left" w:pos="1492" w:leader="none"/>
      </w:tabs>
      <w:ind w:left="1492" w:right="0" w:hanging="360"/>
    </w:pPr>
    <w:rPr>
      <w:szCs w:val="20"/>
    </w:rPr>
  </w:style>
  <w:style w:type="paragraph" w:styleId="212">
    <w:name w:val="Нумерованный список 21"/>
    <w:basedOn w:val="Normal"/>
    <w:qFormat/>
    <w:pPr>
      <w:tabs>
        <w:tab w:val="clear" w:pos="709"/>
        <w:tab w:val="left" w:pos="643" w:leader="none"/>
      </w:tabs>
      <w:ind w:left="643" w:right="0" w:hanging="360"/>
    </w:pPr>
    <w:rPr>
      <w:szCs w:val="20"/>
    </w:rPr>
  </w:style>
  <w:style w:type="paragraph" w:styleId="38">
    <w:name w:val="Оглавление 3 Знак"/>
    <w:basedOn w:val="Normal"/>
    <w:qFormat/>
    <w:pPr>
      <w:tabs>
        <w:tab w:val="clear" w:pos="709"/>
        <w:tab w:val="left" w:pos="360" w:leader="none"/>
      </w:tabs>
    </w:pPr>
    <w:rPr>
      <w:szCs w:val="20"/>
    </w:rPr>
  </w:style>
  <w:style w:type="paragraph" w:styleId="412">
    <w:name w:val="Нумерованный список 41"/>
    <w:basedOn w:val="Normal"/>
    <w:qFormat/>
    <w:pPr>
      <w:tabs>
        <w:tab w:val="clear" w:pos="709"/>
        <w:tab w:val="left" w:pos="1209" w:leader="none"/>
      </w:tabs>
      <w:ind w:left="1209" w:right="0" w:hanging="360"/>
    </w:pPr>
    <w:rPr>
      <w:szCs w:val="20"/>
    </w:rPr>
  </w:style>
  <w:style w:type="paragraph" w:styleId="512">
    <w:name w:val="Нумерованный список 51"/>
    <w:basedOn w:val="Normal"/>
    <w:qFormat/>
    <w:pPr>
      <w:tabs>
        <w:tab w:val="clear" w:pos="709"/>
        <w:tab w:val="left" w:pos="1492" w:leader="none"/>
      </w:tabs>
      <w:ind w:left="1492" w:right="0" w:hanging="360"/>
    </w:pPr>
    <w:rPr>
      <w:szCs w:val="20"/>
    </w:rPr>
  </w:style>
  <w:style w:type="paragraph" w:styleId="Style44">
    <w:name w:val="Subtitle"/>
    <w:basedOn w:val="Normal"/>
    <w:next w:val="Normal"/>
    <w:qFormat/>
    <w:pPr>
      <w:spacing w:before="0" w:after="600"/>
    </w:pPr>
    <w:rPr>
      <w:rFonts w:ascii="Cambria" w:hAnsi="Cambria"/>
      <w:i/>
      <w:iCs/>
      <w:spacing w:val="13"/>
      <w:szCs w:val="24"/>
    </w:rPr>
  </w:style>
  <w:style w:type="paragraph" w:styleId="Style45">
    <w:name w:val="Body Text Indent"/>
    <w:basedOn w:val="Normal"/>
    <w:pPr>
      <w:spacing w:before="60" w:after="0"/>
      <w:ind w:left="0" w:right="0" w:firstLine="851"/>
    </w:pPr>
    <w:rPr>
      <w:szCs w:val="20"/>
    </w:rPr>
  </w:style>
  <w:style w:type="paragraph" w:styleId="115">
    <w:name w:val="Дата1"/>
    <w:basedOn w:val="Normal"/>
    <w:next w:val="Normal"/>
    <w:qFormat/>
    <w:pPr/>
    <w:rPr>
      <w:szCs w:val="20"/>
    </w:rPr>
  </w:style>
  <w:style w:type="paragraph" w:styleId="213">
    <w:name w:val="Основной текст 21"/>
    <w:basedOn w:val="Normal"/>
    <w:qFormat/>
    <w:pPr>
      <w:tabs>
        <w:tab w:val="clear" w:pos="709"/>
        <w:tab w:val="left" w:pos="2167" w:leader="none"/>
      </w:tabs>
      <w:ind w:left="2167" w:right="0" w:hanging="567"/>
    </w:pPr>
    <w:rPr>
      <w:szCs w:val="20"/>
    </w:rPr>
  </w:style>
  <w:style w:type="paragraph" w:styleId="321">
    <w:name w:val="Основной текст 32"/>
    <w:basedOn w:val="Normal"/>
    <w:qFormat/>
    <w:pPr>
      <w:keepNext w:val="true"/>
      <w:keepLines/>
      <w:widowControl w:val="false"/>
      <w:suppressLineNumbers/>
      <w:tabs>
        <w:tab w:val="clear" w:pos="709"/>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797" w:leader="none"/>
        <w:tab w:val="left" w:pos="7363" w:leader="none"/>
        <w:tab w:val="left" w:pos="7930" w:leader="none"/>
        <w:tab w:val="left" w:pos="8496" w:leader="none"/>
        <w:tab w:val="left" w:pos="9063" w:leader="none"/>
      </w:tabs>
      <w:spacing w:before="148" w:after="112"/>
    </w:pPr>
    <w:rPr>
      <w:b/>
      <w:i/>
      <w:sz w:val="22"/>
    </w:rPr>
  </w:style>
  <w:style w:type="paragraph" w:styleId="221">
    <w:name w:val="Основной текст с отступом 22"/>
    <w:basedOn w:val="Normal"/>
    <w:qFormat/>
    <w:pPr>
      <w:spacing w:lineRule="auto" w:line="480" w:before="0" w:after="120"/>
      <w:ind w:left="283" w:right="0" w:firstLine="567"/>
    </w:pPr>
    <w:rPr>
      <w:szCs w:val="20"/>
    </w:rPr>
  </w:style>
  <w:style w:type="paragraph" w:styleId="322">
    <w:name w:val="Основной текст с отступом 32"/>
    <w:basedOn w:val="Normal"/>
    <w:qFormat/>
    <w:pPr>
      <w:spacing w:before="0" w:after="120"/>
      <w:ind w:left="283" w:right="0" w:firstLine="567"/>
    </w:pPr>
    <w:rPr>
      <w:sz w:val="16"/>
      <w:szCs w:val="20"/>
    </w:rPr>
  </w:style>
  <w:style w:type="paragraph" w:styleId="Style46">
    <w:name w:val="шапка таблицы"/>
    <w:basedOn w:val="Normal"/>
    <w:qFormat/>
    <w:pPr>
      <w:ind w:left="0" w:right="0" w:hanging="0"/>
      <w:jc w:val="center"/>
    </w:pPr>
    <w:rPr>
      <w:rFonts w:cs="Courier New"/>
      <w:b/>
      <w:sz w:val="20"/>
      <w:szCs w:val="20"/>
    </w:rPr>
  </w:style>
  <w:style w:type="paragraph" w:styleId="ConsNormal">
    <w:name w:val="ConsNormal"/>
    <w:qFormat/>
    <w:pPr>
      <w:widowControl w:val="false"/>
      <w:suppressAutoHyphens w:val="true"/>
      <w:overflowPunct w:val="true"/>
      <w:bidi w:val="0"/>
      <w:spacing w:lineRule="auto" w:line="276" w:before="0" w:after="200"/>
      <w:ind w:left="0" w:right="19772" w:firstLine="720"/>
      <w:jc w:val="left"/>
    </w:pPr>
    <w:rPr>
      <w:rFonts w:ascii="Arial" w:hAnsi="Arial" w:eastAsia="Times New Roman" w:cs="Arial"/>
      <w:color w:val="auto"/>
      <w:kern w:val="0"/>
      <w:sz w:val="22"/>
      <w:szCs w:val="22"/>
      <w:lang w:val="ru-RU" w:eastAsia="ar-SA" w:bidi="ar-SA"/>
    </w:rPr>
  </w:style>
  <w:style w:type="paragraph" w:styleId="116">
    <w:name w:val="Стиль1"/>
    <w:basedOn w:val="Normal"/>
    <w:qFormat/>
    <w:pPr>
      <w:keepNext w:val="true"/>
      <w:keepLines/>
      <w:widowControl w:val="false"/>
      <w:suppressLineNumbers/>
      <w:tabs>
        <w:tab w:val="clear" w:pos="709"/>
        <w:tab w:val="left" w:pos="432" w:leader="none"/>
      </w:tabs>
      <w:ind w:left="432" w:right="0" w:hanging="432"/>
      <w:jc w:val="left"/>
    </w:pPr>
    <w:rPr>
      <w:b/>
      <w:sz w:val="28"/>
    </w:rPr>
  </w:style>
  <w:style w:type="paragraph" w:styleId="29">
    <w:name w:val="Стиль2"/>
    <w:basedOn w:val="212"/>
    <w:qFormat/>
    <w:pPr>
      <w:keepNext w:val="true"/>
      <w:keepLines/>
      <w:widowControl w:val="false"/>
      <w:suppressLineNumbers/>
      <w:tabs>
        <w:tab w:val="left" w:pos="576" w:leader="none"/>
        <w:tab w:val="left" w:pos="643" w:leader="none"/>
      </w:tabs>
      <w:ind w:left="576" w:right="0" w:hanging="576"/>
    </w:pPr>
    <w:rPr>
      <w:b/>
    </w:rPr>
  </w:style>
  <w:style w:type="paragraph" w:styleId="39">
    <w:name w:val="Стиль3 Знак"/>
    <w:basedOn w:val="221"/>
    <w:qFormat/>
    <w:pPr>
      <w:widowControl w:val="false"/>
      <w:tabs>
        <w:tab w:val="clear" w:pos="709"/>
        <w:tab w:val="left" w:pos="227" w:leader="none"/>
      </w:tabs>
      <w:spacing w:lineRule="auto" w:line="240" w:before="0" w:after="0"/>
      <w:ind w:left="0" w:right="0" w:firstLine="567"/>
    </w:pPr>
    <w:rPr/>
  </w:style>
  <w:style w:type="paragraph" w:styleId="2111">
    <w:name w:val="содержание2-11"/>
    <w:basedOn w:val="Normal"/>
    <w:qFormat/>
    <w:pPr/>
    <w:rPr/>
  </w:style>
  <w:style w:type="paragraph" w:styleId="312">
    <w:name w:val="Основной текст с отступом 3 Знак1"/>
    <w:basedOn w:val="221"/>
    <w:qFormat/>
    <w:pPr>
      <w:widowControl w:val="false"/>
      <w:tabs>
        <w:tab w:val="clear" w:pos="709"/>
        <w:tab w:val="left" w:pos="1307" w:leader="none"/>
      </w:tabs>
      <w:spacing w:lineRule="auto" w:line="240" w:before="0" w:after="0"/>
      <w:ind w:left="1080" w:right="0" w:firstLine="567"/>
    </w:pPr>
    <w:rPr/>
  </w:style>
  <w:style w:type="paragraph" w:styleId="Style47">
    <w:name w:val="Словарная статья"/>
    <w:basedOn w:val="Normal"/>
    <w:next w:val="Normal"/>
    <w:qFormat/>
    <w:pPr>
      <w:ind w:left="0" w:right="118" w:firstLine="567"/>
    </w:pPr>
    <w:rPr>
      <w:rFonts w:ascii="Arial" w:hAnsi="Arial"/>
      <w:sz w:val="20"/>
      <w:szCs w:val="20"/>
    </w:rPr>
  </w:style>
  <w:style w:type="paragraph" w:styleId="FR2">
    <w:name w:val="FR2"/>
    <w:qFormat/>
    <w:pPr>
      <w:widowControl w:val="false"/>
      <w:suppressAutoHyphens w:val="true"/>
      <w:overflowPunct w:val="true"/>
      <w:bidi w:val="0"/>
      <w:spacing w:lineRule="auto" w:line="480" w:before="0" w:after="200"/>
      <w:ind w:left="0" w:right="1800" w:hanging="0"/>
      <w:jc w:val="center"/>
    </w:pPr>
    <w:rPr>
      <w:rFonts w:ascii="Arial" w:hAnsi="Arial" w:eastAsia="Times New Roman" w:cs="Arial"/>
      <w:b/>
      <w:bCs/>
      <w:color w:val="auto"/>
      <w:kern w:val="0"/>
      <w:sz w:val="22"/>
      <w:szCs w:val="22"/>
      <w:lang w:val="ru-RU" w:eastAsia="ar-SA" w:bidi="ar-SA"/>
    </w:rPr>
  </w:style>
  <w:style w:type="paragraph" w:styleId="Style48">
    <w:name w:val="текст таблицы"/>
    <w:basedOn w:val="Normal"/>
    <w:qFormat/>
    <w:pPr>
      <w:ind w:left="0" w:right="0" w:hanging="0"/>
      <w:jc w:val="left"/>
    </w:pPr>
    <w:rPr/>
  </w:style>
  <w:style w:type="paragraph" w:styleId="Web">
    <w:name w:val="Обычный (Web)"/>
    <w:basedOn w:val="Normal"/>
    <w:qFormat/>
    <w:pPr>
      <w:spacing w:before="280" w:after="280"/>
      <w:jc w:val="left"/>
    </w:pPr>
    <w:rPr/>
  </w:style>
  <w:style w:type="paragraph" w:styleId="Style49">
    <w:name w:val="Пункт Знак"/>
    <w:basedOn w:val="Normal"/>
    <w:qFormat/>
    <w:pPr>
      <w:tabs>
        <w:tab w:val="clear" w:pos="709"/>
        <w:tab w:val="left" w:pos="1134" w:leader="none"/>
        <w:tab w:val="left" w:pos="1701" w:leader="none"/>
      </w:tabs>
      <w:snapToGrid w:val="false"/>
      <w:spacing w:lineRule="auto" w:line="360"/>
      <w:ind w:left="1134" w:right="0" w:hanging="567"/>
    </w:pPr>
    <w:rPr>
      <w:sz w:val="28"/>
      <w:szCs w:val="20"/>
    </w:rPr>
  </w:style>
  <w:style w:type="paragraph" w:styleId="Style50">
    <w:name w:val="Контракт-пункт"/>
    <w:basedOn w:val="Normal"/>
    <w:qFormat/>
    <w:pPr>
      <w:tabs>
        <w:tab w:val="clear" w:pos="709"/>
        <w:tab w:val="left" w:pos="851" w:leader="none"/>
      </w:tabs>
      <w:ind w:left="851" w:right="0" w:hanging="851"/>
    </w:pPr>
    <w:rPr/>
  </w:style>
  <w:style w:type="paragraph" w:styleId="Style51">
    <w:name w:val="Контракт-раздел"/>
    <w:basedOn w:val="Normal"/>
    <w:next w:val="Style50"/>
    <w:qFormat/>
    <w:pPr>
      <w:keepNext w:val="true"/>
      <w:tabs>
        <w:tab w:val="clear" w:pos="709"/>
        <w:tab w:val="left" w:pos="0" w:leader="none"/>
        <w:tab w:val="left" w:pos="540" w:leader="none"/>
      </w:tabs>
      <w:spacing w:before="360" w:after="120"/>
      <w:jc w:val="center"/>
    </w:pPr>
    <w:rPr>
      <w:b/>
      <w:bCs/>
      <w:caps/>
    </w:rPr>
  </w:style>
  <w:style w:type="paragraph" w:styleId="Style52">
    <w:name w:val="Контракт-подпункт"/>
    <w:basedOn w:val="Normal"/>
    <w:qFormat/>
    <w:pPr>
      <w:tabs>
        <w:tab w:val="clear" w:pos="709"/>
        <w:tab w:val="left" w:pos="851" w:leader="none"/>
      </w:tabs>
      <w:ind w:left="851" w:right="0" w:hanging="851"/>
    </w:pPr>
    <w:rPr/>
  </w:style>
  <w:style w:type="paragraph" w:styleId="Style53">
    <w:name w:val="Контракт-подподпункт"/>
    <w:basedOn w:val="Normal"/>
    <w:qFormat/>
    <w:pPr>
      <w:tabs>
        <w:tab w:val="clear" w:pos="709"/>
        <w:tab w:val="left" w:pos="1418" w:leader="none"/>
      </w:tabs>
      <w:ind w:left="1418" w:right="0" w:hanging="567"/>
    </w:pPr>
    <w:rPr/>
  </w:style>
  <w:style w:type="paragraph" w:styleId="ConsPlusNormal1">
    <w:name w:val="ConsPlusNormal"/>
    <w:qFormat/>
    <w:pPr>
      <w:widowControl/>
      <w:suppressAutoHyphens w:val="true"/>
      <w:overflowPunct w:val="true"/>
      <w:bidi w:val="0"/>
      <w:spacing w:lineRule="auto" w:line="276" w:before="0" w:after="200"/>
      <w:ind w:left="0" w:right="0" w:firstLine="720"/>
      <w:jc w:val="left"/>
    </w:pPr>
    <w:rPr>
      <w:rFonts w:ascii="Arial" w:hAnsi="Arial" w:eastAsia="Times New Roman" w:cs="Arial"/>
      <w:color w:val="auto"/>
      <w:kern w:val="0"/>
      <w:sz w:val="22"/>
      <w:szCs w:val="22"/>
      <w:lang w:val="ru-RU" w:eastAsia="ar-SA" w:bidi="ar-SA"/>
    </w:rPr>
  </w:style>
  <w:style w:type="paragraph" w:styleId="Style54">
    <w:name w:val="Пункт"/>
    <w:basedOn w:val="Normal"/>
    <w:qFormat/>
    <w:pPr>
      <w:tabs>
        <w:tab w:val="clear" w:pos="709"/>
        <w:tab w:val="left" w:pos="1620" w:leader="none"/>
      </w:tabs>
      <w:ind w:left="1044" w:right="0" w:hanging="504"/>
    </w:pPr>
    <w:rPr>
      <w:szCs w:val="28"/>
    </w:rPr>
  </w:style>
  <w:style w:type="paragraph" w:styleId="Style55">
    <w:name w:val="Подпункт"/>
    <w:basedOn w:val="Style54"/>
    <w:qFormat/>
    <w:pPr>
      <w:tabs>
        <w:tab w:val="left" w:pos="1620" w:leader="none"/>
        <w:tab w:val="left" w:pos="2700" w:leader="none"/>
      </w:tabs>
      <w:ind w:left="1908" w:right="0" w:hanging="648"/>
    </w:pPr>
    <w:rPr/>
  </w:style>
  <w:style w:type="paragraph" w:styleId="214">
    <w:name w:val="Заголовок 2 Знак1"/>
    <w:basedOn w:val="Style46"/>
    <w:qFormat/>
    <w:pPr/>
    <w:rPr>
      <w:bCs/>
      <w:sz w:val="24"/>
    </w:rPr>
  </w:style>
  <w:style w:type="paragraph" w:styleId="BalloonText">
    <w:name w:val="Balloon Text"/>
    <w:basedOn w:val="Normal"/>
    <w:qFormat/>
    <w:pPr>
      <w:jc w:val="left"/>
    </w:pPr>
    <w:rPr>
      <w:rFonts w:ascii="Tahoma" w:hAnsi="Tahoma" w:cs="Tahoma"/>
      <w:sz w:val="16"/>
      <w:szCs w:val="16"/>
    </w:rPr>
  </w:style>
  <w:style w:type="paragraph" w:styleId="46">
    <w:name w:val="TOC 4"/>
    <w:basedOn w:val="Normal"/>
    <w:next w:val="Normal"/>
    <w:pPr>
      <w:ind w:left="480" w:right="0" w:firstLine="567"/>
      <w:jc w:val="left"/>
    </w:pPr>
    <w:rPr>
      <w:rFonts w:ascii="Calibri" w:hAnsi="Calibri"/>
      <w:sz w:val="20"/>
      <w:szCs w:val="20"/>
    </w:rPr>
  </w:style>
  <w:style w:type="paragraph" w:styleId="56">
    <w:name w:val="TOC 5"/>
    <w:basedOn w:val="Normal"/>
    <w:next w:val="Normal"/>
    <w:pPr>
      <w:ind w:left="720" w:right="0" w:firstLine="567"/>
      <w:jc w:val="left"/>
    </w:pPr>
    <w:rPr>
      <w:rFonts w:ascii="Calibri" w:hAnsi="Calibri"/>
      <w:sz w:val="20"/>
      <w:szCs w:val="20"/>
    </w:rPr>
  </w:style>
  <w:style w:type="paragraph" w:styleId="62">
    <w:name w:val="TOC 6"/>
    <w:basedOn w:val="Normal"/>
    <w:next w:val="Normal"/>
    <w:pPr>
      <w:ind w:left="960" w:right="0" w:firstLine="567"/>
      <w:jc w:val="left"/>
    </w:pPr>
    <w:rPr>
      <w:rFonts w:ascii="Calibri" w:hAnsi="Calibri"/>
      <w:sz w:val="20"/>
      <w:szCs w:val="20"/>
    </w:rPr>
  </w:style>
  <w:style w:type="paragraph" w:styleId="72">
    <w:name w:val="TOC 7"/>
    <w:basedOn w:val="Normal"/>
    <w:next w:val="Normal"/>
    <w:pPr>
      <w:ind w:left="1200" w:right="0" w:firstLine="567"/>
      <w:jc w:val="left"/>
    </w:pPr>
    <w:rPr>
      <w:rFonts w:ascii="Calibri" w:hAnsi="Calibri"/>
      <w:sz w:val="20"/>
      <w:szCs w:val="20"/>
    </w:rPr>
  </w:style>
  <w:style w:type="paragraph" w:styleId="82">
    <w:name w:val="TOC 8"/>
    <w:basedOn w:val="Normal"/>
    <w:next w:val="Normal"/>
    <w:pPr>
      <w:ind w:left="1440" w:right="0" w:firstLine="567"/>
      <w:jc w:val="left"/>
    </w:pPr>
    <w:rPr>
      <w:rFonts w:ascii="Calibri" w:hAnsi="Calibri"/>
      <w:sz w:val="20"/>
      <w:szCs w:val="20"/>
    </w:rPr>
  </w:style>
  <w:style w:type="paragraph" w:styleId="92">
    <w:name w:val="TOC 9"/>
    <w:basedOn w:val="Normal"/>
    <w:next w:val="Normal"/>
    <w:pPr>
      <w:ind w:left="1680" w:right="0" w:firstLine="567"/>
      <w:jc w:val="left"/>
    </w:pPr>
    <w:rPr>
      <w:rFonts w:ascii="Calibri" w:hAnsi="Calibri"/>
      <w:sz w:val="20"/>
      <w:szCs w:val="20"/>
    </w:rPr>
  </w:style>
  <w:style w:type="paragraph" w:styleId="117">
    <w:name w:val="Знак Знак Знак1"/>
    <w:basedOn w:val="Normal"/>
    <w:qFormat/>
    <w:pPr>
      <w:widowControl w:val="false"/>
      <w:spacing w:lineRule="exact" w:line="240" w:before="0" w:after="160"/>
      <w:jc w:val="right"/>
    </w:pPr>
    <w:rPr>
      <w:sz w:val="20"/>
      <w:szCs w:val="20"/>
      <w:lang w:val="en-GB"/>
    </w:rPr>
  </w:style>
  <w:style w:type="paragraph" w:styleId="215">
    <w:name w:val="Основной текст с отступом 21"/>
    <w:basedOn w:val="Normal"/>
    <w:qFormat/>
    <w:pPr>
      <w:spacing w:lineRule="auto" w:line="480" w:before="0" w:after="120"/>
      <w:ind w:left="283" w:right="0" w:firstLine="567"/>
    </w:pPr>
    <w:rPr>
      <w:szCs w:val="20"/>
    </w:rPr>
  </w:style>
  <w:style w:type="paragraph" w:styleId="NormalWeb">
    <w:name w:val="Normal (Web)"/>
    <w:basedOn w:val="Normal"/>
    <w:qFormat/>
    <w:pPr>
      <w:spacing w:before="280" w:after="280"/>
      <w:jc w:val="left"/>
    </w:pPr>
    <w:rPr/>
  </w:style>
  <w:style w:type="paragraph" w:styleId="313">
    <w:name w:val="Основной текст с отступом 31"/>
    <w:basedOn w:val="Normal"/>
    <w:qFormat/>
    <w:pPr>
      <w:spacing w:before="0" w:after="120"/>
      <w:ind w:left="283" w:right="0" w:firstLine="567"/>
    </w:pPr>
    <w:rPr>
      <w:sz w:val="16"/>
      <w:szCs w:val="20"/>
    </w:rPr>
  </w:style>
  <w:style w:type="paragraph" w:styleId="Style56">
    <w:name w:val="Подподпункт"/>
    <w:basedOn w:val="Normal"/>
    <w:qFormat/>
    <w:pPr>
      <w:tabs>
        <w:tab w:val="clear" w:pos="709"/>
        <w:tab w:val="left" w:pos="1701" w:leader="none"/>
        <w:tab w:val="left" w:pos="5585" w:leader="none"/>
      </w:tabs>
      <w:ind w:left="1701" w:right="0" w:hanging="567"/>
    </w:pPr>
    <w:rPr/>
  </w:style>
  <w:style w:type="paragraph" w:styleId="Style57">
    <w:name w:val="А_обычный"/>
    <w:basedOn w:val="Normal"/>
    <w:qFormat/>
    <w:pPr>
      <w:ind w:left="0" w:right="0" w:firstLine="709"/>
    </w:pPr>
    <w:rPr/>
  </w:style>
  <w:style w:type="paragraph" w:styleId="Style58">
    <w:name w:val="табл_ТАНЯ"/>
    <w:basedOn w:val="Normal"/>
    <w:qFormat/>
    <w:pPr>
      <w:widowControl w:val="false"/>
    </w:pPr>
    <w:rPr>
      <w:sz w:val="22"/>
      <w:szCs w:val="20"/>
    </w:rPr>
  </w:style>
  <w:style w:type="paragraph" w:styleId="118">
    <w:name w:val="Цитата1"/>
    <w:basedOn w:val="Normal"/>
    <w:qFormat/>
    <w:pPr>
      <w:widowControl w:val="false"/>
      <w:shd w:val="clear" w:fill="FFFFFF"/>
      <w:spacing w:lineRule="exact" w:line="283"/>
      <w:ind w:left="5" w:right="480" w:firstLine="1123"/>
    </w:pPr>
    <w:rPr>
      <w:color w:val="000000"/>
      <w:szCs w:val="20"/>
    </w:rPr>
  </w:style>
  <w:style w:type="paragraph" w:styleId="231">
    <w:name w:val="Основной текст с отступом 23"/>
    <w:basedOn w:val="Normal"/>
    <w:qFormat/>
    <w:pPr>
      <w:spacing w:lineRule="atLeast" w:line="360" w:before="0" w:after="120"/>
      <w:ind w:left="0" w:right="0" w:firstLine="720"/>
    </w:pPr>
    <w:rPr>
      <w:szCs w:val="20"/>
    </w:rPr>
  </w:style>
  <w:style w:type="paragraph" w:styleId="119">
    <w:name w:val="Маркированный список1"/>
    <w:basedOn w:val="Normal"/>
    <w:qFormat/>
    <w:pPr>
      <w:widowControl w:val="false"/>
    </w:pPr>
    <w:rPr>
      <w:sz w:val="22"/>
    </w:rPr>
  </w:style>
  <w:style w:type="paragraph" w:styleId="Style59">
    <w:name w:val="Footnote Text"/>
    <w:basedOn w:val="Normal"/>
    <w:pPr/>
    <w:rPr>
      <w:sz w:val="20"/>
      <w:szCs w:val="20"/>
    </w:rPr>
  </w:style>
  <w:style w:type="paragraph" w:styleId="314">
    <w:name w:val="Основной текст 31"/>
    <w:basedOn w:val="Normal"/>
    <w:qFormat/>
    <w:pPr>
      <w:keepNext w:val="true"/>
      <w:keepLines/>
      <w:widowControl w:val="false"/>
      <w:suppressLineNumbers/>
      <w:tabs>
        <w:tab w:val="clear" w:pos="709"/>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797" w:leader="none"/>
        <w:tab w:val="left" w:pos="7363" w:leader="none"/>
        <w:tab w:val="left" w:pos="7930" w:leader="none"/>
        <w:tab w:val="left" w:pos="8496" w:leader="none"/>
        <w:tab w:val="left" w:pos="9063" w:leader="none"/>
      </w:tabs>
      <w:spacing w:before="148" w:after="112"/>
    </w:pPr>
    <w:rPr>
      <w:b/>
      <w:i/>
      <w:sz w:val="22"/>
    </w:rPr>
  </w:style>
  <w:style w:type="paragraph" w:styleId="Style60">
    <w:name w:val="Содержимое таблицы"/>
    <w:basedOn w:val="Normal"/>
    <w:qFormat/>
    <w:pPr>
      <w:suppressLineNumbers/>
    </w:pPr>
    <w:rPr/>
  </w:style>
  <w:style w:type="paragraph" w:styleId="Style61">
    <w:name w:val="Заголовок таблицы"/>
    <w:basedOn w:val="Style60"/>
    <w:qFormat/>
    <w:pPr>
      <w:jc w:val="center"/>
    </w:pPr>
    <w:rPr>
      <w:b/>
      <w:bCs/>
    </w:rPr>
  </w:style>
  <w:style w:type="paragraph" w:styleId="121">
    <w:name w:val="Заголовок 1 Знак2"/>
    <w:basedOn w:val="112"/>
    <w:qFormat/>
    <w:pPr>
      <w:tabs>
        <w:tab w:val="clear" w:pos="709"/>
        <w:tab w:val="right" w:pos="9637" w:leader="dot"/>
      </w:tabs>
      <w:ind w:left="2547" w:right="0" w:firstLine="567"/>
    </w:pPr>
    <w:rPr/>
  </w:style>
  <w:style w:type="paragraph" w:styleId="Style62">
    <w:name w:val="Содержимое врезки"/>
    <w:basedOn w:val="Style36"/>
    <w:qFormat/>
    <w:pPr/>
    <w:rPr/>
  </w:style>
  <w:style w:type="paragraph" w:styleId="331">
    <w:name w:val="Основной текст с отступом 33"/>
    <w:basedOn w:val="Normal"/>
    <w:qFormat/>
    <w:pPr>
      <w:spacing w:before="0" w:after="120"/>
      <w:ind w:left="283" w:right="0" w:firstLine="567"/>
    </w:pPr>
    <w:rPr>
      <w:sz w:val="16"/>
      <w:szCs w:val="20"/>
    </w:rPr>
  </w:style>
  <w:style w:type="paragraph" w:styleId="210">
    <w:name w:val="Цитата2"/>
    <w:basedOn w:val="Normal"/>
    <w:qFormat/>
    <w:pPr>
      <w:shd w:val="clear" w:fill="FFFFFF"/>
      <w:spacing w:lineRule="exact" w:line="274" w:before="5" w:after="0"/>
      <w:ind w:left="709" w:right="2304" w:firstLine="567"/>
    </w:pPr>
    <w:rPr>
      <w:color w:val="000000"/>
      <w:spacing w:val="1"/>
    </w:rPr>
  </w:style>
  <w:style w:type="paragraph" w:styleId="2311">
    <w:name w:val="Основной текст с отступом 231"/>
    <w:basedOn w:val="Normal"/>
    <w:qFormat/>
    <w:pPr>
      <w:spacing w:lineRule="auto" w:line="480" w:before="0" w:after="120"/>
      <w:ind w:left="283" w:right="0" w:firstLine="567"/>
    </w:pPr>
    <w:rPr/>
  </w:style>
  <w:style w:type="paragraph" w:styleId="120">
    <w:name w:val="Знак1 Знак Знак Знак"/>
    <w:basedOn w:val="Normal"/>
    <w:qFormat/>
    <w:pPr>
      <w:jc w:val="left"/>
    </w:pPr>
    <w:rPr>
      <w:rFonts w:ascii="Verdana" w:hAnsi="Verdana" w:cs="Verdana"/>
      <w:sz w:val="20"/>
      <w:szCs w:val="20"/>
    </w:rPr>
  </w:style>
  <w:style w:type="paragraph" w:styleId="BodyTextIndent2">
    <w:name w:val="Body Text Indent 2"/>
    <w:basedOn w:val="Normal"/>
    <w:qFormat/>
    <w:pPr>
      <w:spacing w:lineRule="auto" w:line="480" w:before="0" w:after="120"/>
      <w:ind w:left="283" w:right="0" w:firstLine="567"/>
      <w:jc w:val="left"/>
    </w:pPr>
    <w:rPr>
      <w:sz w:val="28"/>
      <w:szCs w:val="20"/>
      <w:lang w:eastAsia="ru-RU"/>
    </w:rPr>
  </w:style>
  <w:style w:type="paragraph" w:styleId="Style210">
    <w:name w:val="Style2"/>
    <w:basedOn w:val="Normal"/>
    <w:qFormat/>
    <w:pPr>
      <w:widowControl w:val="false"/>
      <w:spacing w:lineRule="exact" w:line="271"/>
      <w:jc w:val="left"/>
    </w:pPr>
    <w:rPr>
      <w:lang w:eastAsia="ru-RU"/>
    </w:rPr>
  </w:style>
  <w:style w:type="paragraph" w:styleId="ListParagraph">
    <w:name w:val="List Paragraph"/>
    <w:basedOn w:val="Normal"/>
    <w:qFormat/>
    <w:pPr>
      <w:spacing w:before="0" w:after="0"/>
      <w:ind w:left="720" w:right="0" w:hanging="0"/>
      <w:contextualSpacing/>
    </w:pPr>
    <w:rPr/>
  </w:style>
  <w:style w:type="paragraph" w:styleId="216">
    <w:name w:val="Знак Знак Знак2 Знак"/>
    <w:basedOn w:val="Normal"/>
    <w:qFormat/>
    <w:pPr>
      <w:widowControl w:val="false"/>
      <w:spacing w:lineRule="exact" w:line="240" w:before="0" w:after="160"/>
      <w:jc w:val="right"/>
    </w:pPr>
    <w:rPr>
      <w:sz w:val="20"/>
      <w:szCs w:val="20"/>
      <w:lang w:val="en-GB"/>
    </w:rPr>
  </w:style>
  <w:style w:type="paragraph" w:styleId="ConsPlusNonformat">
    <w:name w:val="ConsPlusNonformat"/>
    <w:qFormat/>
    <w:pPr>
      <w:widowControl w:val="false"/>
      <w:suppressAutoHyphens w:val="true"/>
      <w:overflowPunct w:val="true"/>
      <w:bidi w:val="0"/>
      <w:spacing w:lineRule="auto" w:line="276" w:before="0" w:after="200"/>
      <w:jc w:val="left"/>
    </w:pPr>
    <w:rPr>
      <w:rFonts w:ascii="Courier New" w:hAnsi="Courier New" w:eastAsia="Times New Roman" w:cs="Courier New"/>
      <w:color w:val="auto"/>
      <w:kern w:val="0"/>
      <w:sz w:val="22"/>
      <w:szCs w:val="22"/>
      <w:lang w:val="ru-RU" w:eastAsia="ru-RU" w:bidi="ar-SA"/>
    </w:rPr>
  </w:style>
  <w:style w:type="paragraph" w:styleId="TOCHeading">
    <w:name w:val="TOC Heading"/>
    <w:basedOn w:val="1"/>
    <w:next w:val="Normal"/>
    <w:qFormat/>
    <w:pPr/>
    <w:rPr/>
  </w:style>
  <w:style w:type="paragraph" w:styleId="Style63">
    <w:name w:val="по умолчанию"/>
    <w:basedOn w:val="1"/>
    <w:qFormat/>
    <w:pPr/>
    <w:rPr/>
  </w:style>
  <w:style w:type="paragraph" w:styleId="10">
    <w:name w:val="Стиль Подпункт + 10 пт"/>
    <w:basedOn w:val="Style55"/>
    <w:qFormat/>
    <w:pPr/>
    <w:rPr>
      <w:i/>
      <w:sz w:val="20"/>
    </w:rPr>
  </w:style>
  <w:style w:type="paragraph" w:styleId="Quote">
    <w:name w:val="Quote"/>
    <w:basedOn w:val="Normal"/>
    <w:next w:val="Normal"/>
    <w:qFormat/>
    <w:pPr>
      <w:spacing w:before="200" w:after="0"/>
      <w:ind w:left="360" w:right="360" w:firstLine="567"/>
    </w:pPr>
    <w:rPr>
      <w:i/>
      <w:iCs/>
    </w:rPr>
  </w:style>
  <w:style w:type="paragraph" w:styleId="IntenseQuote">
    <w:name w:val="Intense Quote"/>
    <w:basedOn w:val="Normal"/>
    <w:next w:val="Normal"/>
    <w:qFormat/>
    <w:pPr>
      <w:pBdr>
        <w:bottom w:val="single" w:sz="4" w:space="1" w:color="000000"/>
      </w:pBdr>
      <w:spacing w:before="200" w:after="280"/>
      <w:ind w:left="1008" w:right="1152" w:firstLine="567"/>
    </w:pPr>
    <w:rPr>
      <w:b/>
      <w:bCs/>
      <w:i/>
      <w:iCs/>
    </w:rPr>
  </w:style>
  <w:style w:type="paragraph" w:styleId="47">
    <w:name w:val="Оглавление 4 Знак"/>
    <w:basedOn w:val="Style44"/>
    <w:qFormat/>
    <w:pPr>
      <w:spacing w:before="240" w:after="240"/>
      <w:jc w:val="center"/>
    </w:pPr>
    <w:rPr>
      <w:i w:val="false"/>
    </w:rPr>
  </w:style>
  <w:style w:type="paragraph" w:styleId="57">
    <w:name w:val="Оглавление 5 Знак"/>
    <w:basedOn w:val="2"/>
    <w:qFormat/>
    <w:pPr/>
    <w:rPr/>
  </w:style>
  <w:style w:type="paragraph" w:styleId="Font5">
    <w:name w:val="font5"/>
    <w:basedOn w:val="Normal"/>
    <w:qFormat/>
    <w:pPr>
      <w:spacing w:before="280" w:after="280"/>
      <w:ind w:left="0" w:right="0" w:hanging="0"/>
      <w:jc w:val="left"/>
    </w:pPr>
    <w:rPr>
      <w:rFonts w:ascii="Calibri" w:hAnsi="Calibri"/>
      <w:color w:val="000000"/>
      <w:szCs w:val="24"/>
      <w:lang w:val="ru-RU" w:eastAsia="ru-RU" w:bidi="ar-SA"/>
    </w:rPr>
  </w:style>
  <w:style w:type="paragraph" w:styleId="Xl63">
    <w:name w:val="xl63"/>
    <w:basedOn w:val="Normal"/>
    <w:qFormat/>
    <w:pPr>
      <w:pBdr>
        <w:top w:val="single" w:sz="4" w:space="0" w:color="000000"/>
        <w:left w:val="single" w:sz="4" w:space="0" w:color="000000"/>
        <w:bottom w:val="single" w:sz="4" w:space="0" w:color="000000"/>
        <w:right w:val="single" w:sz="4" w:space="0" w:color="000000"/>
      </w:pBdr>
      <w:shd w:val="clear" w:fill="FFFFFF"/>
      <w:spacing w:before="280" w:after="280"/>
      <w:ind w:left="0" w:right="0" w:hanging="0"/>
      <w:jc w:val="center"/>
      <w:textAlignment w:val="center"/>
    </w:pPr>
    <w:rPr>
      <w:b/>
      <w:bCs/>
      <w:sz w:val="20"/>
      <w:szCs w:val="20"/>
      <w:lang w:val="ru-RU" w:eastAsia="ru-RU" w:bidi="ar-SA"/>
    </w:rPr>
  </w:style>
  <w:style w:type="paragraph" w:styleId="Xl64">
    <w:name w:val="xl64"/>
    <w:basedOn w:val="Normal"/>
    <w:qFormat/>
    <w:pPr>
      <w:pBdr>
        <w:top w:val="single" w:sz="4" w:space="0" w:color="000000"/>
        <w:left w:val="single" w:sz="4" w:space="0" w:color="000000"/>
        <w:bottom w:val="single" w:sz="4" w:space="0" w:color="000000"/>
        <w:right w:val="single" w:sz="4" w:space="0" w:color="000000"/>
      </w:pBdr>
      <w:shd w:val="clear" w:fill="FFFFFF"/>
      <w:spacing w:before="280" w:after="280"/>
      <w:ind w:left="0" w:right="0" w:hanging="0"/>
      <w:jc w:val="left"/>
      <w:textAlignment w:val="center"/>
    </w:pPr>
    <w:rPr>
      <w:szCs w:val="24"/>
      <w:lang w:val="ru-RU" w:eastAsia="ru-RU" w:bidi="ar-SA"/>
    </w:rPr>
  </w:style>
  <w:style w:type="paragraph" w:styleId="Xl65">
    <w:name w:val="xl65"/>
    <w:basedOn w:val="Normal"/>
    <w:qFormat/>
    <w:pPr>
      <w:pBdr>
        <w:top w:val="single" w:sz="4" w:space="0" w:color="000000"/>
        <w:left w:val="single" w:sz="4" w:space="0" w:color="000000"/>
        <w:bottom w:val="single" w:sz="4" w:space="0" w:color="000000"/>
        <w:right w:val="single" w:sz="4" w:space="0" w:color="000000"/>
      </w:pBdr>
      <w:spacing w:before="280" w:after="280"/>
      <w:ind w:left="0" w:right="0" w:hanging="0"/>
      <w:jc w:val="left"/>
      <w:textAlignment w:val="center"/>
    </w:pPr>
    <w:rPr>
      <w:szCs w:val="24"/>
      <w:lang w:val="ru-RU" w:eastAsia="ru-RU" w:bidi="ar-SA"/>
    </w:rPr>
  </w:style>
  <w:style w:type="paragraph" w:styleId="Xl66">
    <w:name w:val="xl66"/>
    <w:basedOn w:val="Normal"/>
    <w:qFormat/>
    <w:pPr>
      <w:pBdr>
        <w:top w:val="single" w:sz="4" w:space="0" w:color="000000"/>
        <w:left w:val="single" w:sz="4" w:space="0" w:color="000000"/>
        <w:bottom w:val="single" w:sz="4" w:space="0" w:color="000000"/>
        <w:right w:val="single" w:sz="4" w:space="0" w:color="000000"/>
      </w:pBdr>
      <w:spacing w:before="280" w:after="280"/>
      <w:ind w:left="0" w:right="0" w:hanging="0"/>
      <w:jc w:val="left"/>
      <w:textAlignment w:val="center"/>
    </w:pPr>
    <w:rPr>
      <w:szCs w:val="24"/>
      <w:lang w:val="ru-RU" w:eastAsia="ru-RU" w:bidi="ar-SA"/>
    </w:rPr>
  </w:style>
  <w:style w:type="paragraph" w:styleId="Xl67">
    <w:name w:val="xl67"/>
    <w:basedOn w:val="Normal"/>
    <w:qFormat/>
    <w:pPr>
      <w:pBdr>
        <w:top w:val="single" w:sz="4" w:space="0" w:color="000000"/>
        <w:left w:val="single" w:sz="4" w:space="0" w:color="000000"/>
        <w:bottom w:val="single" w:sz="4" w:space="0" w:color="000000"/>
        <w:right w:val="single" w:sz="4" w:space="0" w:color="000000"/>
      </w:pBdr>
      <w:shd w:val="clear" w:fill="FFFFFF"/>
      <w:spacing w:before="280" w:after="280"/>
      <w:ind w:left="0" w:right="0" w:hanging="0"/>
      <w:jc w:val="center"/>
      <w:textAlignment w:val="center"/>
    </w:pPr>
    <w:rPr>
      <w:szCs w:val="24"/>
      <w:lang w:val="ru-RU" w:eastAsia="ru-RU" w:bidi="ar-SA"/>
    </w:rPr>
  </w:style>
  <w:style w:type="paragraph" w:styleId="Xl68">
    <w:name w:val="xl68"/>
    <w:basedOn w:val="Normal"/>
    <w:qFormat/>
    <w:pPr>
      <w:spacing w:before="280" w:after="280"/>
      <w:ind w:left="0" w:right="0" w:hanging="0"/>
      <w:jc w:val="center"/>
    </w:pPr>
    <w:rPr>
      <w:szCs w:val="24"/>
      <w:lang w:val="ru-RU" w:eastAsia="ru-RU" w:bidi="ar-SA"/>
    </w:rPr>
  </w:style>
  <w:style w:type="paragraph" w:styleId="BodyTextIndent3">
    <w:name w:val="Body Text Indent 3"/>
    <w:basedOn w:val="Normal"/>
    <w:qFormat/>
    <w:pPr>
      <w:spacing w:before="0" w:after="120"/>
      <w:ind w:left="283" w:right="0" w:firstLine="567"/>
    </w:pPr>
    <w:rPr>
      <w:sz w:val="16"/>
      <w:szCs w:val="16"/>
    </w:rPr>
  </w:style>
  <w:style w:type="paragraph" w:styleId="Style64">
    <w:name w:val="Знак"/>
    <w:basedOn w:val="Normal"/>
    <w:qFormat/>
    <w:pPr>
      <w:widowControl w:val="false"/>
      <w:spacing w:lineRule="exact" w:line="240" w:before="0" w:after="160"/>
      <w:ind w:left="0" w:right="0" w:hanging="0"/>
      <w:jc w:val="right"/>
    </w:pPr>
    <w:rPr>
      <w:sz w:val="20"/>
      <w:szCs w:val="20"/>
      <w:lang w:val="en-GB" w:bidi="ar-SA"/>
    </w:rPr>
  </w:style>
  <w:style w:type="paragraph" w:styleId="122">
    <w:name w:val="Текст1"/>
    <w:basedOn w:val="Normal"/>
    <w:qFormat/>
    <w:pPr>
      <w:ind w:left="0" w:right="0" w:hanging="0"/>
      <w:jc w:val="left"/>
    </w:pPr>
    <w:rPr>
      <w:rFonts w:ascii="Courier New" w:hAnsi="Courier New" w:cs="Courier New"/>
      <w:sz w:val="20"/>
      <w:szCs w:val="20"/>
      <w:lang w:val="ru-RU" w:eastAsia="ar-SA" w:bidi="ar-SA"/>
    </w:rPr>
  </w:style>
  <w:style w:type="paragraph" w:styleId="310">
    <w:name w:val="Цитата3"/>
    <w:basedOn w:val="Normal"/>
    <w:qFormat/>
    <w:pPr>
      <w:shd w:val="clear" w:fill="FFFFFF"/>
      <w:spacing w:lineRule="exact" w:line="274" w:before="5" w:after="0"/>
      <w:ind w:left="709" w:right="2304" w:hanging="0"/>
    </w:pPr>
    <w:rPr>
      <w:color w:val="000000"/>
      <w:spacing w:val="1"/>
      <w:szCs w:val="24"/>
      <w:lang w:val="ru-RU" w:eastAsia="ar-SA" w:bidi="ar-SA"/>
    </w:rPr>
  </w:style>
  <w:style w:type="paragraph" w:styleId="341">
    <w:name w:val="Основной текст с отступом 34"/>
    <w:basedOn w:val="Normal"/>
    <w:qFormat/>
    <w:pPr>
      <w:spacing w:before="0" w:after="120"/>
      <w:ind w:left="283" w:right="0" w:hanging="0"/>
    </w:pPr>
    <w:rPr>
      <w:sz w:val="16"/>
      <w:szCs w:val="20"/>
      <w:lang w:val="ru-RU" w:eastAsia="ar-SA" w:bidi="ar-SA"/>
    </w:rPr>
  </w:style>
  <w:style w:type="paragraph" w:styleId="2112">
    <w:name w:val="Основной текст с отступом 211"/>
    <w:basedOn w:val="Normal"/>
    <w:qFormat/>
    <w:pPr>
      <w:spacing w:lineRule="atLeast" w:line="360" w:before="0" w:after="120"/>
      <w:ind w:left="0" w:right="0" w:firstLine="720"/>
    </w:pPr>
    <w:rPr>
      <w:szCs w:val="20"/>
      <w:lang w:val="ru-RU" w:eastAsia="ar-SA" w:bidi="ar-SA"/>
    </w:rPr>
  </w:style>
  <w:style w:type="paragraph" w:styleId="2121">
    <w:name w:val="Основной текст с отступом 212"/>
    <w:basedOn w:val="Normal"/>
    <w:qFormat/>
    <w:pPr>
      <w:spacing w:lineRule="atLeast" w:line="360" w:before="0" w:after="120"/>
      <w:ind w:left="0" w:right="0" w:firstLine="720"/>
    </w:pPr>
    <w:rPr>
      <w:szCs w:val="20"/>
      <w:lang w:val="ru-RU" w:eastAsia="ar-SA" w:bidi="ar-SA"/>
    </w:rPr>
  </w:style>
  <w:style w:type="paragraph" w:styleId="BlockText">
    <w:name w:val="Block Text"/>
    <w:basedOn w:val="Normal"/>
    <w:qFormat/>
    <w:pPr>
      <w:widowControl w:val="false"/>
      <w:shd w:val="clear" w:fill="FFFFFF"/>
      <w:spacing w:lineRule="exact" w:line="283"/>
      <w:ind w:left="5" w:right="480" w:firstLine="1123"/>
    </w:pPr>
    <w:rPr>
      <w:color w:val="000000"/>
      <w:szCs w:val="20"/>
      <w:lang w:val="ru-RU" w:eastAsia="ru-RU" w:bidi="ar-SA"/>
    </w:rPr>
  </w:style>
  <w:style w:type="paragraph" w:styleId="BodyTextIndent21">
    <w:name w:val="Body Text Indent 21"/>
    <w:basedOn w:val="Normal"/>
    <w:qFormat/>
    <w:pPr>
      <w:spacing w:lineRule="atLeast" w:line="360" w:before="0" w:after="120"/>
      <w:ind w:left="0" w:right="0" w:firstLine="720"/>
    </w:pPr>
    <w:rPr>
      <w:szCs w:val="20"/>
      <w:lang w:val="ru-RU" w:eastAsia="ar-SA" w:bidi="ar-SA"/>
    </w:rPr>
  </w:style>
  <w:style w:type="paragraph" w:styleId="123">
    <w:name w:val="Абзац списка1"/>
    <w:basedOn w:val="Normal"/>
    <w:qFormat/>
    <w:pPr>
      <w:spacing w:before="0" w:after="0"/>
      <w:ind w:left="720" w:right="0" w:hanging="0"/>
      <w:contextualSpacing/>
      <w:jc w:val="left"/>
    </w:pPr>
    <w:rPr>
      <w:rFonts w:eastAsia="Calibri"/>
      <w:szCs w:val="24"/>
      <w:lang w:val="ru-RU" w:eastAsia="ru-RU" w:bidi="ar-SA"/>
    </w:rPr>
  </w:style>
  <w:style w:type="paragraph" w:styleId="Style81">
    <w:name w:val="Style8"/>
    <w:basedOn w:val="Normal"/>
    <w:qFormat/>
    <w:pPr>
      <w:widowControl w:val="false"/>
      <w:spacing w:lineRule="exact" w:line="314"/>
      <w:ind w:left="0" w:right="0" w:firstLine="826"/>
    </w:pPr>
    <w:rPr>
      <w:rFonts w:ascii="Tahoma" w:hAnsi="Tahoma"/>
      <w:szCs w:val="24"/>
      <w:lang w:val="ru-RU" w:eastAsia="ru-RU" w:bidi="ar-SA"/>
    </w:rPr>
  </w:style>
  <w:style w:type="paragraph" w:styleId="Style101">
    <w:name w:val="Style10"/>
    <w:basedOn w:val="Normal"/>
    <w:qFormat/>
    <w:pPr>
      <w:widowControl w:val="false"/>
      <w:spacing w:lineRule="exact" w:line="313"/>
      <w:ind w:left="0" w:right="0" w:firstLine="835"/>
    </w:pPr>
    <w:rPr>
      <w:rFonts w:ascii="Tahoma" w:hAnsi="Tahoma"/>
      <w:szCs w:val="24"/>
      <w:lang w:val="ru-RU" w:eastAsia="ru-RU" w:bidi="ar-SA"/>
    </w:rPr>
  </w:style>
  <w:style w:type="paragraph" w:styleId="Formattext">
    <w:name w:val="formattext"/>
    <w:basedOn w:val="Normal"/>
    <w:qFormat/>
    <w:pPr>
      <w:spacing w:before="280" w:after="280"/>
      <w:ind w:left="0" w:right="0" w:hanging="0"/>
      <w:jc w:val="left"/>
    </w:pPr>
    <w:rPr>
      <w:szCs w:val="24"/>
      <w:lang w:val="ru-RU" w:eastAsia="ru-RU" w:bidi="ar-SA"/>
    </w:rPr>
  </w:style>
  <w:style w:type="paragraph" w:styleId="Xl69">
    <w:name w:val="xl69"/>
    <w:basedOn w:val="Normal"/>
    <w:qFormat/>
    <w:pPr>
      <w:spacing w:before="280" w:after="280"/>
      <w:ind w:left="0" w:right="0" w:hanging="0"/>
      <w:jc w:val="left"/>
      <w:textAlignment w:val="center"/>
    </w:pPr>
    <w:rPr>
      <w:sz w:val="28"/>
      <w:szCs w:val="28"/>
      <w:lang w:val="ru-RU" w:eastAsia="ru-RU" w:bidi="ar-SA"/>
    </w:rPr>
  </w:style>
  <w:style w:type="paragraph" w:styleId="Xl70">
    <w:name w:val="xl70"/>
    <w:basedOn w:val="Normal"/>
    <w:qFormat/>
    <w:pPr>
      <w:pBdr>
        <w:left w:val="single" w:sz="4" w:space="0" w:color="000000"/>
        <w:bottom w:val="single" w:sz="4" w:space="0" w:color="000000"/>
        <w:right w:val="single" w:sz="4" w:space="0" w:color="000000"/>
      </w:pBdr>
      <w:shd w:val="clear" w:fill="FFFFFF"/>
      <w:spacing w:before="280" w:after="280"/>
      <w:ind w:left="0" w:right="0" w:hanging="0"/>
      <w:jc w:val="center"/>
      <w:textAlignment w:val="center"/>
    </w:pPr>
    <w:rPr>
      <w:sz w:val="28"/>
      <w:szCs w:val="28"/>
      <w:lang w:val="ru-RU" w:eastAsia="ru-RU" w:bidi="ar-SA"/>
    </w:rPr>
  </w:style>
  <w:style w:type="paragraph" w:styleId="Xl71">
    <w:name w:val="xl71"/>
    <w:basedOn w:val="Normal"/>
    <w:qFormat/>
    <w:pPr>
      <w:pBdr>
        <w:left w:val="single" w:sz="4" w:space="0" w:color="000000"/>
        <w:bottom w:val="single" w:sz="4" w:space="0" w:color="000000"/>
        <w:right w:val="single" w:sz="4" w:space="0" w:color="000000"/>
      </w:pBdr>
      <w:shd w:val="clear" w:fill="FFFFFF"/>
      <w:spacing w:before="280" w:after="280"/>
      <w:ind w:left="0" w:right="0" w:hanging="0"/>
      <w:jc w:val="left"/>
      <w:textAlignment w:val="center"/>
    </w:pPr>
    <w:rPr>
      <w:b/>
      <w:bCs/>
      <w:sz w:val="28"/>
      <w:szCs w:val="28"/>
      <w:lang w:val="ru-RU" w:eastAsia="ru-RU" w:bidi="ar-SA"/>
    </w:rPr>
  </w:style>
  <w:style w:type="paragraph" w:styleId="Xl72">
    <w:name w:val="xl72"/>
    <w:basedOn w:val="Normal"/>
    <w:qFormat/>
    <w:pPr>
      <w:pBdr>
        <w:top w:val="single" w:sz="4" w:space="0" w:color="000000"/>
        <w:left w:val="single" w:sz="4" w:space="0" w:color="000000"/>
        <w:bottom w:val="single" w:sz="4" w:space="0" w:color="000000"/>
        <w:right w:val="single" w:sz="4" w:space="0" w:color="000000"/>
      </w:pBdr>
      <w:shd w:val="clear" w:fill="FFFFFF"/>
      <w:spacing w:before="280" w:after="280"/>
      <w:ind w:left="0" w:right="0" w:hanging="0"/>
      <w:jc w:val="center"/>
      <w:textAlignment w:val="center"/>
    </w:pPr>
    <w:rPr>
      <w:sz w:val="28"/>
      <w:szCs w:val="28"/>
      <w:lang w:val="ru-RU" w:eastAsia="ru-RU" w:bidi="ar-SA"/>
    </w:rPr>
  </w:style>
  <w:style w:type="paragraph" w:styleId="Xl73">
    <w:name w:val="xl73"/>
    <w:basedOn w:val="Normal"/>
    <w:qFormat/>
    <w:pPr>
      <w:pBdr>
        <w:top w:val="single" w:sz="4" w:space="0" w:color="000000"/>
        <w:left w:val="single" w:sz="4" w:space="0" w:color="000000"/>
        <w:bottom w:val="single" w:sz="4" w:space="0" w:color="000000"/>
      </w:pBdr>
      <w:shd w:val="clear" w:fill="FFFFFF"/>
      <w:spacing w:before="280" w:after="280"/>
      <w:ind w:left="0" w:right="0" w:hanging="0"/>
      <w:jc w:val="center"/>
      <w:textAlignment w:val="center"/>
    </w:pPr>
    <w:rPr>
      <w:sz w:val="28"/>
      <w:szCs w:val="28"/>
      <w:lang w:val="ru-RU" w:eastAsia="ru-RU" w:bidi="ar-SA"/>
    </w:rPr>
  </w:style>
  <w:style w:type="paragraph" w:styleId="Xl74">
    <w:name w:val="xl74"/>
    <w:basedOn w:val="Normal"/>
    <w:qFormat/>
    <w:pPr>
      <w:pBdr>
        <w:top w:val="single" w:sz="4" w:space="0" w:color="000000"/>
        <w:left w:val="single" w:sz="4" w:space="0" w:color="000000"/>
        <w:bottom w:val="single" w:sz="4" w:space="0" w:color="000000"/>
        <w:right w:val="single" w:sz="4" w:space="0" w:color="000000"/>
      </w:pBdr>
      <w:spacing w:before="280" w:after="280"/>
      <w:ind w:left="0" w:right="0" w:hanging="0"/>
      <w:jc w:val="center"/>
      <w:textAlignment w:val="center"/>
    </w:pPr>
    <w:rPr>
      <w:sz w:val="28"/>
      <w:szCs w:val="28"/>
      <w:lang w:val="ru-RU" w:eastAsia="ru-RU" w:bidi="ar-SA"/>
    </w:rPr>
  </w:style>
  <w:style w:type="paragraph" w:styleId="Xl75">
    <w:name w:val="xl75"/>
    <w:basedOn w:val="Normal"/>
    <w:qFormat/>
    <w:pPr>
      <w:pBdr>
        <w:top w:val="single" w:sz="4" w:space="0" w:color="000000"/>
        <w:left w:val="single" w:sz="4" w:space="0" w:color="000000"/>
        <w:bottom w:val="single" w:sz="4" w:space="0" w:color="000000"/>
        <w:right w:val="single" w:sz="4" w:space="0" w:color="000000"/>
      </w:pBdr>
      <w:shd w:val="clear" w:fill="FFFFFF"/>
      <w:spacing w:before="280" w:after="280"/>
      <w:ind w:left="0" w:right="0" w:hanging="0"/>
      <w:jc w:val="left"/>
      <w:textAlignment w:val="center"/>
    </w:pPr>
    <w:rPr>
      <w:sz w:val="28"/>
      <w:szCs w:val="28"/>
      <w:lang w:val="ru-RU" w:eastAsia="ru-RU" w:bidi="ar-SA"/>
    </w:rPr>
  </w:style>
  <w:style w:type="paragraph" w:styleId="Xl76">
    <w:name w:val="xl76"/>
    <w:basedOn w:val="Normal"/>
    <w:qFormat/>
    <w:pPr>
      <w:pBdr>
        <w:left w:val="single" w:sz="4" w:space="0" w:color="000000"/>
        <w:bottom w:val="single" w:sz="4" w:space="0" w:color="000000"/>
        <w:right w:val="single" w:sz="4" w:space="0" w:color="000000"/>
      </w:pBdr>
      <w:shd w:val="clear" w:fill="FFFFFF"/>
      <w:spacing w:before="280" w:after="280"/>
      <w:ind w:left="0" w:right="0" w:hanging="0"/>
      <w:jc w:val="left"/>
      <w:textAlignment w:val="center"/>
    </w:pPr>
    <w:rPr>
      <w:sz w:val="28"/>
      <w:szCs w:val="28"/>
      <w:lang w:val="ru-RU" w:eastAsia="ru-RU" w:bidi="ar-SA"/>
    </w:rPr>
  </w:style>
  <w:style w:type="paragraph" w:styleId="Xl77">
    <w:name w:val="xl77"/>
    <w:basedOn w:val="Normal"/>
    <w:qFormat/>
    <w:pPr>
      <w:pBdr>
        <w:left w:val="single" w:sz="4" w:space="0" w:color="000000"/>
        <w:bottom w:val="single" w:sz="4" w:space="0" w:color="000000"/>
        <w:right w:val="single" w:sz="4" w:space="0" w:color="000000"/>
      </w:pBdr>
      <w:shd w:val="clear" w:fill="FFFFFF"/>
      <w:spacing w:before="280" w:after="280"/>
      <w:ind w:left="0" w:right="0" w:hanging="0"/>
      <w:jc w:val="center"/>
      <w:textAlignment w:val="center"/>
    </w:pPr>
    <w:rPr>
      <w:sz w:val="28"/>
      <w:szCs w:val="28"/>
      <w:lang w:val="ru-RU" w:eastAsia="ru-RU" w:bidi="ar-SA"/>
    </w:rPr>
  </w:style>
  <w:style w:type="paragraph" w:styleId="Xl78">
    <w:name w:val="xl78"/>
    <w:basedOn w:val="Normal"/>
    <w:qFormat/>
    <w:pPr>
      <w:pBdr>
        <w:left w:val="single" w:sz="4" w:space="0" w:color="000000"/>
        <w:bottom w:val="single" w:sz="4" w:space="0" w:color="000000"/>
        <w:right w:val="single" w:sz="4" w:space="0" w:color="000000"/>
      </w:pBdr>
      <w:shd w:val="clear" w:fill="FFFFFF"/>
      <w:spacing w:before="280" w:after="280"/>
      <w:ind w:left="0" w:right="0" w:hanging="0"/>
      <w:jc w:val="left"/>
      <w:textAlignment w:val="center"/>
    </w:pPr>
    <w:rPr>
      <w:sz w:val="28"/>
      <w:szCs w:val="28"/>
      <w:lang w:val="ru-RU" w:eastAsia="ru-RU" w:bidi="ar-SA"/>
    </w:rPr>
  </w:style>
  <w:style w:type="paragraph" w:styleId="Xl79">
    <w:name w:val="xl79"/>
    <w:basedOn w:val="Normal"/>
    <w:qFormat/>
    <w:pPr>
      <w:pBdr>
        <w:top w:val="single" w:sz="4" w:space="0" w:color="000000"/>
        <w:left w:val="single" w:sz="4" w:space="0" w:color="000000"/>
        <w:bottom w:val="single" w:sz="4" w:space="0" w:color="000000"/>
        <w:right w:val="single" w:sz="4" w:space="0" w:color="000000"/>
      </w:pBdr>
      <w:shd w:val="clear" w:fill="FFFFFF"/>
      <w:spacing w:before="280" w:after="280"/>
      <w:ind w:left="0" w:right="0" w:hanging="0"/>
      <w:jc w:val="left"/>
      <w:textAlignment w:val="center"/>
    </w:pPr>
    <w:rPr>
      <w:sz w:val="28"/>
      <w:szCs w:val="28"/>
      <w:lang w:val="ru-RU" w:eastAsia="ru-RU" w:bidi="ar-SA"/>
    </w:rPr>
  </w:style>
  <w:style w:type="paragraph" w:styleId="Xl80">
    <w:name w:val="xl80"/>
    <w:basedOn w:val="Normal"/>
    <w:qFormat/>
    <w:pPr>
      <w:pBdr>
        <w:top w:val="single" w:sz="4" w:space="0" w:color="000000"/>
        <w:left w:val="single" w:sz="4" w:space="0" w:color="000000"/>
        <w:bottom w:val="single" w:sz="4" w:space="0" w:color="000000"/>
      </w:pBdr>
      <w:shd w:val="clear" w:fill="FFFFFF"/>
      <w:spacing w:before="280" w:after="280"/>
      <w:ind w:left="0" w:right="0" w:hanging="0"/>
      <w:jc w:val="center"/>
      <w:textAlignment w:val="center"/>
    </w:pPr>
    <w:rPr>
      <w:b/>
      <w:bCs/>
      <w:sz w:val="28"/>
      <w:szCs w:val="28"/>
      <w:lang w:val="ru-RU" w:eastAsia="ru-RU" w:bidi="ar-SA"/>
    </w:rPr>
  </w:style>
  <w:style w:type="paragraph" w:styleId="Xl81">
    <w:name w:val="xl81"/>
    <w:basedOn w:val="Normal"/>
    <w:qFormat/>
    <w:pPr>
      <w:pBdr>
        <w:top w:val="single" w:sz="4" w:space="0" w:color="000000"/>
        <w:left w:val="single" w:sz="4" w:space="0" w:color="000000"/>
        <w:bottom w:val="single" w:sz="4" w:space="0" w:color="000000"/>
        <w:right w:val="single" w:sz="4" w:space="0" w:color="000000"/>
      </w:pBdr>
      <w:spacing w:before="280" w:after="280"/>
      <w:ind w:left="0" w:right="0" w:hanging="0"/>
      <w:jc w:val="left"/>
      <w:textAlignment w:val="center"/>
    </w:pPr>
    <w:rPr>
      <w:sz w:val="28"/>
      <w:szCs w:val="28"/>
      <w:lang w:val="ru-RU" w:eastAsia="ru-RU" w:bidi="ar-SA"/>
    </w:rPr>
  </w:style>
  <w:style w:type="paragraph" w:styleId="Xl82">
    <w:name w:val="xl82"/>
    <w:basedOn w:val="Normal"/>
    <w:qFormat/>
    <w:pPr>
      <w:shd w:val="clear" w:fill="FFFFFF"/>
      <w:spacing w:before="280" w:after="280"/>
      <w:ind w:left="0" w:right="0" w:hanging="0"/>
      <w:jc w:val="left"/>
      <w:textAlignment w:val="center"/>
    </w:pPr>
    <w:rPr>
      <w:b/>
      <w:bCs/>
      <w:sz w:val="28"/>
      <w:szCs w:val="28"/>
      <w:lang w:val="ru-RU" w:eastAsia="ru-RU" w:bidi="ar-SA"/>
    </w:rPr>
  </w:style>
  <w:style w:type="paragraph" w:styleId="Xl83">
    <w:name w:val="xl83"/>
    <w:basedOn w:val="Normal"/>
    <w:qFormat/>
    <w:pPr>
      <w:pBdr>
        <w:top w:val="single" w:sz="4" w:space="0" w:color="000000"/>
        <w:left w:val="single" w:sz="4" w:space="29" w:color="000000"/>
        <w:bottom w:val="single" w:sz="4" w:space="0" w:color="000000"/>
        <w:right w:val="single" w:sz="4" w:space="0" w:color="000000"/>
      </w:pBdr>
      <w:shd w:val="clear" w:fill="FFFFFF"/>
      <w:spacing w:before="280" w:after="280"/>
      <w:ind w:left="0" w:right="0" w:hanging="0"/>
      <w:jc w:val="left"/>
      <w:textAlignment w:val="center"/>
    </w:pPr>
    <w:rPr>
      <w:b/>
      <w:bCs/>
      <w:sz w:val="28"/>
      <w:szCs w:val="28"/>
      <w:lang w:val="ru-RU" w:eastAsia="ru-RU" w:bidi="ar-SA"/>
    </w:rPr>
  </w:style>
  <w:style w:type="paragraph" w:styleId="Xl84">
    <w:name w:val="xl84"/>
    <w:basedOn w:val="Normal"/>
    <w:qFormat/>
    <w:pPr>
      <w:spacing w:before="280" w:after="280"/>
      <w:ind w:left="0" w:right="0" w:hanging="0"/>
      <w:jc w:val="center"/>
      <w:textAlignment w:val="center"/>
    </w:pPr>
    <w:rPr>
      <w:sz w:val="28"/>
      <w:szCs w:val="28"/>
      <w:lang w:val="ru-RU" w:eastAsia="ru-RU" w:bidi="ar-SA"/>
    </w:rPr>
  </w:style>
  <w:style w:type="paragraph" w:styleId="Xl85">
    <w:name w:val="xl85"/>
    <w:basedOn w:val="Normal"/>
    <w:qFormat/>
    <w:pPr>
      <w:pBdr>
        <w:top w:val="single" w:sz="4" w:space="0" w:color="000000"/>
        <w:left w:val="single" w:sz="4" w:space="0" w:color="000000"/>
        <w:bottom w:val="single" w:sz="4" w:space="0" w:color="000000"/>
        <w:right w:val="single" w:sz="4" w:space="0" w:color="000000"/>
      </w:pBdr>
      <w:spacing w:before="280" w:after="280"/>
      <w:ind w:left="0" w:right="0" w:hanging="0"/>
      <w:jc w:val="center"/>
      <w:textAlignment w:val="center"/>
    </w:pPr>
    <w:rPr>
      <w:sz w:val="28"/>
      <w:szCs w:val="28"/>
      <w:lang w:val="ru-RU" w:eastAsia="ru-RU" w:bidi="ar-SA"/>
    </w:rPr>
  </w:style>
  <w:style w:type="paragraph" w:styleId="Xl86">
    <w:name w:val="xl86"/>
    <w:basedOn w:val="Normal"/>
    <w:qFormat/>
    <w:pPr>
      <w:pBdr>
        <w:top w:val="single" w:sz="4" w:space="0" w:color="000000"/>
        <w:left w:val="single" w:sz="4" w:space="0" w:color="000000"/>
        <w:bottom w:val="single" w:sz="4" w:space="0" w:color="000000"/>
      </w:pBdr>
      <w:shd w:val="clear" w:fill="FFFFFF"/>
      <w:spacing w:before="280" w:after="280"/>
      <w:ind w:left="0" w:right="0" w:hanging="0"/>
      <w:jc w:val="center"/>
      <w:textAlignment w:val="center"/>
    </w:pPr>
    <w:rPr>
      <w:sz w:val="28"/>
      <w:szCs w:val="28"/>
      <w:lang w:val="ru-RU" w:eastAsia="ru-RU" w:bidi="ar-SA"/>
    </w:rPr>
  </w:style>
  <w:style w:type="paragraph" w:styleId="Xl87">
    <w:name w:val="xl87"/>
    <w:basedOn w:val="Normal"/>
    <w:qFormat/>
    <w:pPr>
      <w:pBdr>
        <w:top w:val="single" w:sz="4" w:space="0" w:color="000000"/>
        <w:left w:val="single" w:sz="4" w:space="0" w:color="000000"/>
        <w:bottom w:val="single" w:sz="4" w:space="0" w:color="000000"/>
        <w:right w:val="single" w:sz="4" w:space="0" w:color="000000"/>
      </w:pBdr>
      <w:shd w:val="clear" w:fill="FFFFFF"/>
      <w:spacing w:before="280" w:after="280"/>
      <w:ind w:left="0" w:right="0" w:hanging="0"/>
      <w:jc w:val="center"/>
      <w:textAlignment w:val="center"/>
    </w:pPr>
    <w:rPr>
      <w:color w:val="000000"/>
      <w:sz w:val="28"/>
      <w:szCs w:val="28"/>
      <w:lang w:val="ru-RU" w:eastAsia="ru-RU" w:bidi="ar-SA"/>
    </w:rPr>
  </w:style>
  <w:style w:type="paragraph" w:styleId="Xl88">
    <w:name w:val="xl88"/>
    <w:basedOn w:val="Normal"/>
    <w:qFormat/>
    <w:pPr>
      <w:pBdr>
        <w:top w:val="single" w:sz="4" w:space="0" w:color="000000"/>
        <w:left w:val="single" w:sz="4" w:space="0" w:color="000000"/>
        <w:bottom w:val="single" w:sz="4" w:space="0" w:color="000000"/>
        <w:right w:val="single" w:sz="4" w:space="0" w:color="000000"/>
      </w:pBdr>
      <w:shd w:val="clear" w:fill="FFFFFF"/>
      <w:spacing w:before="280" w:after="280"/>
      <w:ind w:left="0" w:right="0" w:hanging="0"/>
      <w:jc w:val="center"/>
      <w:textAlignment w:val="center"/>
    </w:pPr>
    <w:rPr>
      <w:sz w:val="28"/>
      <w:szCs w:val="28"/>
      <w:lang w:val="ru-RU" w:eastAsia="ru-RU" w:bidi="ar-SA"/>
    </w:rPr>
  </w:style>
  <w:style w:type="paragraph" w:styleId="Xl89">
    <w:name w:val="xl89"/>
    <w:basedOn w:val="Normal"/>
    <w:qFormat/>
    <w:pPr>
      <w:pBdr>
        <w:top w:val="single" w:sz="4" w:space="0" w:color="000000"/>
        <w:left w:val="single" w:sz="4" w:space="0" w:color="000000"/>
        <w:bottom w:val="single" w:sz="4" w:space="0" w:color="000000"/>
        <w:right w:val="single" w:sz="4" w:space="0" w:color="000000"/>
      </w:pBdr>
      <w:shd w:val="clear" w:fill="FFFFFF"/>
      <w:spacing w:before="280" w:after="280"/>
      <w:ind w:left="0" w:right="0" w:hanging="0"/>
      <w:jc w:val="right"/>
      <w:textAlignment w:val="center"/>
    </w:pPr>
    <w:rPr>
      <w:color w:val="000000"/>
      <w:sz w:val="28"/>
      <w:szCs w:val="28"/>
      <w:lang w:val="ru-RU" w:eastAsia="ru-RU" w:bidi="ar-SA"/>
    </w:rPr>
  </w:style>
  <w:style w:type="paragraph" w:styleId="Xl90">
    <w:name w:val="xl90"/>
    <w:basedOn w:val="Normal"/>
    <w:qFormat/>
    <w:pPr>
      <w:pBdr>
        <w:top w:val="single" w:sz="4" w:space="0" w:color="000000"/>
        <w:left w:val="single" w:sz="4" w:space="0" w:color="000000"/>
        <w:bottom w:val="single" w:sz="4" w:space="0" w:color="000000"/>
      </w:pBdr>
      <w:shd w:val="clear" w:fill="FFFFFF"/>
      <w:spacing w:before="280" w:after="280"/>
      <w:ind w:left="0" w:right="0" w:hanging="0"/>
      <w:jc w:val="center"/>
      <w:textAlignment w:val="center"/>
    </w:pPr>
    <w:rPr>
      <w:sz w:val="28"/>
      <w:szCs w:val="28"/>
      <w:lang w:val="ru-RU" w:eastAsia="ru-RU" w:bidi="ar-SA"/>
    </w:rPr>
  </w:style>
  <w:style w:type="paragraph" w:styleId="Xl91">
    <w:name w:val="xl91"/>
    <w:basedOn w:val="Normal"/>
    <w:qFormat/>
    <w:pPr>
      <w:pBdr>
        <w:top w:val="single" w:sz="4" w:space="0" w:color="000000"/>
        <w:bottom w:val="single" w:sz="4" w:space="0" w:color="000000"/>
      </w:pBdr>
      <w:shd w:val="clear" w:fill="FFFFFF"/>
      <w:spacing w:before="280" w:after="280"/>
      <w:ind w:left="0" w:right="0" w:hanging="0"/>
      <w:jc w:val="center"/>
      <w:textAlignment w:val="center"/>
    </w:pPr>
    <w:rPr>
      <w:sz w:val="28"/>
      <w:szCs w:val="28"/>
      <w:lang w:val="ru-RU" w:eastAsia="ru-RU" w:bidi="ar-SA"/>
    </w:rPr>
  </w:style>
  <w:style w:type="paragraph" w:styleId="Xl92">
    <w:name w:val="xl92"/>
    <w:basedOn w:val="Normal"/>
    <w:qFormat/>
    <w:pPr>
      <w:pBdr>
        <w:top w:val="single" w:sz="4" w:space="0" w:color="000000"/>
        <w:left w:val="single" w:sz="4" w:space="0" w:color="000000"/>
        <w:bottom w:val="single" w:sz="4" w:space="0" w:color="000000"/>
        <w:right w:val="single" w:sz="4" w:space="0" w:color="000000"/>
      </w:pBdr>
      <w:spacing w:before="280" w:after="280"/>
      <w:ind w:left="0" w:right="0" w:hanging="0"/>
      <w:jc w:val="left"/>
      <w:textAlignment w:val="center"/>
    </w:pPr>
    <w:rPr>
      <w:sz w:val="28"/>
      <w:szCs w:val="28"/>
      <w:lang w:val="ru-RU" w:eastAsia="ru-RU" w:bidi="ar-SA"/>
    </w:rPr>
  </w:style>
  <w:style w:type="paragraph" w:styleId="Xl93">
    <w:name w:val="xl93"/>
    <w:basedOn w:val="Normal"/>
    <w:qFormat/>
    <w:pPr>
      <w:shd w:val="clear" w:fill="FFFFFF"/>
      <w:spacing w:before="280" w:after="280"/>
      <w:ind w:left="0" w:right="0" w:hanging="0"/>
      <w:jc w:val="center"/>
      <w:textAlignment w:val="center"/>
    </w:pPr>
    <w:rPr>
      <w:sz w:val="28"/>
      <w:szCs w:val="28"/>
      <w:lang w:val="ru-RU" w:eastAsia="ru-RU" w:bidi="ar-SA"/>
    </w:rPr>
  </w:style>
  <w:style w:type="paragraph" w:styleId="Xl94">
    <w:name w:val="xl94"/>
    <w:basedOn w:val="Normal"/>
    <w:qFormat/>
    <w:pPr>
      <w:shd w:val="clear" w:fill="FFFFFF"/>
      <w:spacing w:before="280" w:after="280"/>
      <w:ind w:left="0" w:right="0" w:hanging="0"/>
      <w:jc w:val="center"/>
      <w:textAlignment w:val="center"/>
    </w:pPr>
    <w:rPr>
      <w:sz w:val="28"/>
      <w:szCs w:val="28"/>
      <w:lang w:val="ru-RU" w:eastAsia="ru-RU" w:bidi="ar-SA"/>
    </w:rPr>
  </w:style>
  <w:style w:type="paragraph" w:styleId="Xl95">
    <w:name w:val="xl95"/>
    <w:basedOn w:val="Normal"/>
    <w:qFormat/>
    <w:pPr>
      <w:shd w:val="clear" w:fill="FFFFFF"/>
      <w:spacing w:before="280" w:after="280"/>
      <w:ind w:left="0" w:right="0" w:hanging="0"/>
      <w:jc w:val="left"/>
      <w:textAlignment w:val="center"/>
    </w:pPr>
    <w:rPr>
      <w:b/>
      <w:bCs/>
      <w:sz w:val="28"/>
      <w:szCs w:val="28"/>
      <w:lang w:val="ru-RU" w:eastAsia="ru-RU" w:bidi="ar-SA"/>
    </w:rPr>
  </w:style>
  <w:style w:type="paragraph" w:styleId="Xl96">
    <w:name w:val="xl96"/>
    <w:basedOn w:val="Normal"/>
    <w:qFormat/>
    <w:pPr>
      <w:shd w:val="clear" w:fill="FFFFFF"/>
      <w:spacing w:before="280" w:after="280"/>
      <w:ind w:left="0" w:right="0" w:hanging="0"/>
      <w:jc w:val="left"/>
      <w:textAlignment w:val="center"/>
    </w:pPr>
    <w:rPr>
      <w:b/>
      <w:bCs/>
      <w:sz w:val="28"/>
      <w:szCs w:val="28"/>
      <w:lang w:val="ru-RU" w:eastAsia="ru-RU" w:bidi="ar-SA"/>
    </w:rPr>
  </w:style>
  <w:style w:type="paragraph" w:styleId="Xl97">
    <w:name w:val="xl97"/>
    <w:basedOn w:val="Normal"/>
    <w:qFormat/>
    <w:pPr>
      <w:shd w:val="clear" w:fill="FFFFFF"/>
      <w:spacing w:before="280" w:after="280"/>
      <w:ind w:left="0" w:right="0" w:hanging="0"/>
      <w:jc w:val="left"/>
      <w:textAlignment w:val="center"/>
    </w:pPr>
    <w:rPr>
      <w:sz w:val="28"/>
      <w:szCs w:val="28"/>
      <w:lang w:val="ru-RU" w:eastAsia="ru-RU" w:bidi="ar-SA"/>
    </w:rPr>
  </w:style>
  <w:style w:type="paragraph" w:styleId="Xl98">
    <w:name w:val="xl98"/>
    <w:basedOn w:val="Normal"/>
    <w:qFormat/>
    <w:pPr>
      <w:pBdr>
        <w:top w:val="single" w:sz="4" w:space="0" w:color="000000"/>
        <w:bottom w:val="single" w:sz="4" w:space="0" w:color="000000"/>
      </w:pBdr>
      <w:shd w:val="clear" w:fill="FFFFFF"/>
      <w:spacing w:before="280" w:after="280"/>
      <w:ind w:left="0" w:right="0" w:hanging="0"/>
      <w:jc w:val="left"/>
      <w:textAlignment w:val="center"/>
    </w:pPr>
    <w:rPr>
      <w:b/>
      <w:bCs/>
      <w:sz w:val="28"/>
      <w:szCs w:val="28"/>
      <w:lang w:val="ru-RU" w:eastAsia="ru-RU" w:bidi="ar-SA"/>
    </w:rPr>
  </w:style>
  <w:style w:type="paragraph" w:styleId="Xl99">
    <w:name w:val="xl99"/>
    <w:basedOn w:val="Normal"/>
    <w:qFormat/>
    <w:pPr>
      <w:pBdr>
        <w:top w:val="single" w:sz="4" w:space="0" w:color="000000"/>
        <w:left w:val="single" w:sz="4" w:space="0" w:color="000000"/>
        <w:bottom w:val="single" w:sz="4" w:space="0" w:color="000000"/>
      </w:pBdr>
      <w:shd w:val="clear" w:fill="FFFFFF"/>
      <w:spacing w:before="280" w:after="280"/>
      <w:ind w:left="0" w:right="0" w:hanging="0"/>
      <w:jc w:val="center"/>
      <w:textAlignment w:val="center"/>
    </w:pPr>
    <w:rPr>
      <w:b/>
      <w:bCs/>
      <w:sz w:val="28"/>
      <w:szCs w:val="28"/>
      <w:lang w:val="ru-RU" w:eastAsia="ru-RU" w:bidi="ar-SA"/>
    </w:rPr>
  </w:style>
  <w:style w:type="paragraph" w:styleId="Xl100">
    <w:name w:val="xl100"/>
    <w:basedOn w:val="Normal"/>
    <w:qFormat/>
    <w:pPr>
      <w:pBdr>
        <w:top w:val="single" w:sz="4" w:space="0" w:color="000000"/>
        <w:bottom w:val="single" w:sz="4" w:space="0" w:color="000000"/>
      </w:pBdr>
      <w:shd w:val="clear" w:fill="FFFFFF"/>
      <w:spacing w:before="280" w:after="280"/>
      <w:ind w:left="0" w:right="0" w:hanging="0"/>
      <w:jc w:val="center"/>
      <w:textAlignment w:val="center"/>
    </w:pPr>
    <w:rPr>
      <w:b/>
      <w:bCs/>
      <w:sz w:val="28"/>
      <w:szCs w:val="28"/>
      <w:lang w:val="ru-RU" w:eastAsia="ru-RU" w:bidi="ar-SA"/>
    </w:rPr>
  </w:style>
  <w:style w:type="paragraph" w:styleId="Xl101">
    <w:name w:val="xl101"/>
    <w:basedOn w:val="Normal"/>
    <w:qFormat/>
    <w:pPr>
      <w:shd w:val="clear" w:fill="FFFFFF"/>
      <w:spacing w:before="280" w:after="280"/>
      <w:ind w:left="0" w:right="0" w:hanging="0"/>
      <w:jc w:val="left"/>
      <w:textAlignment w:val="center"/>
    </w:pPr>
    <w:rPr>
      <w:sz w:val="28"/>
      <w:szCs w:val="28"/>
      <w:lang w:val="ru-RU" w:eastAsia="ru-RU" w:bidi="ar-SA"/>
    </w:rPr>
  </w:style>
  <w:style w:type="paragraph" w:styleId="Xl102">
    <w:name w:val="xl102"/>
    <w:basedOn w:val="Normal"/>
    <w:qFormat/>
    <w:pPr>
      <w:pBdr>
        <w:top w:val="single" w:sz="4" w:space="0" w:color="000000"/>
        <w:left w:val="single" w:sz="4" w:space="0" w:color="000000"/>
        <w:bottom w:val="single" w:sz="4" w:space="0" w:color="000000"/>
        <w:right w:val="single" w:sz="4" w:space="0" w:color="000000"/>
      </w:pBdr>
      <w:shd w:val="clear" w:fill="FFFFFF"/>
      <w:spacing w:before="280" w:after="280"/>
      <w:ind w:left="0" w:right="0" w:hanging="0"/>
      <w:jc w:val="left"/>
      <w:textAlignment w:val="center"/>
    </w:pPr>
    <w:rPr>
      <w:szCs w:val="24"/>
      <w:lang w:val="ru-RU" w:eastAsia="ru-RU" w:bidi="ar-SA"/>
    </w:rPr>
  </w:style>
  <w:style w:type="paragraph" w:styleId="Xl103">
    <w:name w:val="xl103"/>
    <w:basedOn w:val="Normal"/>
    <w:qFormat/>
    <w:pPr>
      <w:pBdr>
        <w:top w:val="single" w:sz="4" w:space="0" w:color="000000"/>
        <w:left w:val="single" w:sz="4" w:space="0" w:color="000000"/>
        <w:bottom w:val="single" w:sz="4" w:space="0" w:color="000000"/>
        <w:right w:val="single" w:sz="4" w:space="0" w:color="000000"/>
      </w:pBdr>
      <w:shd w:val="clear" w:fill="FFFFFF"/>
      <w:spacing w:before="280" w:after="280"/>
      <w:ind w:left="0" w:right="0" w:hanging="0"/>
      <w:jc w:val="center"/>
      <w:textAlignment w:val="center"/>
    </w:pPr>
    <w:rPr>
      <w:szCs w:val="24"/>
      <w:lang w:val="ru-RU" w:eastAsia="ru-RU" w:bidi="ar-SA"/>
    </w:rPr>
  </w:style>
  <w:style w:type="paragraph" w:styleId="Xl104">
    <w:name w:val="xl104"/>
    <w:basedOn w:val="Normal"/>
    <w:qFormat/>
    <w:pPr>
      <w:pBdr>
        <w:top w:val="single" w:sz="4" w:space="0" w:color="000000"/>
        <w:left w:val="single" w:sz="4" w:space="0" w:color="000000"/>
        <w:bottom w:val="single" w:sz="4" w:space="0" w:color="000000"/>
        <w:right w:val="single" w:sz="4" w:space="0" w:color="000000"/>
      </w:pBdr>
      <w:shd w:val="clear" w:fill="FFFFFF"/>
      <w:spacing w:before="280" w:after="280"/>
      <w:ind w:left="0" w:right="0" w:hanging="0"/>
      <w:jc w:val="center"/>
      <w:textAlignment w:val="center"/>
    </w:pPr>
    <w:rPr>
      <w:szCs w:val="24"/>
      <w:lang w:val="ru-RU" w:eastAsia="ru-RU" w:bidi="ar-SA"/>
    </w:rPr>
  </w:style>
  <w:style w:type="paragraph" w:styleId="Xl105">
    <w:name w:val="xl105"/>
    <w:basedOn w:val="Normal"/>
    <w:qFormat/>
    <w:pPr>
      <w:pBdr>
        <w:top w:val="single" w:sz="4" w:space="0" w:color="000000"/>
        <w:bottom w:val="single" w:sz="4" w:space="0" w:color="000000"/>
      </w:pBdr>
      <w:spacing w:before="280" w:after="280"/>
      <w:ind w:left="0" w:right="0" w:hanging="0"/>
      <w:jc w:val="center"/>
      <w:textAlignment w:val="center"/>
    </w:pPr>
    <w:rPr>
      <w:b/>
      <w:bCs/>
      <w:szCs w:val="24"/>
      <w:lang w:val="ru-RU" w:eastAsia="ru-RU" w:bidi="ar-SA"/>
    </w:rPr>
  </w:style>
  <w:style w:type="paragraph" w:styleId="Xl106">
    <w:name w:val="xl106"/>
    <w:basedOn w:val="Normal"/>
    <w:qFormat/>
    <w:pPr>
      <w:pBdr>
        <w:top w:val="single" w:sz="4" w:space="0" w:color="000000"/>
        <w:bottom w:val="single" w:sz="4" w:space="0" w:color="000000"/>
        <w:right w:val="single" w:sz="4" w:space="0" w:color="000000"/>
      </w:pBdr>
      <w:spacing w:before="280" w:after="280"/>
      <w:ind w:left="0" w:right="0" w:hanging="0"/>
      <w:jc w:val="center"/>
      <w:textAlignment w:val="center"/>
    </w:pPr>
    <w:rPr>
      <w:b/>
      <w:bCs/>
      <w:szCs w:val="24"/>
      <w:lang w:val="ru-RU" w:eastAsia="ru-RU" w:bidi="ar-SA"/>
    </w:rPr>
  </w:style>
  <w:style w:type="paragraph" w:styleId="Xl107">
    <w:name w:val="xl107"/>
    <w:basedOn w:val="Normal"/>
    <w:qFormat/>
    <w:pPr>
      <w:pBdr>
        <w:top w:val="single" w:sz="4" w:space="0" w:color="000000"/>
        <w:left w:val="single" w:sz="4" w:space="0" w:color="000000"/>
        <w:bottom w:val="single" w:sz="4" w:space="0" w:color="000000"/>
        <w:right w:val="single" w:sz="4" w:space="0" w:color="000000"/>
      </w:pBdr>
      <w:spacing w:before="280" w:after="280"/>
      <w:ind w:left="0" w:right="0" w:hanging="0"/>
      <w:jc w:val="center"/>
      <w:textAlignment w:val="center"/>
    </w:pPr>
    <w:rPr>
      <w:b/>
      <w:bCs/>
      <w:szCs w:val="24"/>
      <w:lang w:val="ru-RU" w:eastAsia="ru-RU" w:bidi="ar-SA"/>
    </w:rPr>
  </w:style>
  <w:style w:type="paragraph" w:styleId="Xl108">
    <w:name w:val="xl108"/>
    <w:basedOn w:val="Normal"/>
    <w:qFormat/>
    <w:pPr>
      <w:pBdr>
        <w:top w:val="single" w:sz="4" w:space="0" w:color="000000"/>
        <w:left w:val="single" w:sz="4" w:space="0" w:color="000000"/>
        <w:bottom w:val="single" w:sz="4" w:space="0" w:color="000000"/>
        <w:right w:val="single" w:sz="4" w:space="0" w:color="000000"/>
      </w:pBdr>
      <w:spacing w:before="280" w:after="280"/>
      <w:ind w:left="0" w:right="0" w:hanging="0"/>
      <w:jc w:val="center"/>
      <w:textAlignment w:val="center"/>
    </w:pPr>
    <w:rPr>
      <w:b/>
      <w:bCs/>
      <w:szCs w:val="24"/>
      <w:lang w:val="ru-RU" w:eastAsia="ru-RU" w:bidi="ar-SA"/>
    </w:rPr>
  </w:style>
  <w:style w:type="paragraph" w:styleId="Xl109">
    <w:name w:val="xl109"/>
    <w:basedOn w:val="Normal"/>
    <w:qFormat/>
    <w:pPr>
      <w:pBdr>
        <w:top w:val="single" w:sz="4" w:space="0" w:color="000000"/>
        <w:left w:val="single" w:sz="4" w:space="0" w:color="000000"/>
        <w:bottom w:val="single" w:sz="4" w:space="0" w:color="000000"/>
        <w:right w:val="single" w:sz="4" w:space="0" w:color="000000"/>
      </w:pBdr>
      <w:spacing w:before="280" w:after="280"/>
      <w:ind w:left="0" w:right="0" w:hanging="0"/>
      <w:jc w:val="center"/>
      <w:textAlignment w:val="center"/>
    </w:pPr>
    <w:rPr>
      <w:b/>
      <w:bCs/>
      <w:szCs w:val="24"/>
      <w:lang w:val="ru-RU" w:eastAsia="ru-RU" w:bidi="ar-SA"/>
    </w:rPr>
  </w:style>
  <w:style w:type="paragraph" w:styleId="Xl110">
    <w:name w:val="xl110"/>
    <w:basedOn w:val="Normal"/>
    <w:qFormat/>
    <w:pPr>
      <w:pBdr>
        <w:top w:val="single" w:sz="4" w:space="0" w:color="000000"/>
        <w:left w:val="single" w:sz="4" w:space="0" w:color="000000"/>
        <w:bottom w:val="single" w:sz="4" w:space="0" w:color="000000"/>
      </w:pBdr>
      <w:spacing w:before="280" w:after="280"/>
      <w:ind w:left="0" w:right="0" w:hanging="0"/>
      <w:jc w:val="center"/>
      <w:textAlignment w:val="center"/>
    </w:pPr>
    <w:rPr>
      <w:b/>
      <w:bCs/>
      <w:szCs w:val="24"/>
      <w:lang w:val="ru-RU" w:eastAsia="ru-RU" w:bidi="ar-SA"/>
    </w:rPr>
  </w:style>
  <w:style w:type="paragraph" w:styleId="Headertext">
    <w:name w:val="headertext"/>
    <w:qFormat/>
    <w:pPr>
      <w:widowControl w:val="false"/>
      <w:suppressAutoHyphens w:val="true"/>
      <w:overflowPunct w:val="true"/>
      <w:bidi w:val="0"/>
      <w:spacing w:before="0" w:after="0"/>
      <w:jc w:val="left"/>
    </w:pPr>
    <w:rPr>
      <w:rFonts w:ascii="Arial" w:hAnsi="Arial" w:eastAsia="Times New Roman" w:cs="Arial"/>
      <w:b/>
      <w:bCs/>
      <w:color w:val="auto"/>
      <w:kern w:val="0"/>
      <w:sz w:val="22"/>
      <w:szCs w:val="22"/>
      <w:lang w:val="ru-RU" w:eastAsia="ru-RU" w:bidi="ar-SA"/>
    </w:rPr>
  </w:style>
  <w:style w:type="paragraph" w:styleId="161">
    <w:name w:val="Стиль Оглавление 1 + Перед:  6 пт"/>
    <w:basedOn w:val="113"/>
    <w:qFormat/>
    <w:pPr>
      <w:spacing w:before="120" w:after="0"/>
    </w:pPr>
    <w:rPr>
      <w:szCs w:val="20"/>
    </w:rPr>
  </w:style>
  <w:style w:type="paragraph" w:styleId="2131">
    <w:name w:val="Основной текст с отступом 213"/>
    <w:basedOn w:val="Normal"/>
    <w:qFormat/>
    <w:pPr>
      <w:spacing w:lineRule="atLeast" w:line="360" w:before="0" w:after="120"/>
      <w:ind w:left="0" w:right="0" w:firstLine="720"/>
    </w:pPr>
    <w:rPr>
      <w:szCs w:val="20"/>
      <w:lang w:val="ru-RU" w:eastAsia="ar-SA" w:bidi="ar-SA"/>
    </w:rPr>
  </w:style>
  <w:style w:type="paragraph" w:styleId="Style71">
    <w:name w:val="Style7"/>
    <w:basedOn w:val="Normal"/>
    <w:qFormat/>
    <w:pPr>
      <w:widowControl w:val="false"/>
      <w:spacing w:lineRule="exact" w:line="271"/>
      <w:ind w:left="0" w:right="0" w:firstLine="509"/>
    </w:pPr>
    <w:rPr>
      <w:szCs w:val="24"/>
      <w:lang w:val="ru-RU" w:eastAsia="ru-RU" w:bidi="ar-SA"/>
    </w:rPr>
  </w:style>
  <w:style w:type="paragraph" w:styleId="Style410">
    <w:name w:val="Style4"/>
    <w:basedOn w:val="Normal"/>
    <w:qFormat/>
    <w:pPr>
      <w:widowControl w:val="false"/>
      <w:spacing w:lineRule="exact" w:line="269"/>
      <w:ind w:left="0" w:right="0" w:hanging="0"/>
    </w:pPr>
    <w:rPr>
      <w:szCs w:val="24"/>
      <w:lang w:val="ru-RU" w:eastAsia="ru-RU" w:bidi="ar-SA"/>
    </w:rPr>
  </w:style>
  <w:style w:type="paragraph" w:styleId="Default">
    <w:name w:val="Default"/>
    <w:qFormat/>
    <w:pPr>
      <w:widowControl/>
      <w:suppressAutoHyphens w:val="true"/>
      <w:overflowPunct w:val="true"/>
      <w:bidi w:val="0"/>
      <w:spacing w:before="0" w:after="0"/>
      <w:jc w:val="left"/>
    </w:pPr>
    <w:rPr>
      <w:rFonts w:ascii="Times New Roman" w:hAnsi="Times New Roman" w:eastAsia="Calibri" w:cs="Times New Roman"/>
      <w:color w:val="000000"/>
      <w:kern w:val="0"/>
      <w:sz w:val="24"/>
      <w:szCs w:val="24"/>
      <w:lang w:val="ru-RU" w:eastAsia="en-US" w:bidi="ar-SA"/>
    </w:rPr>
  </w:style>
  <w:style w:type="paragraph" w:styleId="Style65">
    <w:name w:val="Endnote Text"/>
    <w:basedOn w:val="Normal"/>
    <w:pPr>
      <w:ind w:left="0" w:right="0" w:hanging="0"/>
      <w:jc w:val="left"/>
    </w:pPr>
    <w:rPr>
      <w:rFonts w:eastAsia="Times New Roman"/>
      <w:sz w:val="20"/>
      <w:szCs w:val="20"/>
      <w:lang w:val="ru-RU" w:eastAsia="ru-RU" w:bidi="ar-SA"/>
    </w:rPr>
  </w:style>
  <w:style w:type="paragraph" w:styleId="Toaheading">
    <w:name w:val="toa heading"/>
    <w:basedOn w:val="Indexheading"/>
    <w:qFormat/>
    <w:pPr/>
    <w:rPr/>
  </w:style>
  <w:style w:type="paragraph" w:styleId="Style66">
    <w:name w:val="Текст в заданном формате"/>
    <w:basedOn w:val="Normal"/>
    <w:qFormat/>
    <w:pPr>
      <w:ind w:left="0" w:right="0" w:hanging="0"/>
      <w:jc w:val="left"/>
    </w:pPr>
    <w:rPr>
      <w:rFonts w:ascii="Liberation Mono" w:hAnsi="Liberation Mono" w:eastAsia="Courier New" w:cs="Liberation Mono"/>
      <w:sz w:val="20"/>
      <w:szCs w:val="20"/>
      <w:lang w:val="ru-RU" w:eastAsia="zh-CN" w:bidi="ar-SA"/>
    </w:rPr>
  </w:style>
  <w:style w:type="paragraph" w:styleId="Tableheader">
    <w:name w:val="Table_header"/>
    <w:basedOn w:val="Normal"/>
    <w:qFormat/>
    <w:pPr/>
    <w:rPr>
      <w:b/>
      <w:sz w:val="20"/>
      <w:szCs w:val="24"/>
    </w:rPr>
  </w:style>
  <w:style w:type="paragraph" w:styleId="BodyText3">
    <w:name w:val="Body Text 3"/>
    <w:basedOn w:val="Normal"/>
    <w:qFormat/>
    <w:pPr>
      <w:widowControl w:val="false"/>
      <w:spacing w:lineRule="atLeast" w:line="360" w:before="120" w:after="120"/>
      <w:ind w:left="0" w:right="0" w:firstLine="720"/>
      <w:textAlignment w:val="baseline"/>
    </w:pPr>
    <w:rPr>
      <w:sz w:val="16"/>
      <w:szCs w:val="16"/>
    </w:rPr>
  </w:style>
  <w:style w:type="paragraph" w:styleId="PlainText">
    <w:name w:val="Plain Text"/>
    <w:basedOn w:val="Normal"/>
    <w:qFormat/>
    <w:pPr>
      <w:suppressAutoHyphens w:val="false"/>
      <w:spacing w:before="0" w:after="240"/>
    </w:pPr>
    <w:rPr/>
  </w:style>
  <w:style w:type="paragraph" w:styleId="FORMATTEXT1">
    <w:name w:val=".FORMATTEXT"/>
    <w:qFormat/>
    <w:pPr>
      <w:widowControl w:val="false"/>
      <w:suppressAutoHyphens w:val="true"/>
      <w:overflowPunct w:val="true"/>
      <w:bidi w:val="0"/>
      <w:spacing w:before="0" w:after="0"/>
      <w:jc w:val="left"/>
    </w:pPr>
    <w:rPr>
      <w:rFonts w:ascii="Times New Roman" w:hAnsi="Times New Roman" w:eastAsia="Times New Roman" w:cs="Times New Roman"/>
      <w:color w:val="auto"/>
      <w:kern w:val="0"/>
      <w:sz w:val="24"/>
      <w:szCs w:val="24"/>
      <w:lang w:val="ru-RU" w:eastAsia="ar-SA" w:bidi="ar-SA"/>
    </w:rPr>
  </w:style>
  <w:style w:type="paragraph" w:styleId="NoSpacing">
    <w:name w:val="No Spacing"/>
    <w:basedOn w:val="Normal"/>
    <w:qFormat/>
    <w:pPr>
      <w:jc w:val="center"/>
    </w:pPr>
    <w:rPr>
      <w:b/>
      <w:sz w:val="28"/>
      <w:szCs w:val="28"/>
    </w:rPr>
  </w:style>
  <w:style w:type="paragraph" w:styleId="Style67">
    <w:name w:val="Стиль"/>
    <w:qFormat/>
    <w:pPr>
      <w:widowControl w:val="false"/>
      <w:suppressAutoHyphens w:val="true"/>
      <w:overflowPunct w:val="true"/>
      <w:bidi w:val="0"/>
      <w:spacing w:before="0" w:after="0"/>
      <w:jc w:val="left"/>
    </w:pPr>
    <w:rPr>
      <w:rFonts w:ascii="Times New Roman" w:hAnsi="Times New Roman" w:eastAsia="Times New Roman" w:cs="Times New Roman"/>
      <w:color w:val="auto"/>
      <w:spacing w:val="-1"/>
      <w:kern w:val="2"/>
      <w:sz w:val="24"/>
      <w:szCs w:val="24"/>
      <w:vertAlign w:val="superscript"/>
      <w:lang w:val="en-US" w:eastAsia="ru-RU" w:bidi="ar-SA"/>
    </w:rPr>
  </w:style>
  <w:style w:type="paragraph" w:styleId="Caaieiaie2">
    <w:name w:val="caaieiaie 2"/>
    <w:basedOn w:val="Style67"/>
    <w:next w:val="Style67"/>
    <w:qFormat/>
    <w:pPr>
      <w:keepNext w:val="true"/>
      <w:jc w:val="center"/>
    </w:pPr>
    <w:rPr>
      <w:b/>
      <w:bCs/>
      <w:spacing w:val="0"/>
      <w:kern w:val="0"/>
      <w:position w:val="0"/>
      <w:sz w:val="32"/>
      <w:sz w:val="32"/>
      <w:szCs w:val="32"/>
      <w:vertAlign w:val="baseline"/>
      <w:lang w:val="ru-RU"/>
    </w:rPr>
  </w:style>
  <w:style w:type="paragraph" w:styleId="Xl48">
    <w:name w:val="xl48"/>
    <w:basedOn w:val="Normal"/>
    <w:qFormat/>
    <w:pPr>
      <w:pBdr>
        <w:bottom w:val="single" w:sz="4" w:space="0" w:color="000000"/>
      </w:pBdr>
      <w:spacing w:before="280" w:after="280"/>
      <w:jc w:val="center"/>
      <w:textAlignment w:val="center"/>
    </w:pPr>
    <w:rPr>
      <w:rFonts w:eastAsia="Arial Unicode MS"/>
      <w:b/>
      <w:bCs/>
      <w:sz w:val="22"/>
    </w:rPr>
  </w:style>
  <w:style w:type="paragraph" w:styleId="ConsNonformat">
    <w:name w:val="ConsNonformat"/>
    <w:qFormat/>
    <w:pPr>
      <w:widowControl w:val="false"/>
      <w:suppressAutoHyphens w:val="true"/>
      <w:overflowPunct w:val="true"/>
      <w:bidi w:val="0"/>
      <w:snapToGrid w:val="false"/>
      <w:spacing w:before="0" w:after="0"/>
      <w:jc w:val="left"/>
    </w:pPr>
    <w:rPr>
      <w:rFonts w:ascii="Courier New" w:hAnsi="Courier New" w:eastAsia="Times New Roman" w:cs="Courier New"/>
      <w:color w:val="00000A"/>
      <w:kern w:val="0"/>
      <w:sz w:val="24"/>
      <w:szCs w:val="20"/>
      <w:lang w:val="ru-RU" w:eastAsia="zh-CN" w:bidi="ar-SA"/>
    </w:rPr>
  </w:style>
  <w:style w:type="paragraph" w:styleId="217">
    <w:name w:val="Заголовок ТУ №2"/>
    <w:basedOn w:val="2"/>
    <w:qFormat/>
    <w:pPr>
      <w:tabs>
        <w:tab w:val="clear" w:pos="709"/>
        <w:tab w:val="left" w:pos="360" w:leader="none"/>
        <w:tab w:val="left" w:pos="993" w:leader="none"/>
      </w:tabs>
      <w:spacing w:before="0" w:after="0"/>
      <w:ind w:left="0" w:right="0" w:firstLine="284"/>
      <w:jc w:val="both"/>
    </w:pPr>
    <w:rPr>
      <w:rFonts w:ascii="Arial" w:hAnsi="Arial" w:cs="Arial"/>
      <w:bCs w:val="false"/>
      <w:sz w:val="20"/>
      <w:szCs w:val="20"/>
    </w:rPr>
  </w:style>
  <w:style w:type="paragraph" w:styleId="Standard">
    <w:name w:val="Standard"/>
    <w:qFormat/>
    <w:pPr>
      <w:widowControl w:val="false"/>
      <w:suppressAutoHyphens w:val="true"/>
      <w:overflowPunct w:val="true"/>
      <w:bidi w:val="0"/>
      <w:spacing w:before="0" w:after="0"/>
      <w:jc w:val="left"/>
      <w:textAlignment w:val="baseline"/>
    </w:pPr>
    <w:rPr>
      <w:rFonts w:ascii="Times New Roman" w:hAnsi="Times New Roman" w:eastAsia="Andale Sans UI;Arial Unicode MS" w:cs="Tahoma"/>
      <w:color w:val="auto"/>
      <w:kern w:val="2"/>
      <w:sz w:val="24"/>
      <w:szCs w:val="24"/>
      <w:lang w:val="de-DE" w:eastAsia="ja-JP" w:bidi="fa-IR"/>
    </w:rPr>
  </w:style>
  <w:style w:type="paragraph" w:styleId="Style68">
    <w:name w:val="Index Heading"/>
    <w:basedOn w:val="Style35"/>
    <w:pPr>
      <w:suppressLineNumbers/>
      <w:ind w:left="0" w:right="0" w:hanging="0"/>
    </w:pPr>
    <w:rPr>
      <w:b/>
      <w:bCs/>
      <w:sz w:val="32"/>
      <w:szCs w:val="32"/>
    </w:rPr>
  </w:style>
  <w:style w:type="paragraph" w:styleId="TOAHeading1">
    <w:name w:val="TOA Heading"/>
    <w:basedOn w:val="Style68"/>
    <w:qFormat/>
    <w:pPr>
      <w:suppressLineNumbers/>
      <w:ind w:left="0" w:right="0" w:hanging="0"/>
    </w:pPr>
    <w:rPr>
      <w:b/>
      <w:bCs/>
      <w:sz w:val="32"/>
      <w:szCs w:val="32"/>
    </w:rPr>
  </w:style>
  <w:style w:type="paragraph" w:styleId="Style69">
    <w:name w:val="Без интервала"/>
    <w:basedOn w:val="Normal"/>
    <w:qFormat/>
    <w:pPr/>
    <w:rPr>
      <w:szCs w:val="32"/>
    </w:rPr>
  </w:style>
  <w:style w:type="numbering" w:styleId="NoList">
    <w:name w:val="No List"/>
    <w:qFormat/>
  </w:style>
  <w:style w:type="numbering" w:styleId="WW8Num33">
    <w:name w:val="WW8Num33"/>
    <w:qFormat/>
  </w:style>
  <w:style w:type="numbering" w:styleId="WW8Num6">
    <w:name w:val="WW8Num6"/>
    <w:qFormat/>
  </w:style>
  <w:style w:type="numbering" w:styleId="WW8Num3">
    <w:name w:val="WW8Num3"/>
    <w:qFormat/>
  </w:style>
  <w:style w:type="numbering" w:styleId="WW8Num4">
    <w:name w:val="WW8Num4"/>
    <w:qFormat/>
  </w:style>
  <w:style w:type="numbering" w:styleId="WW8Num5">
    <w:name w:val="WW8Num5"/>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zakupki.gov.ru/" TargetMode="External"/><Relationship Id="rId3" Type="http://schemas.openxmlformats.org/officeDocument/2006/relationships/hyperlink" Target="consultantplus://offline/ref=BE8D3A1BDC1A56E3E2C31E9E044F36E1A88A3EF65F3624024D065D5114NEE7P" TargetMode="External"/><Relationship Id="rId4" Type="http://schemas.openxmlformats.org/officeDocument/2006/relationships/hyperlink" Target="consultantplus://offline/ref=9C25A0946178DD8EE0BD906E02FA9FA675937CB69F49F4B68BC8AE47FA994545AB1C4CCE036F150FhCqDO" TargetMode="External"/><Relationship Id="rId5" Type="http://schemas.openxmlformats.org/officeDocument/2006/relationships/hyperlink" Target="consultantplus://offline/ref=6BF2869B3A2ACFC5A515964A457B07AB40A5170D8BD0A41E34E23524FD3753C388AC3D151B96B2067FQ6L" TargetMode="External"/><Relationship Id="rId6" Type="http://schemas.openxmlformats.org/officeDocument/2006/relationships/hyperlink" Target="consultantplus://offline/ref=2FED7B48413D9443D894E7ABB68FEAA397B84A321F8B185408C208913B0FO6G" TargetMode="External"/><Relationship Id="rId7" Type="http://schemas.openxmlformats.org/officeDocument/2006/relationships/hyperlink" Target="consultantplus://offline/ref=4BE6E8D0A30C69A2B1A86EF974D36D7DD83F0CAC96A51ADC3077E3274788D0F3B0420EB7D96A20B9E6sDN" TargetMode="External"/><Relationship Id="rId8" Type="http://schemas.openxmlformats.org/officeDocument/2006/relationships/hyperlink" Target="https://etp-region.ru/" TargetMode="External"/><Relationship Id="rId9" Type="http://schemas.openxmlformats.org/officeDocument/2006/relationships/hyperlink" Target="https://etp-region.ru/" TargetMode="External"/><Relationship Id="rId10" Type="http://schemas.openxmlformats.org/officeDocument/2006/relationships/header" Target="header1.xml"/><Relationship Id="rId11" Type="http://schemas.openxmlformats.org/officeDocument/2006/relationships/footer" Target="footer1.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650</TotalTime>
  <Application>LibreOffice/6.3.4.2$Windows_x86 LibreOffice_project/60da17e045e08f1793c57c00ba83cdfce946d0aa</Application>
  <Pages>27</Pages>
  <Words>10670</Words>
  <Characters>76279</Characters>
  <CharactersWithSpaces>86589</CharactersWithSpaces>
  <Paragraphs>439</Paragraphs>
  <Company>Home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2021-09-01T13:41:00Z</dcterms:created>
  <dc:creator>Анюхина Т.С.</dc:creator>
  <dc:description/>
  <dc:language>ru-RU</dc:language>
  <cp:lastModifiedBy/>
  <cp:lastPrinted>2021-09-01T13:35:00Z</cp:lastPrinted>
  <dcterms:modified xsi:type="dcterms:W3CDTF">2023-02-14T16:46:58Z</dcterms:modified>
  <cp:revision>64</cp:revision>
  <dc:subject/>
  <dc:title>Типовое КД_СК</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Home</vt:lpwstr>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