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43" w:type="dxa"/>
          <w:left w:w="14" w:type="dxa"/>
          <w:bottom w:w="14" w:type="dxa"/>
          <w:right w:w="14" w:type="dxa"/>
        </w:tblCellMar>
        <w:tblLook w:val="0000"/>
      </w:tblPr>
      <w:tblGrid>
        <w:gridCol w:w="10282"/>
      </w:tblGrid>
      <w:tr w:rsidR="00611D3D">
        <w:trPr>
          <w:jc w:val="center"/>
        </w:trPr>
        <w:tc>
          <w:tcPr>
            <w:tcW w:w="100" w:type="dxa"/>
            <w:shd w:val="clear" w:color="auto" w:fill="FFFFFF"/>
          </w:tcPr>
          <w:p w:rsidR="00611D3D" w:rsidRDefault="00611D3D">
            <w:pPr>
              <w:ind w:firstLine="14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9.25pt;height:68.25pt;mso-position-horizontal:left;mso-position-horizontal-relative:char;mso-position-vertical:top;mso-position-vertical-relative:line">
                  <v:imagedata r:id="rId7" o:title=""/>
                </v:shape>
              </w:pict>
            </w:r>
          </w:p>
        </w:tc>
      </w:tr>
    </w:tbl>
    <w:p w:rsidR="00611D3D" w:rsidRDefault="00A206AB">
      <w:r>
        <w:t> </w:t>
      </w:r>
    </w:p>
    <w:p w:rsidR="00611D3D" w:rsidRDefault="00A206AB">
      <w:pPr>
        <w:jc w:val="center"/>
      </w:pPr>
      <w:r>
        <w:rPr>
          <w:b/>
          <w:bCs/>
        </w:rPr>
        <w:t>НЕЗАВИСИМАЯ ГАРАНТИЯ №9991-4S1/1301254</w:t>
      </w:r>
    </w:p>
    <w:p w:rsidR="00611D3D" w:rsidRDefault="00A206AB">
      <w:pPr>
        <w:jc w:val="center"/>
      </w:pPr>
      <w:r>
        <w:rPr>
          <w:b/>
          <w:bCs/>
        </w:rPr>
        <w:t>для целей обеспечения исполнения обязательств по договору</w:t>
      </w:r>
    </w:p>
    <w:p w:rsidR="00611D3D" w:rsidRDefault="00A206AB">
      <w:r>
        <w:t> </w:t>
      </w:r>
    </w:p>
    <w:tbl>
      <w:tblPr>
        <w:tblW w:w="5000" w:type="pct"/>
        <w:jc w:val="center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43" w:type="dxa"/>
          <w:left w:w="14" w:type="dxa"/>
          <w:bottom w:w="14" w:type="dxa"/>
          <w:right w:w="14" w:type="dxa"/>
        </w:tblCellMar>
        <w:tblLook w:val="0000"/>
      </w:tblPr>
      <w:tblGrid>
        <w:gridCol w:w="4309"/>
        <w:gridCol w:w="5973"/>
      </w:tblGrid>
      <w:tr w:rsidR="00611D3D">
        <w:trPr>
          <w:jc w:val="center"/>
        </w:trPr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«15» июня 2023 г.</w:t>
            </w:r>
          </w:p>
        </w:tc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  <w:jc w:val="right"/>
            </w:pPr>
            <w:r>
              <w:t>г. Москва</w:t>
            </w:r>
          </w:p>
        </w:tc>
      </w:tr>
    </w:tbl>
    <w:p w:rsidR="00611D3D" w:rsidRDefault="00A206AB">
      <w:r>
        <w:t> </w:t>
      </w:r>
    </w:p>
    <w:p w:rsidR="00611D3D" w:rsidRDefault="00A206AB">
      <w:pPr>
        <w:jc w:val="both"/>
      </w:pPr>
      <w:r>
        <w:t>Публичное акционерное общество «БАНК УРАЛСИБ» (ПАО «Банк Уралсиб») (Лицензия на осуществление банковских операций Центрального банка Российской Федерации от «10» сентября 2015г. №30, адрес места нахождения: 119048, Россия, г. Москва, Ефремова, 8, ОГРН 1020</w:t>
      </w:r>
      <w:r>
        <w:t>280000190, ИНН 0274062111, корреспондентский счет №30101810100000000787 в ГУ Банка России по Центральному федеральному округу, БИК 044525787), именуемое в дальнейшем «Гарант», в лице Клевновой Ольги Константиновны, действующего/ей на основании доверенности</w:t>
      </w:r>
      <w:r>
        <w:t xml:space="preserve"> от «27» марта 2023 г., №411, обязуется на условиях, указанных в настоящей независимой гарантии (далее – Гарантия), уплатить Бенефициару, по его требованию, денежную сумму не превышающую Сумму гарантии, в случае неисполнения или ненадлежащего исполнения Пр</w:t>
      </w:r>
      <w:r>
        <w:t>инципалом обеспеченных настоящей Гарантией обязательств Принципала, по договору, который будет заключен с Бенефициаром в результате проведения закупки в форме Аукцион в электронной форме (номер извещения об осуществлении закупки на сайте www.zakupki.gov.ru</w:t>
      </w:r>
      <w:r>
        <w:t>: 32312471057; предмет закупки: Оказание услуги по транспортировке автомобильным транспортом пациентов с хронической почечной недостаточностью для получения процедуры  гемодиализа у организаций, имеющих право на перевозку пассажиров автомобильным транспорт</w:t>
      </w:r>
      <w:r>
        <w:t>ом, от места жительства пациентов до места проведения гемодиализа  и обратно.) в соответствии с положениями Федерального закона от 18 июля 2011 года №223-ФЗ «О закупках товаров, работ, услуг отдельными видами юридических лиц» (далее – «Договор»).</w:t>
      </w:r>
    </w:p>
    <w:p w:rsidR="00611D3D" w:rsidRDefault="00A206AB">
      <w:r>
        <w:t> </w:t>
      </w:r>
    </w:p>
    <w:p w:rsidR="00611D3D" w:rsidRDefault="00A206AB">
      <w:pPr>
        <w:jc w:val="center"/>
      </w:pPr>
      <w:r>
        <w:rPr>
          <w:b/>
          <w:bCs/>
        </w:rPr>
        <w:t>СВЕДЕНИ</w:t>
      </w:r>
      <w:r>
        <w:rPr>
          <w:b/>
          <w:bCs/>
        </w:rPr>
        <w:t>Я О БЕНЕФИЦИАРЕ, ПРИНЦИПАЛЕ И СУММЕ ГАРАНТИИ</w:t>
      </w:r>
    </w:p>
    <w:tbl>
      <w:tblPr>
        <w:tblW w:w="5000" w:type="pct"/>
        <w:jc w:val="center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top w:w="43" w:type="dxa"/>
          <w:left w:w="14" w:type="dxa"/>
          <w:bottom w:w="14" w:type="dxa"/>
          <w:right w:w="14" w:type="dxa"/>
        </w:tblCellMar>
        <w:tblLook w:val="0000"/>
      </w:tblPr>
      <w:tblGrid>
        <w:gridCol w:w="5061"/>
        <w:gridCol w:w="5221"/>
      </w:tblGrid>
      <w:tr w:rsidR="00611D3D">
        <w:trPr>
          <w:jc w:val="center"/>
        </w:trPr>
        <w:tc>
          <w:tcPr>
            <w:tcW w:w="0" w:type="auto"/>
            <w:gridSpan w:val="2"/>
          </w:tcPr>
          <w:p w:rsidR="00611D3D" w:rsidRDefault="00A206AB">
            <w:pPr>
              <w:ind w:firstLine="14"/>
              <w:jc w:val="center"/>
            </w:pPr>
            <w:r>
              <w:t>БЕНЕФИЦИАР</w:t>
            </w:r>
          </w:p>
        </w:tc>
      </w:tr>
      <w:tr w:rsidR="00611D3D">
        <w:trPr>
          <w:jc w:val="center"/>
        </w:trPr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ПОЛНОЕ НАИМЕНОВАНИЕ</w:t>
            </w:r>
          </w:p>
        </w:tc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ГОСУДАРСТВЕННОЕ АВТОНОМНОЕ УЧРЕЖДЕНИЕ ЗДРАВООХРАНЕНИЯ СВЕРДЛОВСКОЙ ОБЛАСТИ "БИСЕРТСКАЯ ГОРОДСКАЯ БОЛЬНИЦА"</w:t>
            </w:r>
          </w:p>
        </w:tc>
      </w:tr>
      <w:tr w:rsidR="00611D3D">
        <w:trPr>
          <w:jc w:val="center"/>
        </w:trPr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ИНН</w:t>
            </w:r>
          </w:p>
        </w:tc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6646001426</w:t>
            </w:r>
          </w:p>
        </w:tc>
      </w:tr>
      <w:tr w:rsidR="00611D3D">
        <w:trPr>
          <w:jc w:val="center"/>
        </w:trPr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ОГРН</w:t>
            </w:r>
          </w:p>
        </w:tc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1026602055370</w:t>
            </w:r>
          </w:p>
        </w:tc>
      </w:tr>
      <w:tr w:rsidR="00611D3D">
        <w:trPr>
          <w:jc w:val="center"/>
        </w:trPr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АДРЕС МЕСТОНАХОЖДЕНИЯ</w:t>
            </w:r>
          </w:p>
        </w:tc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623050, Свердловская область, Р-Н НИЖНЕСЕРГИНСКИЙ, ПГТ БИСЕРТЬ, УЛ. РЕВОЛЮЦИИ, Д.209</w:t>
            </w:r>
          </w:p>
        </w:tc>
      </w:tr>
      <w:tr w:rsidR="00611D3D">
        <w:trPr>
          <w:jc w:val="center"/>
        </w:trPr>
        <w:tc>
          <w:tcPr>
            <w:tcW w:w="0" w:type="auto"/>
            <w:gridSpan w:val="2"/>
          </w:tcPr>
          <w:p w:rsidR="00611D3D" w:rsidRDefault="00A206AB">
            <w:pPr>
              <w:ind w:firstLine="14"/>
              <w:jc w:val="center"/>
            </w:pPr>
            <w:r>
              <w:t>ПРИНЦИПАЛ</w:t>
            </w:r>
          </w:p>
        </w:tc>
      </w:tr>
      <w:tr w:rsidR="00611D3D">
        <w:trPr>
          <w:jc w:val="center"/>
        </w:trPr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ПОЛНОЕ НАИМЕНОВАНИЕ</w:t>
            </w:r>
          </w:p>
        </w:tc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ОБЩЕСТВО С ОГРАНИЧЕННОЙ ОТВЕТСТВЕННОСТЬЮ "ТРИ-Н"</w:t>
            </w:r>
          </w:p>
        </w:tc>
      </w:tr>
      <w:tr w:rsidR="00611D3D">
        <w:trPr>
          <w:jc w:val="center"/>
        </w:trPr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ИНН</w:t>
            </w:r>
          </w:p>
        </w:tc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6619026855</w:t>
            </w:r>
          </w:p>
        </w:tc>
      </w:tr>
      <w:tr w:rsidR="00611D3D">
        <w:trPr>
          <w:jc w:val="center"/>
        </w:trPr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ОГРН/ОГРНИП (ДЛЯ ИП)</w:t>
            </w:r>
          </w:p>
        </w:tc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1216600076604</w:t>
            </w:r>
          </w:p>
        </w:tc>
      </w:tr>
      <w:tr w:rsidR="00611D3D">
        <w:trPr>
          <w:jc w:val="center"/>
        </w:trPr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АДРЕС МЕСТОНАХОЖДЕНИЯ</w:t>
            </w:r>
          </w:p>
        </w:tc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623324, Российская Федерация, область Свердловская, район Красноуфимский, деревня Озерки, улица Советская, Д. 32, КВ. 2</w:t>
            </w:r>
          </w:p>
        </w:tc>
      </w:tr>
      <w:tr w:rsidR="00611D3D">
        <w:trPr>
          <w:jc w:val="center"/>
        </w:trPr>
        <w:tc>
          <w:tcPr>
            <w:tcW w:w="0" w:type="auto"/>
            <w:gridSpan w:val="2"/>
          </w:tcPr>
          <w:p w:rsidR="00611D3D" w:rsidRDefault="00A206AB">
            <w:pPr>
              <w:ind w:firstLine="14"/>
              <w:jc w:val="center"/>
            </w:pPr>
            <w:r>
              <w:t>СУММА ГАРАНТИИ, РУБ.</w:t>
            </w:r>
          </w:p>
        </w:tc>
      </w:tr>
      <w:tr w:rsidR="00611D3D">
        <w:trPr>
          <w:jc w:val="center"/>
        </w:trPr>
        <w:tc>
          <w:tcPr>
            <w:tcW w:w="0" w:type="auto"/>
            <w:gridSpan w:val="2"/>
          </w:tcPr>
          <w:p w:rsidR="00611D3D" w:rsidRDefault="00A206AB">
            <w:pPr>
              <w:ind w:firstLine="14"/>
              <w:jc w:val="center"/>
            </w:pPr>
            <w:r>
              <w:t>412 511 (Четыреста двенадцать тысяч пятьсот одиннадцать) рублей 72 копейки</w:t>
            </w:r>
          </w:p>
        </w:tc>
      </w:tr>
    </w:tbl>
    <w:p w:rsidR="00611D3D" w:rsidRDefault="00A206AB">
      <w:r>
        <w:t> </w:t>
      </w:r>
    </w:p>
    <w:p w:rsidR="00611D3D" w:rsidRDefault="00A206AB">
      <w:pPr>
        <w:jc w:val="both"/>
      </w:pPr>
      <w:r>
        <w:t>1. Настоящая Гарантия обеспечивает надлежащее исполнение Принципалом следующих обязательств перед Бенефициаром, предусмотренных Договором и (или) вытекающих из него в силу норм действующего законодательства Российской Федерации:</w:t>
      </w:r>
    </w:p>
    <w:p w:rsidR="00611D3D" w:rsidRDefault="00A206AB">
      <w:r>
        <w:t> - обязательства уплатить д</w:t>
      </w:r>
      <w:r>
        <w:t>енежные средства (в том числе возместить убытки, уплатить неустойку (пени, штраф), начисленную с момента возникновения у Бенефициара права на ее начисление).</w:t>
      </w:r>
    </w:p>
    <w:p w:rsidR="00611D3D" w:rsidRDefault="00A206AB">
      <w:r>
        <w:t> Сумма Гарантии (её часть) подлежит выплате Бенефициару в случае неисполнения/ненадлежащего исполн</w:t>
      </w:r>
      <w:r>
        <w:t xml:space="preserve">ения обязательств: Оказание услуги по транспортировке автомобильным транспортом пациентов с хронической почечной недостаточностью для получения процедуры  гемодиализа у организаций, имеющих право на перевозку пассажиров автомобильным транспортом, от места </w:t>
      </w:r>
      <w:r>
        <w:t>жительства пациентов до места проведения гемодиализа  и обратно. (основания для представления Бенефициаром требования Гаранту).</w:t>
      </w:r>
    </w:p>
    <w:p w:rsidR="00611D3D" w:rsidRDefault="00A206AB">
      <w:r>
        <w:t>2. Настоящая Гарантия является безотзывной.</w:t>
      </w:r>
    </w:p>
    <w:p w:rsidR="00611D3D" w:rsidRDefault="00A206AB">
      <w:r>
        <w:t xml:space="preserve">3. Бенефициар предоставляет Гаранту на бумажном носителе (почтой – заказным письмом </w:t>
      </w:r>
      <w:r>
        <w:t>либо курьером - нарочно) требование об уплате денежной суммы по Гарантии и приложенные к нему документы единым комплектом.</w:t>
      </w:r>
    </w:p>
    <w:p w:rsidR="00611D3D" w:rsidRDefault="00A206AB">
      <w:r>
        <w:t>4. Требование Бенефициара к Гаранту об уплате денежной суммы и (или) ее части по настоящей Гарантии должно быть подписано лицом, указ</w:t>
      </w:r>
      <w:r>
        <w:t>анным в Едином государственном реестре юридических лиц в качестве лица, имеющего право без доверенности действовать от имени Бенефициара либо иным уполномоченным им лицом с предоставлением соответствующей доверенности и заверено печатью Бенефициара (при ее</w:t>
      </w:r>
      <w:r>
        <w:t xml:space="preserve"> наличии согласно учредительным документам Бенефициара). В Требовании Бенефициар должен указать обстоятельства, наступление которых влечет выплату по настоящей Гарантии, а также реквизиты банковского счета, на который Гарант должен перечислить истребованну</w:t>
      </w:r>
      <w:r>
        <w:t>ю Бенефициаром сумму.</w:t>
      </w:r>
    </w:p>
    <w:p w:rsidR="00611D3D" w:rsidRDefault="00A206AB">
      <w:r>
        <w:t>5. К Требованию должны быть приложены следующие документы:</w:t>
      </w:r>
    </w:p>
    <w:p w:rsidR="00611D3D" w:rsidRDefault="00A206AB">
      <w:r>
        <w:t> 5.1. Документ, подтверждающий полномочия лица, подписавшего Требование по Гарантии (доверенность) (в случае, если Требование по гарантии подписано лицом, не указанным в Едино</w:t>
      </w:r>
      <w:r>
        <w:t>м государственном реестре юридических лиц в качестве лица, имеющего право без доверенности действовать от имени Бенефициара). Указанный документ должен быть предоставлен в форме оригинала либо копии, заверенной лицом, указанным в Едином государственном рее</w:t>
      </w:r>
      <w:r>
        <w:t>стре юридических лиц в качестве лица, имеющего право без доверенности действовать от имени Бенефициара.</w:t>
      </w:r>
    </w:p>
    <w:p w:rsidR="00611D3D" w:rsidRDefault="00A206AB">
      <w:r>
        <w:t xml:space="preserve"> 5.2. Расчет суммы, включаемой в Требование по Гарантии, подписанный уполномоченным на представление Требования по Гарантии лицом от имени Бенефициара. </w:t>
      </w:r>
      <w:r>
        <w:t>Указанный документ должен быть предоставлен в оригинале;</w:t>
      </w:r>
    </w:p>
    <w:p w:rsidR="00611D3D" w:rsidRDefault="00A206AB">
      <w:r>
        <w:t> 5.3. Платежное поручение на перечисление Бенефициаром авансового платежа по Договору Принципалу, с отметкой банка Бенефициара об исполнении. Указанный документ должен быть предоставлен в форме копии</w:t>
      </w:r>
      <w:r>
        <w:t>, заверенной банком Бенефициара (только в случае, если Гарантия обеспечивает возврат авансовых платежей по Договору);</w:t>
      </w:r>
    </w:p>
    <w:p w:rsidR="00611D3D" w:rsidRDefault="00A206AB">
      <w:r>
        <w:lastRenderedPageBreak/>
        <w:t> 5.4. Документ, подтверждающий факт наступления гарантийного случая в соответствии с условиями Договора. Указанный документ должен быть пр</w:t>
      </w:r>
      <w:r>
        <w:t>едоставлен в форме заверенной уполномоченным лицом Бенефициара копии либо в оригинале (только в случае, если Гарантия обеспечивает исполнение гарантийных обязательств по Договору);</w:t>
      </w:r>
    </w:p>
    <w:p w:rsidR="00611D3D" w:rsidRDefault="00A206AB">
      <w:r>
        <w:t>6. Требование должно быть получено Гарантом в письменной форме (почтой - за</w:t>
      </w:r>
      <w:r>
        <w:t>казным письмом с описью вложения и уведомлением о вручении, либо курьером нарочно) по адресу: 119048, Россия, г. Москва, ул. Ефремова, 8 до истечения срока действия настоящей Гарантии.</w:t>
      </w:r>
    </w:p>
    <w:p w:rsidR="00611D3D" w:rsidRDefault="00A206AB">
      <w:r>
        <w:t>7. Гарант отказывает в удовлетворении Требования Бенефициара, если Треб</w:t>
      </w:r>
      <w:r>
        <w:t>ование будет получено Гарантом по окончании срока действия настоящей Гарантии либо если Требование, и/или приложенные к нему документы не соответствуют условиям настоящей Гарантии.</w:t>
      </w:r>
    </w:p>
    <w:p w:rsidR="00611D3D" w:rsidRDefault="00A206AB">
      <w:r>
        <w:t>8. Платеж по настоящей Гарантии будет осуществлен в течение 5 (Пяти) рабочи</w:t>
      </w:r>
      <w:r>
        <w:t>х дней со дня, следующего за днем получения Гарантом Требования при соблюдении указанных в настоящей Гарантии условий.</w:t>
      </w:r>
    </w:p>
    <w:p w:rsidR="00611D3D" w:rsidRDefault="00A206AB">
      <w:r>
        <w:t>9. Обязательство Гаранта перед Бенефициаром считается надлежаще исполненным с даты списания соответствующей денежной суммы с корреспондентского счета Гаранта для зачисления на счет Бенефициара, указанный в Требовании.</w:t>
      </w:r>
    </w:p>
    <w:p w:rsidR="00611D3D" w:rsidRDefault="00A206AB">
      <w:r>
        <w:t>10. Ответственность Гаранта перед Бене</w:t>
      </w:r>
      <w:r>
        <w:t>фициаром по настоящей Гарантии ограничивается суммой, на которую выдана настоящая Гарантия.</w:t>
      </w:r>
    </w:p>
    <w:p w:rsidR="00611D3D" w:rsidRDefault="00A206AB">
      <w:r>
        <w:t>11. Обязательства Гаранта перед Бенефициаром уменьшаются на сумму исполненных Гарантом обязательств по настоящей Гарантии.</w:t>
      </w:r>
    </w:p>
    <w:p w:rsidR="00611D3D" w:rsidRDefault="00A206AB">
      <w:r>
        <w:t>12. Принадлежащее Бенефициару по настояще</w:t>
      </w:r>
      <w:r>
        <w:t>й Гарантии право требования к Гаранту может быть передано другому лицу в т.ч. при перемене заказчика, в случаях, предусмотренных действующим законодательством Российской Федерации, с предварительным извещением об этом Гаранта.</w:t>
      </w:r>
    </w:p>
    <w:p w:rsidR="00611D3D" w:rsidRDefault="00A206AB">
      <w:r>
        <w:t>13. Гарантия может быть измен</w:t>
      </w:r>
      <w:r>
        <w:t>ена Гарантом в следующем порядке:</w:t>
      </w:r>
    </w:p>
    <w:p w:rsidR="00611D3D" w:rsidRDefault="00A206AB">
      <w:r>
        <w:t>- изменения, связанные с увеличением суммы и (или) срока действия Гарантии, вступают в силу в дату выпуска Гарантом изменений в Гарантию без согласия Бенефициара;</w:t>
      </w:r>
    </w:p>
    <w:p w:rsidR="00611D3D" w:rsidRDefault="00A206AB">
      <w:r>
        <w:t>- иные изменения в Гарантию вступают в силу в дату получени</w:t>
      </w:r>
      <w:r>
        <w:t>я Гарантом согласия Бенефициара на соответствующее изменение Гарантии.</w:t>
      </w:r>
    </w:p>
    <w:p w:rsidR="00611D3D" w:rsidRDefault="00A206AB">
      <w:r>
        <w:t>14. Настоящая Гарантия вступает в силу с даты ее выдачи и действует по «31» января 2024 г. включительно.</w:t>
      </w:r>
    </w:p>
    <w:p w:rsidR="00611D3D" w:rsidRDefault="00A206AB">
      <w:r>
        <w:t xml:space="preserve">15. Гарантия прекращается, а Гарант освобождается от всех своих обязательств по </w:t>
      </w:r>
      <w:r>
        <w:t>Гарантии в случаях:</w:t>
      </w:r>
    </w:p>
    <w:p w:rsidR="00611D3D" w:rsidRDefault="00A206AB">
      <w:r>
        <w:t> - уплаты Бенефициару суммы, на которую выдана Гарантия;</w:t>
      </w:r>
    </w:p>
    <w:p w:rsidR="00611D3D" w:rsidRDefault="00A206AB">
      <w:r>
        <w:t> - не предъявления Требования Бенефициара в течение срока действия Гарантии;</w:t>
      </w:r>
    </w:p>
    <w:p w:rsidR="00611D3D" w:rsidRDefault="00A206AB">
      <w:r>
        <w:t>- заключения соглашения между Гарантом и Бенефициаром о прекращении обязательств по Гарантии;</w:t>
      </w:r>
    </w:p>
    <w:p w:rsidR="00611D3D" w:rsidRDefault="00A206AB">
      <w:r>
        <w:t> - отказ</w:t>
      </w:r>
      <w:r>
        <w:t>а Бенефициара от своих прав по Гарантии путем письменного заявления об освобождении Гаранта от его обязательств;</w:t>
      </w:r>
    </w:p>
    <w:p w:rsidR="00611D3D" w:rsidRDefault="00A206AB">
      <w:r>
        <w:t> К письменному отказу должен быть приложен документ, подтверждающий полномочия лица, подписавшего его (доверенность) (в случае если отказ Бенеф</w:t>
      </w:r>
      <w:r>
        <w:t>ициара от своих прав по Гарантии подписан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Бенефициара.</w:t>
      </w:r>
      <w:r>
        <w:br/>
      </w:r>
      <w:r>
        <w:br/>
        <w:t> Бенефициар также может отказаться от прав по Гарантии конклю</w:t>
      </w:r>
      <w:r>
        <w:t>дентными действиями, а именно: предоставление Гаранту оригинала Гарантии означает отказ Бенефициара от предоставленных ему прав по Гарантии, в том числе, при возврате Гаранту оригинала Гарантии Принципалом (при передаче оригинала Гарантии Бенефициаром Прин</w:t>
      </w:r>
      <w:r>
        <w:t>ципалу для последующей его передачи Гаранту). В указанном случае на период действия Гарантии Гарант наделяет Принципала полномочиями получать от Бенефициара оригинал Гарантии для последующей ее передачи Гаранту.</w:t>
      </w:r>
    </w:p>
    <w:p w:rsidR="00611D3D" w:rsidRDefault="00A206AB">
      <w:r>
        <w:t>16. Настоящая Гарантия подчиняется действующ</w:t>
      </w:r>
      <w:r>
        <w:t>ему законодательству Российской Федерации.</w:t>
      </w:r>
    </w:p>
    <w:p w:rsidR="00611D3D" w:rsidRDefault="00A206AB">
      <w:r>
        <w:t>17. Сведения, определенные статьей 4 Федерального закона от 30.12.2004 №218-ФЗ «О кредитных историях», в отношении Принципала подлежат предоставлению Гарантом в бюро кредитных историй на основании соответствующего</w:t>
      </w:r>
      <w:r>
        <w:t xml:space="preserve"> договора об оказании информационных услуг.</w:t>
      </w:r>
    </w:p>
    <w:p w:rsidR="00611D3D" w:rsidRDefault="00A206AB">
      <w:r>
        <w:t>18. Споры и разногласия, возникающие при исполнении настоящей Гарантии, разрешаются в Арбитражном суде города Москвы.</w:t>
      </w:r>
    </w:p>
    <w:p w:rsidR="00611D3D" w:rsidRDefault="00A206AB">
      <w:r>
        <w:t> </w:t>
      </w:r>
    </w:p>
    <w:tbl>
      <w:tblPr>
        <w:tblW w:w="5000" w:type="pct"/>
        <w:jc w:val="center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43" w:type="dxa"/>
          <w:left w:w="14" w:type="dxa"/>
          <w:bottom w:w="14" w:type="dxa"/>
          <w:right w:w="14" w:type="dxa"/>
        </w:tblCellMar>
        <w:tblLook w:val="0000"/>
      </w:tblPr>
      <w:tblGrid>
        <w:gridCol w:w="3475"/>
        <w:gridCol w:w="370"/>
        <w:gridCol w:w="2067"/>
        <w:gridCol w:w="370"/>
        <w:gridCol w:w="4000"/>
      </w:tblGrid>
      <w:tr w:rsidR="00611D3D">
        <w:trPr>
          <w:jc w:val="center"/>
        </w:trPr>
        <w:tc>
          <w:tcPr>
            <w:tcW w:w="30" w:type="dxa"/>
            <w:shd w:val="clear" w:color="auto" w:fill="FFFFFF"/>
          </w:tcPr>
          <w:p w:rsidR="00611D3D" w:rsidRDefault="00A206AB">
            <w:pPr>
              <w:ind w:firstLine="14"/>
              <w:jc w:val="center"/>
            </w:pPr>
            <w:r>
              <w:t>Руководитель группы</w:t>
            </w:r>
          </w:p>
        </w:tc>
        <w:tc>
          <w:tcPr>
            <w:tcW w:w="5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 </w:t>
            </w:r>
          </w:p>
        </w:tc>
        <w:tc>
          <w:tcPr>
            <w:tcW w:w="3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 </w:t>
            </w:r>
          </w:p>
        </w:tc>
        <w:tc>
          <w:tcPr>
            <w:tcW w:w="5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 </w:t>
            </w:r>
          </w:p>
        </w:tc>
        <w:tc>
          <w:tcPr>
            <w:tcW w:w="30" w:type="dxa"/>
            <w:shd w:val="clear" w:color="auto" w:fill="FFFFFF"/>
          </w:tcPr>
          <w:p w:rsidR="00611D3D" w:rsidRDefault="00A206AB">
            <w:pPr>
              <w:ind w:firstLine="14"/>
              <w:jc w:val="center"/>
            </w:pPr>
            <w:r>
              <w:t>Клевнова Ольга Константиновна</w:t>
            </w:r>
          </w:p>
        </w:tc>
      </w:tr>
      <w:tr w:rsidR="00611D3D">
        <w:trPr>
          <w:jc w:val="center"/>
        </w:trPr>
        <w:tc>
          <w:tcPr>
            <w:tcW w:w="100" w:type="dxa"/>
            <w:tcBorders>
              <w:top w:val="single" w:sz="1" w:space="0" w:color="000000"/>
            </w:tcBorders>
            <w:shd w:val="clear" w:color="auto" w:fill="FFFFFF"/>
          </w:tcPr>
          <w:p w:rsidR="00611D3D" w:rsidRDefault="00A206AB">
            <w:pPr>
              <w:ind w:firstLine="14"/>
              <w:jc w:val="center"/>
            </w:pPr>
            <w:r>
              <w:rPr>
                <w:i/>
                <w:iCs/>
              </w:rPr>
              <w:t>должность</w:t>
            </w:r>
          </w:p>
        </w:tc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 </w:t>
            </w:r>
          </w:p>
        </w:tc>
        <w:tc>
          <w:tcPr>
            <w:tcW w:w="100" w:type="dxa"/>
            <w:tcBorders>
              <w:top w:val="single" w:sz="1" w:space="0" w:color="000000"/>
            </w:tcBorders>
            <w:shd w:val="clear" w:color="auto" w:fill="FFFFFF"/>
          </w:tcPr>
          <w:p w:rsidR="00611D3D" w:rsidRDefault="00A206AB">
            <w:pPr>
              <w:ind w:firstLine="14"/>
              <w:jc w:val="center"/>
            </w:pPr>
            <w:r>
              <w:rPr>
                <w:i/>
                <w:iCs/>
              </w:rPr>
              <w:t>подпись</w:t>
            </w:r>
          </w:p>
        </w:tc>
        <w:tc>
          <w:tcPr>
            <w:tcW w:w="100" w:type="dxa"/>
            <w:shd w:val="clear" w:color="auto" w:fill="FFFFFF"/>
          </w:tcPr>
          <w:p w:rsidR="00611D3D" w:rsidRDefault="00A206AB">
            <w:pPr>
              <w:ind w:firstLine="14"/>
            </w:pPr>
            <w:r>
              <w:t> </w:t>
            </w:r>
          </w:p>
        </w:tc>
        <w:tc>
          <w:tcPr>
            <w:tcW w:w="100" w:type="dxa"/>
            <w:tcBorders>
              <w:top w:val="single" w:sz="1" w:space="0" w:color="000000"/>
            </w:tcBorders>
            <w:shd w:val="clear" w:color="auto" w:fill="FFFFFF"/>
          </w:tcPr>
          <w:p w:rsidR="00611D3D" w:rsidRDefault="00A206AB">
            <w:pPr>
              <w:ind w:firstLine="14"/>
              <w:jc w:val="center"/>
            </w:pPr>
            <w:r>
              <w:rPr>
                <w:i/>
                <w:iCs/>
              </w:rPr>
              <w:t>инициалы, фамилия</w:t>
            </w:r>
          </w:p>
        </w:tc>
      </w:tr>
    </w:tbl>
    <w:p w:rsidR="00A206AB" w:rsidRDefault="00A206AB"/>
    <w:sectPr w:rsidR="00A206AB" w:rsidSect="00611D3D">
      <w:footerReference w:type="default" r:id="rId8"/>
      <w:pgSz w:w="12240" w:h="15840"/>
      <w:pgMar w:top="561" w:right="849" w:bottom="1440" w:left="113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AB" w:rsidRDefault="00A206AB" w:rsidP="00611D3D">
      <w:pPr>
        <w:spacing w:line="240" w:lineRule="auto"/>
      </w:pPr>
      <w:r>
        <w:separator/>
      </w:r>
    </w:p>
  </w:endnote>
  <w:endnote w:type="continuationSeparator" w:id="0">
    <w:p w:rsidR="00A206AB" w:rsidRDefault="00A206AB" w:rsidP="0061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3D" w:rsidRDefault="000C357C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7pt;height:30.75pt;mso-position-horizontal:left;mso-position-horizontal-relative:char;mso-position-vertical:top;mso-position-vertical-relative:line">
          <v:imagedata r:id="rId1" o:title=""/>
        </v:shape>
      </w:pict>
    </w:r>
  </w:p>
  <w:p w:rsidR="00611D3D" w:rsidRDefault="00611D3D">
    <w:pPr>
      <w:jc w:val="right"/>
    </w:pPr>
    <w:r>
      <w:fldChar w:fldCharType="begin"/>
    </w:r>
    <w:r w:rsidR="00A206AB">
      <w:instrText>PAGE</w:instrText>
    </w:r>
    <w:r w:rsidR="000C357C">
      <w:fldChar w:fldCharType="separate"/>
    </w:r>
    <w:r w:rsidR="000C357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AB" w:rsidRDefault="00A206AB" w:rsidP="00611D3D">
      <w:pPr>
        <w:spacing w:line="240" w:lineRule="auto"/>
      </w:pPr>
      <w:r>
        <w:separator/>
      </w:r>
    </w:p>
  </w:footnote>
  <w:footnote w:type="continuationSeparator" w:id="0">
    <w:p w:rsidR="00A206AB" w:rsidRDefault="00A206AB" w:rsidP="0061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132B30"/>
    <w:multiLevelType w:val="multilevel"/>
    <w:tmpl w:val="10DE63C4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/>
      </w:pPr>
      <w:rPr>
        <w:b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25D9AED"/>
    <w:multiLevelType w:val="multilevel"/>
    <w:tmpl w:val="CB1EBBF0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/>
      </w:pPr>
      <w:rPr>
        <w:b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1D3D"/>
    <w:rsid w:val="000C357C"/>
    <w:rsid w:val="00611D3D"/>
    <w:rsid w:val="00A2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14"/>
        <w:szCs w:val="1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D3D"/>
    <w:pPr>
      <w:spacing w:after="0"/>
      <w:ind w:firstLine="432"/>
    </w:pPr>
  </w:style>
  <w:style w:type="paragraph" w:styleId="1">
    <w:name w:val="heading 1"/>
    <w:basedOn w:val="a"/>
    <w:rsid w:val="00611D3D"/>
    <w:p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rsid w:val="00611D3D"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rsid w:val="00611D3D"/>
    <w:pPr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rsid w:val="00611D3D"/>
    <w:pPr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rsid w:val="00611D3D"/>
    <w:pPr>
      <w:jc w:val="center"/>
      <w:outlineLvl w:val="4"/>
    </w:pPr>
    <w:rPr>
      <w:b/>
      <w:bCs/>
    </w:rPr>
  </w:style>
  <w:style w:type="paragraph" w:styleId="6">
    <w:name w:val="heading 6"/>
    <w:basedOn w:val="a"/>
    <w:rsid w:val="00611D3D"/>
    <w:pPr>
      <w:jc w:val="center"/>
      <w:outlineLvl w:val="5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611D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1405</Words>
  <Characters>8009</Characters>
  <Application>Microsoft Office Word</Application>
  <DocSecurity>0</DocSecurity>
  <Lines>66</Lines>
  <Paragraphs>18</Paragraphs>
  <ScaleCrop>false</ScaleCrop>
  <Company>AlexSoft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2023-06-16T02:39:00Z</dcterms:created>
  <dcterms:modified xsi:type="dcterms:W3CDTF">2023-06-16T02:39:00Z</dcterms:modified>
</cp:coreProperties>
</file>