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9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81"/>
        <w:gridCol w:w="3472"/>
        <w:gridCol w:w="68"/>
        <w:gridCol w:w="907"/>
        <w:gridCol w:w="5121"/>
      </w:tblGrid>
      <w:tr>
        <w:trPr>
          <w:trHeight w:val="8675" w:hRule="atLeast"/>
          <w:cantSplit w:val="true"/>
        </w:trPr>
        <w:tc>
          <w:tcPr>
            <w:tcW w:w="1034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tbl>
            <w:tblPr>
              <w:tblW w:w="15609" w:type="dxa"/>
              <w:jc w:val="left"/>
              <w:tblInd w:w="4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0080"/>
              <w:gridCol w:w="5528"/>
            </w:tblGrid>
            <w:tr>
              <w:trPr/>
              <w:tc>
                <w:tcPr>
                  <w:tcW w:w="10080" w:type="dxa"/>
                  <w:tcBorders/>
                </w:tcPr>
                <w:p>
                  <w:pPr>
                    <w:pStyle w:val="Normal"/>
                    <w:widowControl w:val="false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№2 к договору №______________</w:t>
                  </w:r>
                </w:p>
                <w:p>
                  <w:pPr>
                    <w:pStyle w:val="Normal"/>
                    <w:widowControl w:val="false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«____» ___________ 202___г.</w:t>
                  </w:r>
                </w:p>
                <w:p>
                  <w:pPr>
                    <w:pStyle w:val="Normal"/>
                    <w:widowControl w:val="false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  <w:tbl>
                  <w:tblPr>
                    <w:tblW w:w="11005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5298"/>
                    <w:gridCol w:w="5706"/>
                  </w:tblGrid>
                  <w:tr>
                    <w:trPr>
                      <w:trHeight w:val="2263" w:hRule="atLeast"/>
                    </w:trPr>
                    <w:tc>
                      <w:tcPr>
                        <w:tcW w:w="5298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>
                            <w:b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70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>
                            <w:b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Генеральный директор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АО СЗ «УГАИК»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___________________Р.М. Калимуллин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«___» ______________ 202___ г.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528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ТЕХНИЧЕСКОЕ ЗАДАНИЕ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Разработка проектно-сметной документации на строительство РП-ТП № 1 ( 2х1250кВА), ТП №2 (2х 1600 кВА), 2 ТП №4, № 5 (2х1250кВА), ТП № 9 ( 2х250кВА), электрокабелей между ними, согласно ТУ№22-10-22176-04-01 от 13.10.2022 г.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Поставка/ монтаж/ пусконаладочные работы РП-ТП №1( 2х1250кВА),ТП №2 (2х1600кВА), 2 ТП №4, № 5 (2х1250кВА), ТП № 9 (2х250кВА).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Строительство кабельных линий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Строительство 2КЛ 10кВ РП-ТП №1 (2х 1250 кВА )до ТП № 2 (2х1600 кВА).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Строительство 2КЛ 10кВ РП-ТП № 1 (2х1250 кВА) до ТП № 9 (2х250 кВА).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Строительство 2КЛ 10кВ ТП № 9 (2х 250 кВА) до ТП № 5(2х1250 кВА).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Строительство2 КЛ 10кВ ТП № 2( 2х1600 кВА) до ТП № 4 (2х1250 кВА).</w:t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4"/>
                <w:lang w:val="ru-RU" w:eastAsia="ru-RU" w:bidi="ar-SA"/>
              </w:rPr>
              <w:t>4</w:t>
            </w:r>
            <w:r>
              <w:rPr>
                <w:b/>
                <w:bCs/>
                <w:color w:val="000000"/>
                <w:szCs w:val="24"/>
              </w:rPr>
              <w:t>.   Оформление всей необходимой документации для сдачи объекта (в том числе получение разрешения на ввод в эксплуатацию у энергоснабжающей организации).</w:t>
            </w:r>
          </w:p>
        </w:tc>
      </w:tr>
      <w:tr>
        <w:trPr>
          <w:trHeight w:val="3048" w:hRule="atLeast"/>
          <w:cantSplit w:val="true"/>
        </w:trPr>
        <w:tc>
          <w:tcPr>
            <w:tcW w:w="5228" w:type="dxa"/>
            <w:gridSpan w:val="4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Заказчик :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Генерального директора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СЗ «УГАИК»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 А.К. Ахметгареева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(подпись, дата)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___________________ 202___ г.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121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Исполнитель :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(подпись, дата)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___________________ 202___г.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ap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.   Общие требования</w:t>
            </w:r>
          </w:p>
        </w:tc>
      </w:tr>
      <w:tr>
        <w:trPr>
          <w:trHeight w:val="329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комплекса работ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bidi w:val="0"/>
              <w:spacing w:before="0" w:after="0"/>
              <w:ind w:left="113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Разработка проектно-сметной документации </w:t>
            </w:r>
            <w:r>
              <w:rPr>
                <w:color w:val="000000"/>
                <w:sz w:val="22"/>
                <w:szCs w:val="22"/>
              </w:rPr>
              <w:t xml:space="preserve">на строительство РП-ТП № 1(2х1250кВА), ТП № 2(2х 1600кВА), 2 ТП № 4, № 5 (2х 1250 кВА),ТП № 9 (2х250кВА), электрокабелей между ними, согласно </w:t>
            </w:r>
            <w:r>
              <w:rPr>
                <w:sz w:val="22"/>
                <w:szCs w:val="22"/>
              </w:rPr>
              <w:t>ТУ№22-10-22176-04-01 от 13.10.2022 г.</w:t>
            </w:r>
          </w:p>
          <w:p>
            <w:pPr>
              <w:pStyle w:val="ListParagraph"/>
              <w:widowControl w:val="false"/>
              <w:suppressAutoHyphens w:val="false"/>
              <w:bidi w:val="0"/>
              <w:spacing w:before="0" w:after="0"/>
              <w:ind w:left="227" w:right="0" w:hanging="11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Поставка/ монтаж/ пусконаладочные работы РП-ТП № 1(2х1250кВА), ТП № 2 (2х1600кВА), ТП № 9( 2х250кВА), 2 ТП № 4, № 5(2х1250кВА).</w:t>
            </w:r>
          </w:p>
          <w:p>
            <w:pPr>
              <w:pStyle w:val="ListParagraph"/>
              <w:widowControl w:val="false"/>
              <w:suppressAutoHyphens w:val="false"/>
              <w:bidi w:val="0"/>
              <w:spacing w:before="0" w:after="0"/>
              <w:ind w:left="57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Строительство кабельных линий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bidi w:val="0"/>
              <w:spacing w:before="0" w:after="0"/>
              <w:ind w:left="113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color w:val="000000"/>
                <w:sz w:val="22"/>
                <w:szCs w:val="22"/>
              </w:rPr>
              <w:t>.1 Строительство 2КЛ 10кВ РП-ТП № 1(2х1250 кВА) до ТП №2 (2х1600 кВА).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bidi w:val="0"/>
              <w:spacing w:before="0" w:after="0"/>
              <w:ind w:left="113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color w:val="000000"/>
                <w:sz w:val="22"/>
                <w:szCs w:val="22"/>
              </w:rPr>
              <w:t>.2 . Строительство 2КЛ 10кВ РП-ТП № 1(  2х 1250 кВА ) до ТП № 9 (2х250 кВА).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bidi w:val="0"/>
              <w:spacing w:before="0" w:after="0"/>
              <w:ind w:left="113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color w:val="000000"/>
                <w:sz w:val="22"/>
                <w:szCs w:val="22"/>
              </w:rPr>
              <w:t>.3. Строительство 2КЛ 10кВ ТП № 2(2х 1600 кВА) до ТП № 4(2х1250 кВА),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bidi w:val="0"/>
              <w:spacing w:before="0" w:after="0"/>
              <w:ind w:left="113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3.</w:t>
            </w:r>
            <w:r>
              <w:rPr>
                <w:color w:val="000000"/>
                <w:sz w:val="22"/>
                <w:szCs w:val="22"/>
              </w:rPr>
              <w:t>4. Строительство 2КЛ 10кВ ТП № 9(2х250 кВА) до ТП № 5 (2х1250 кВА).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false"/>
              <w:bidi w:val="0"/>
              <w:spacing w:before="0" w:after="0"/>
              <w:ind w:left="113" w:right="0" w:hanging="113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color w:val="000000"/>
                <w:sz w:val="22"/>
                <w:szCs w:val="22"/>
              </w:rPr>
              <w:t>. Оформление всей необходимой документации для сдачи объекта (в том числе получение разрешения на ввод в эксплуатацию у энергоснабжающей организации).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 (застройщик)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both"/>
              <w:rPr>
                <w:rFonts w:ascii="Times" w:hAnsi="Times" w:cs="Tahoma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Специализированный застройщик «Уфимское городское агентство ипотечного кредитования» (АО СЗ «УГАИК»).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Основной разрешительный</w:t>
            </w:r>
          </w:p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Градостроительное задание – приложение №3 от 02.02.2022 к Постановлению Администрации сельского поселения миловский сельсовет  </w:t>
            </w:r>
            <w:r>
              <w:rPr>
                <w:bCs/>
                <w:kern w:val="2"/>
                <w:sz w:val="22"/>
                <w:szCs w:val="22"/>
              </w:rPr>
              <w:t>муниципального района Уфимский район Республики Башкортостан</w:t>
            </w:r>
            <w:r>
              <w:rPr>
                <w:sz w:val="22"/>
                <w:szCs w:val="22"/>
                <w:shd w:fill="FFFFFF" w:val="clear"/>
              </w:rPr>
              <w:t>№14 от 20.01.2022г.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Технические условия на технологическое присоединение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выделяемая мощность 7,784 МВт</w:t>
            </w:r>
          </w:p>
          <w:p>
            <w:pPr>
              <w:pStyle w:val="BodyTextIndent2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работ: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180 дней.</w:t>
            </w:r>
          </w:p>
        </w:tc>
      </w:tr>
      <w:tr>
        <w:trPr>
          <w:trHeight w:val="37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03" w:leader="none"/>
              </w:tabs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Основные требования к проектным решениям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 к конструктивным решениям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фундаменты</w:t>
            </w:r>
          </w:p>
        </w:tc>
        <w:tc>
          <w:tcPr>
            <w:tcW w:w="6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определить проектом на основании инженерно-геологических изысканий.</w:t>
            </w:r>
          </w:p>
        </w:tc>
      </w:tr>
      <w:tr>
        <w:trPr>
          <w:trHeight w:val="31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ограждающие конструкции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долж</w:t>
            </w:r>
            <w:r>
              <w:rPr>
                <w:rFonts w:eastAsia="Times New Roman"/>
                <w:sz w:val="22"/>
                <w:szCs w:val="22"/>
                <w:shd w:fill="auto" w:val="clear"/>
              </w:rPr>
              <w:t xml:space="preserve">ны </w:t>
            </w:r>
            <w:r>
              <w:rPr>
                <w:sz w:val="22"/>
                <w:szCs w:val="22"/>
                <w:shd w:fill="auto" w:val="clear"/>
              </w:rPr>
              <w:t>обеспечивать минимальные сроки проведения строительных работ, обеспечивать необходимые  прочностные требования, огнестойкость и т.п.</w:t>
            </w:r>
          </w:p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Возможно использование блочно-модульн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ых</w:t>
            </w:r>
            <w:r>
              <w:rPr>
                <w:sz w:val="22"/>
                <w:szCs w:val="22"/>
                <w:shd w:fill="auto" w:val="clear"/>
              </w:rPr>
              <w:t xml:space="preserve"> к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онструкций</w:t>
            </w:r>
            <w:r>
              <w:rPr>
                <w:sz w:val="22"/>
                <w:szCs w:val="22"/>
                <w:shd w:fill="auto" w:val="clear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Применяемое оборудование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Выполнить согласно действующих норм и правил, ГОСТ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СНИП.</w:t>
            </w:r>
          </w:p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Технологическое оборудование применить отечественного производства, либо производства дружественных стран. При проектировании руководствоваться действующими нормами и требованиями безопасности эксплуатации.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Стадии проектирования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0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документация (П)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документация (Р)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проектных материалов по этапам разработки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03" w:leader="none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проектных материалов разработать в соответствии с Положением о составе разделов проектной документации и требованиях к их содержанию, утвержденных Постановлением Правительства Российской Федерации от 16 февраля 2008 года №87.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3" w:leader="none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документация – в соответствии с ГОСТ Р 21.1101-2013 «Система проектной документации для строительства. Основные требования к проектной и рабочей документации».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документация, передаваемая Заказчику-застройщику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Документация комплектуется.</w:t>
            </w:r>
          </w:p>
          <w:p>
            <w:pPr>
              <w:pStyle w:val="Normal"/>
              <w:keepNext w:val="true"/>
              <w:widowControl w:val="false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1.Стадия «Проектная документация» </w:t>
            </w:r>
            <w:r>
              <w:rPr>
                <w:color w:val="000000"/>
                <w:sz w:val="22"/>
                <w:szCs w:val="22"/>
              </w:rPr>
              <w:t>-для каждого этапа (раздела) работ – 1 (один) экземпляр в бумажном виде и 1 (один) экземпляр на электронном носителе в формате PDF для прохождения экспертизы;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 Стадия «Рабочая документация</w:t>
            </w:r>
            <w:r>
              <w:rPr>
                <w:color w:val="000000"/>
                <w:sz w:val="22"/>
                <w:szCs w:val="22"/>
              </w:rPr>
              <w:t>» - 1(один) экземпляров в бумажном виде и 1 (один) экземпляр на электронном носителе в формате PDF;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Необходимость согласования проектной документации с сетевой организацией, РДУ, заказчиком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Требуется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авторского надзора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Требуется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предоставляет исходно-разрешительную документацию для проектирования: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на технологическое присоединение №22-10-22176-04-01 Миловка от 13.10.2022 г.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Генплан</w:t>
            </w:r>
          </w:p>
        </w:tc>
      </w:tr>
      <w:tr>
        <w:trPr>
          <w:trHeight w:val="5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3.РП-ТП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Поставка трансформаторной подстанции совмещенной с распределительным пунктом 10кВ РП-ТП с выделенной абонентской частью с двумя силовыми трансформаторами 1250 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Устройство фундаментной плиты согласно проекту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Монтаж РП-ТП;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 Пуско-наладочные работы;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  Оформление всей необходимой документации для сдачи объекта (в том числе получение разрешения на ввод в эксплуатацию у энергоснабжающей сетевой организации).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к конструкции РП-ТП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РП-ТП должна быть выполнена в виде отдельно стоящего здания с наружной и внутренней отделкой, состоящего из надземной и подземной частей. Конструктивно распределительные устройства высокого и низкого напряжения должны быть выполнены в разных помещениях (выделенная абонентская часть). Все технологические отверстия должны иметь комплект материалов для заделки проходов после окончания монтажа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Надземная часть должна иметь: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наружную и внутреннюю отделку;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контур заземления;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утепленные ворота и двери;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отверстия с жалюзийными решетками. Размер вентиляционных отверстий должен обеспечить работоспособность трансформатора при полной нагрузке. Жалюзийные решетки должны содержать съемные металлические сетки сечением не более 5 х 5 мм и иметь возможность закрытия на зимний период;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Планировочные и конструктивные решения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1.Расположение  оборудования в РП-ТП должно соответствовать компоновке электротехнического оборудования в проекте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2.Для доступа в кабельный этаж в помещениях РУ в полу должны быть выполнены проемы, закрывающиеся металлическими люками из рифленого металла.  Люки укомплектовать выдвижными ручками, укладываемыми в пазы;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3.Для подвода кабелей к РУВН и РУНН под ними должны быть предусмотрены проемы в полу;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4.В стенах подземной части должны быть технологические окна прямоугольного сечения с меньшей толщиной стенки (кессоны), позволяющие изготовление проемов для ввода труб;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5.Стальные конструкции и элементы должны быть огрунтованы и окрашены в соответствии с требованиями ГОСТ 9.104-2018, ГОСТ 15150. Покраски не требуют элементы, выполненные из оцинкованного метала. Конструкция полов должна исключать возможность образования пыли;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6.Двери в РП-ТП должны поворачиваться на шарнирах на угол не менее 95º и иметь фиксацию в крайних положениях. Двери выполнить из оцинкованной стали, окраску производить с применением порошкового покрытия. Двери должны иметь реечные замки;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7.В РП-ТП должна быть предусмотрена приточно-вытяжная вентиляция;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8.Двери, жалюзи и замки должны иметь вандалозащищенное исполнение. Конструкция не должна иметь внешних открытых опор подвеса и метизов со шлицами под инструмент;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9.Конструкция РП-ТП должна обеспечивать возможность присоединения кабельных линий, в том числе на стороне ВН подключение силовых кабелей с сечением жил до 500 кв. мм как с пропитанной бумажной изоляцией, так и с изоляцией из сшитого полиэтилена;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10.В качестве распределительного устройства высокого напряжения (РУВН) использовать камеры сборныеодностороннего обслуживания (КСО).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11.В качестве распределительного устройства низкого напряжения (РУНН) использовать низковольтные комплектные устройства (НКУ).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12.Для питания собственных нужд РП-ТП в отсеке РУ должен располагаться шкаф собственных нужд (ЯСН). Схема шкафа должна позволять вручную выбирать питание от первой или второй секции. Должны быть установлены розетки для подключения оборудования 220В и 12В для освещения трансформаторного отсека.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13.Отсеки РП-ТП должны быть оснащены светодиодными светильниками.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(ЯСН). Светильники должны жестко крепиться к потолку или стене внутри отсеков РП-ТП. Конструкция светильников должна обеспечивать замену ламп без входа в трансформаторный отсек. Конструкцией светильников не должно допускаться самоотвинчивание или выпадение ламп;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14.РП-ТП должна иметь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воздуха. В отсеках РУ должна быть обеспечена температура в соответствии с требованиями заводов-изготовителей аппаратуры, устанавливаемой в этих отсеках;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15.РП-ТП должна быть оборудована охранно-пожарной сигнализацией с выводом сигналов на диспетчерский пункт управления;</w:t>
            </w:r>
          </w:p>
        </w:tc>
      </w:tr>
      <w:tr>
        <w:trPr>
          <w:trHeight w:val="671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РП-ТП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Внешние габаритные размеры РП-ТП в плане не должны превышать 10х8 метров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РУВН 10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Требования к камерам сборным одностороннего обслуживания серии КСО: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Количество, комплектация и схемы главных цепей камер КСО с  выключателями  нагрузки и силовым выключателем выкатного исполнения определяется проектом.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Климатическое исполнение и категория размещения камер (по </w:t>
            </w:r>
            <w:r>
              <w:rPr>
                <w:bCs/>
                <w:sz w:val="22"/>
                <w:szCs w:val="22"/>
              </w:rPr>
              <w:t>ГОСТ 15150 и ГОСТ 15543.1</w:t>
            </w:r>
            <w:r>
              <w:rPr>
                <w:sz w:val="22"/>
                <w:szCs w:val="22"/>
              </w:rPr>
              <w:t>) У3;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Габаритные размеры камер КСО(ГхШхВ): не более </w:t>
            </w:r>
            <w:r>
              <w:rPr>
                <w:color w:val="FF0000"/>
                <w:sz w:val="22"/>
                <w:szCs w:val="22"/>
              </w:rPr>
              <w:t>1150х750х2350</w:t>
            </w:r>
            <w:r>
              <w:rPr>
                <w:sz w:val="22"/>
                <w:szCs w:val="22"/>
              </w:rPr>
              <w:t xml:space="preserve"> мм;</w:t>
            </w:r>
          </w:p>
          <w:p>
            <w:pPr>
              <w:pStyle w:val="NormalWeb"/>
              <w:widowControl w:val="false"/>
              <w:shd w:val="clear" w:color="auto" w:fill="FFFFFF"/>
              <w:spacing w:lineRule="auto" w:line="240"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Корпус КСО представляет собой металлоконструкцию, изготовленную из оцинкованной стали толщиной не менее 2 мм методом холодной штамповки. Все соединения несущих элементов конструкции выполнены на стальных вытяжных заклепках. Наружные элементы конструкции – двери, боковые панели и т.д. – окрашены порошковой краской. И должны соответствовать ГОСТ30546.1-98 «Общие требования к машинам, приборам и другим техническим изделиям и методы расчета их сложных конструкций в части сейсмостойкости», ГОСТ30546.2-98, «Испытания на сейсмостойкость машин, приборов и других технических изделий», ГОСТ30546.3-98 «Методы определения сейсмостойкости машин, приборов и других технических изделий, установленных на месте эксплуатации, при их аттестации или сертификации на сейсмическую безопасность», (исполнение сейсмостойкости 9 баллов по шкале MSK-64)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Номинальный ток сборных шин 1000А;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Двери корпуса ксо должны быть оборудованы запирающими устройствами,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фиксирующими дверь в закрытом положении.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Маркировка вторичных цепей камер КСО должна быть выполнена печатным способом на специализированном оборудовании. Маркировка вторичных цепей вручную с нанесением надписей маркером, фломастером и т. п. недопустима.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Покраска камер должна соответствовать требованиям соответствующих нормативно-технических документов;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Внешнее покрытие камер должно быть выполнено на основе эпоксидно-полиэфирного порошка и иметь толщину не менее 180 мкм;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Защитные меры безопасности (заземление, автоматическое отключение питания, защита от перенапряжения, уравнивание потенциалов) должны соответствовать требованиям ПУЭ, </w:t>
            </w:r>
            <w:r>
              <w:rPr>
                <w:bCs/>
                <w:sz w:val="22"/>
                <w:szCs w:val="22"/>
              </w:rPr>
              <w:t>ГОСТ 30.331.1-2013</w:t>
            </w:r>
            <w:r>
              <w:rPr>
                <w:sz w:val="22"/>
                <w:szCs w:val="22"/>
              </w:rPr>
              <w:t>, </w:t>
            </w:r>
            <w:r>
              <w:rPr>
                <w:bCs/>
                <w:sz w:val="22"/>
                <w:szCs w:val="22"/>
              </w:rPr>
              <w:t>СНиП 3.05.06-85, </w:t>
            </w:r>
            <w:r>
              <w:rPr>
                <w:sz w:val="22"/>
                <w:szCs w:val="22"/>
              </w:rPr>
              <w:t>и других нормативных документов.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Требования безопасности должны соответствовать требованиям</w:t>
              <w:br/>
            </w:r>
            <w:r>
              <w:rPr>
                <w:bCs/>
                <w:sz w:val="22"/>
                <w:szCs w:val="22"/>
              </w:rPr>
              <w:t>ГОСТ 12.2.007.4-75</w:t>
            </w:r>
            <w:r>
              <w:rPr>
                <w:sz w:val="22"/>
                <w:szCs w:val="22"/>
              </w:rPr>
              <w:t>, при этом по способу защиты от поражения электрическим током должны соответствовать </w:t>
            </w:r>
            <w:hyperlink r:id="rId2" w:tgtFrame="1 класс">
              <w:r>
                <w:rPr>
                  <w:color w:val="743399"/>
                  <w:sz w:val="22"/>
                  <w:szCs w:val="22"/>
                </w:rPr>
                <w:t>1 классу</w:t>
              </w:r>
            </w:hyperlink>
            <w:r>
              <w:rPr>
                <w:sz w:val="22"/>
                <w:szCs w:val="22"/>
              </w:rPr>
              <w:t> по </w:t>
            </w:r>
            <w:r>
              <w:rPr>
                <w:bCs/>
                <w:sz w:val="22"/>
                <w:szCs w:val="22"/>
              </w:rPr>
              <w:t>ГОСТ Р МЭК</w:t>
            </w:r>
            <w:r>
              <w:rPr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1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Защитное заземление должно быть выполнено в соответствии с требованиями </w:t>
              <w:br/>
            </w:r>
            <w:r>
              <w:rPr>
                <w:bCs/>
                <w:sz w:val="22"/>
                <w:szCs w:val="22"/>
              </w:rPr>
              <w:t>ГОСТ 12.2.007.0-75*, ГОСТ 12.1.030-81 *.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Конструктивно каждая камера КСО должна состоять из трех отсеков: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отсек сборных шин;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отсек главных цепей;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отсек вторичных цепей;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Завод-изготовитель должен гарантировать соответствие электротехнического оборудования требованиям ГОСТ 12.2.007-75, ГОСТ 1516.1-76, ГОСТ 8024-90, ГОСТ 15543.1-89 при соблюдении потребителем условий транспортирования, хранения и эксплуатации.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срок эксплуатации – не менее трех лет с даты поставки.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РУНН 0,4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РУНН двухсекционное, с возможностью дальнейшего расширения. На напряжении 0,4 кВ принята одинарная, секционированная автоматическим выключателем с выкатанным механизмом на две секции система сборных шин. Питание секций шин осуществляется от силовых трансформаторов, подключенных к РУ 0,4 кВ через автоматические выключатели с выкатанным механизмом. Сечение сборных шин должно позволять работу исходя из мощности силового трансформатора 1250 кВА с учетом перегрузки до 40%. Конструкция РУНН должна обеспечивать проведение регламентных работ на каждом аппарате, в том числе корзинах выкатанных автоматов, без полного отключения нагрузки. Автоматических выключатели предусмотреть с электронным расцепителем..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Силовые трансформаторы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Масляные герметичные  ТМГ 1250/10/0,4 кВ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комплект поставки включить поплавковый маслоуказатель, манометрический электроконтактный термометр, электроконтактный мановакууметр, клеммная коробка, катки для перемещения, техническая документация.</w:t>
            </w:r>
          </w:p>
        </w:tc>
      </w:tr>
      <w:tr>
        <w:trPr>
          <w:trHeight w:val="5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4.ТП 1600кВА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Поставка трансформаторной подстанции ТП 1600 кВА с выделенной абонентской частью с двумя силовыми трансформаторами 1600 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Устройство фундаментной плиты согласно проекту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Монтаж ТП 1600 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 Пуско-наладочные работы;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  Оформление всей необходимой документации для сдачи объекта (в том числе получение разрешения на ввод в эксплуатацию у энергоснабжающей организации).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к конструкции 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 1600 кВА должна быть выполнена в виде отдельно стоящего здания с наружной и внутренней отделкой, состоящего из надземной и подземной частей. Конструктивно распределительные устройства высокого и низкого напряжения должны быть выполнены в разных помещениях (выделенная абонентская часть). Все технологические отверстия должны иметь комплект материалов для заделки проходов после окончания монтажа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Надземная часть должна иметь: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наружную и внутреннюю отделку;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контур заземления;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утепленные ворота и двери;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отверстия с жалюзийными решетками. Размер вентиляционных отверстий должен обеспечить работоспособность трансформатора при полной нагрузке. Жалюзийные решетки должны содержать съемные металлические сетки сечением не более 5 х 5 мм и иметь возможность закрытия на зимний период;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Планировочные решения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1.Расположение  оборудования в ТП 1600 КВА должно соответствовать компоновке электротехнического оборудования в проекте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2.Для доступа в кабельный этаж в помещениях РУ в полу должны быть выполнены проемы, закрывающиеся металлическими люками из рифленого металла.  Люки укомплектовать выдвижными ручками, укладываемыми в пазы;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3.Для подвода кабелей к РУВН и РУНН под ними должны быть предусмотрены проемы в полу;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4.В стенах подземной части должны быть технологические окна прямоугольного сечения с меньшей толщиной стенки (кессоны), позволяющие изготовление проемов для ввода труб;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5.Стальные конструкции и элементы должны быть огрунтованы и окрашены в соответствии с требованиями ГОСТ 9.104-2018, ГОСТ 15150. Покраски не требуют элементы, выполненные из оцинкованного метала. Конструкция полов должна исключать возможность образования пыли;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6.Двери в ТП 1600 КВА должны поворачиваться на шарнирах на угол не менее 95º и иметь фиксацию в крайних положениях. Двери выполнить из оцинкованной стали, окраску производить с применением порошкового покрытия. Двери должны иметь реечные замки;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7.В ТП 1600 КВА должна быть предусмотрена приточно-вытяжная вентиляция;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8.Двери, жалюзи и замки должны иметь вандалозащищенное исполнение. Конструкция не должна иметь внешних открытых опор подвеса и метизов со шлицами под инструмент;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9.Конструкция ТП 1600 КВА должна обеспечивать возможность присоединения кабельных линий, в том числе на стороне ВН подключение силовых кабелей с сечением жил до 500 кв. мм как с пропитанной бумажной изоляцией, так и с изоляцией из сшитого полиэтилена;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10.В качестве распределительного устройства высокого напряжения (РУВН) использовать компактное комплектное распределительное устройство с микропроцессорной защитой, не требующей оперативного тока (питание по токовым цепям).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11.В качестве распределительного устройства низкого напряжения (РУНН) использовать низковольтные комплектные устройства(НКУ).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12.Для питания собственных нужд ТП 1600 КВА в отсеке РУ должен располагаться шкаф собственных нужд (ЯСН). Схема шкафа должна позволять вручную выбирать питание от первой или второй секции. Должны быть установлены розетки для подключения оборудования 220В и 12В для освещения трансформаторного отсека.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13.Отсеки ТП 1600 КВА должны быть оснащены светодиодными светильниками.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(ЯСН). Светильники должны жестко крепиться к потолку или стене внутри отсеков ТП 1600 КВА. Конструкция светильников должна обеспечивать замену ламп без входа в трансформаторный отсек. Конструкцией светильников не должно допускаться самоотвинчивание или выпадение ламп;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14.ТП 1600 КВА должна иметь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воздуха. В отсеках РУ должна быть обеспечена температура в соответствии с требованиями заводов-изготовителей аппаратуры, устанавливаемой в этих отсеках;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15.ТП 1600 КВА должна быть оборудована охранно-пожарной сигнализацией с выводом сигналов на диспетчерский пункт управления;</w:t>
            </w:r>
          </w:p>
        </w:tc>
      </w:tr>
      <w:tr>
        <w:trPr>
          <w:trHeight w:val="6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Внешние габаритные размеры ТП в плане не должны превышать 5х8 метров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РУВН 10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Комплексное распределительное устройство в элегазовой изоляции выполняющее функции ввода, секционирования и защиты трансформаторов выключателем нагрузки, установленное согласно проекта.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Защитные меры безопасности (заземление, автоматическое отключение питания, защита от перенапряжения, уравнивание потенциалов) должны соответствовать требованиям ПУЭ, </w:t>
            </w:r>
            <w:r>
              <w:rPr>
                <w:bCs/>
                <w:sz w:val="22"/>
                <w:szCs w:val="22"/>
              </w:rPr>
              <w:t>ГОСТ 30.331.1-2013</w:t>
            </w:r>
            <w:r>
              <w:rPr>
                <w:sz w:val="22"/>
                <w:szCs w:val="22"/>
              </w:rPr>
              <w:t>, </w:t>
            </w:r>
            <w:r>
              <w:rPr>
                <w:bCs/>
                <w:sz w:val="22"/>
                <w:szCs w:val="22"/>
              </w:rPr>
              <w:t>СНиП 3.05.06-85, </w:t>
            </w:r>
            <w:r>
              <w:rPr>
                <w:sz w:val="22"/>
                <w:szCs w:val="22"/>
              </w:rPr>
              <w:t>и других нормативных документов.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Требования безопасности должны соответствовать требованиям</w:t>
              <w:br/>
            </w:r>
            <w:r>
              <w:rPr>
                <w:bCs/>
                <w:sz w:val="22"/>
                <w:szCs w:val="22"/>
              </w:rPr>
              <w:t>ГОСТ 12.2.007.4-75</w:t>
            </w:r>
            <w:r>
              <w:rPr>
                <w:sz w:val="22"/>
                <w:szCs w:val="22"/>
              </w:rPr>
              <w:t>, при этом по способу защиты от поражения электрическим током должны соответствовать </w:t>
            </w:r>
            <w:hyperlink r:id="rId3" w:tgtFrame="1 класс">
              <w:r>
                <w:rPr>
                  <w:color w:val="743399"/>
                  <w:sz w:val="22"/>
                  <w:szCs w:val="22"/>
                </w:rPr>
                <w:t>1 классу</w:t>
              </w:r>
            </w:hyperlink>
            <w:r>
              <w:rPr>
                <w:sz w:val="22"/>
                <w:szCs w:val="22"/>
              </w:rPr>
              <w:t> по </w:t>
            </w:r>
            <w:r>
              <w:rPr>
                <w:bCs/>
                <w:sz w:val="22"/>
                <w:szCs w:val="22"/>
              </w:rPr>
              <w:t>ГОСТ Р МЭК</w:t>
            </w:r>
            <w:r>
              <w:rPr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1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Защитное заземление должно быть выполнено в соответствии с требованиями </w:t>
              <w:br/>
            </w:r>
            <w:r>
              <w:rPr>
                <w:bCs/>
                <w:sz w:val="22"/>
                <w:szCs w:val="22"/>
              </w:rPr>
              <w:t>ГОСТ 12.2.007.0-75*, ГОСТ 12.1.030-81 *.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Завод-изготовитель должен гарантировать соответствие электротехнического оборудования требованиям ГОСТ 12.2.007-75, ГОСТ 1516.1-76, ГОСТ 8024-90, ГОСТ 15543.1-89 при соблюдении потребителем условий транспортирования, хранения и эксплуатации.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срок эксплуатации – не менее трех лет с даты поставки.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РУНН 0,4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РУНН двухсекционное, с возможностью дальнейшего расширения. На напряжении 0,4 кВ принята одинарная, секционированная автоматическим выключателем с выкатным механизмом и электронным расцепителем на две секции система сборных шин. Питание секций шин осуществляется от силовых трансформаторов, подключенных к РУ 0,4 кВ через автоматические выключатели с выкатным механизмом. Сечение сборных шин должно позволять работу исходя из мощности силового трансформатора 1600 кВА с учетом перегрузки до 40%. Конструкция РУНН должна обеспечивать проведение регламентных работ на каждом аппарате, в том числе корзинах выкатных автоматов, без полного отключения нагрузки.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Силовые трансформаторы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Масляные герметичные  ТМГ 1600/10/0,4 кВ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комплект поставки включить поплавковый маслоуказатель, манометрический электроконтактный термометр, электроконтактный мановакууметр, клеммная коробка, катки для перемещения, техническая документация.</w:t>
            </w:r>
          </w:p>
        </w:tc>
      </w:tr>
      <w:tr>
        <w:trPr>
          <w:trHeight w:val="5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5.ТП 1250кВА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Поставка трансформаторной подстанции ТП 1250 кВА с выделенной абонентской частью с двумя силовыми трансформаторами 1250кВА;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Устройство фундаментной плиты согласно проекту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Монтаж ТП 1250 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 Пуско-наладочные работы;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  Оформление всей необходимой документации для сдачи объекта (в том числе получение разрешения на ввод в эксплуатацию у энергоснабжающей организации).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к конструкции 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 1250 кВА должна быть выполнена в виде отдельно стоящего здания с наружной и внутренней отделкой, состоящего из надземной и подземной частей. Конструктивно распределительные устройства высокого и низкого напряжения должны быть выполнены в разных помещениях (выделенная абонентская часть). Все технологические отверстия должны иметь комплект материалов для заделки проходов после окончания монтажа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Надземная часть должна иметь: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наружную и внутреннюю отделку;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контур заземления;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утепленные ворота и двери;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отверстия с жалюзийными решетками. Размер вентиляционных отверстий должен обеспечить работоспособность трансформатора при полной нагрузке. Жалюзийные решетки должны содержать съемные металлические сетки сечением не более 5 х 5 мм и иметь возможность закрытия на зимний период;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Планировочные решения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1.Расположение  оборудования в ТП 1250 КВА должно соответствовать компоновке электротехнического оборудования в проекте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2.Для доступа в кабельный этаж в помещениях РУ в полу должны быть выполнены проемы, закрывающиеся металлическими люками из рифленого металла.  Люки укомплектовать выдвижными ручками, укладываемыми в пазы;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Для подвода кабелей к РУВН и РУНН под ними должны быть предусмотрены проемы в полу;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4.В стенах подземной части должны быть технологические окна прямоугольного сечения с меньшей толщиной стенки (кессоны), позволяющие изготовление проемов для ввода труб;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5.Стальные конструкции и элементы должны быть огрунтованы и окрашены в соответствии с требованиями ГОСТ 9.104-2018, ГОСТ 15150. Покраски не требуют элементы, выполненные из оцинкованного метала. Конструкция полов должна исключать возможность образования пыли;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6.Двери в ТП 1250 КВА должны поворачиваться на шарнирах на угол не менее 95º и иметь фиксацию в крайних положениях. Двери выполнить из оцинкованной стали, окраску производить с применением порошкового покрытия. Двери должны иметь реечные замки;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7.В ТП 1250 КВА должна быть предусмотрена приточно-вытяжная вентиляция;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8.Двери, жалюзи и замки должны иметь вандалозащищенное исполнение. Конструкция не должна иметь внешних открытых опор подвеса и метизов со шлицами под инструмент;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9.Конструкция ТП 1250 КВА должна обеспечивать возможность присоединения кабельных линий, в том числе на стороне ВН подключение силовых кабелей с сечением жил до 500 кв. мм как с пропитанной бумажной изоляцией, так и с изоляцией из сшитого полиэтилена;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10.В качестве распределительного устройства высокого напряжения (РУВН) использовать компактное комплектное распределительное устройство с микропроцессорной защитой, не требующей оперативного тока (питание по токовым цепям).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11.В качестве распределительного устройства низкого напряжения (РУНН) использовать низковольтные комплектные устройства (НКУ).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12.Для питания собственных нужд ТП 1250 КВА в отсеке РУ должен располагаться шкаф собственных нужд (ЯСН). Схема шкафа должна позволять вручную выбирать питание от первой или второй секции. Должны быть установлены розетки для подключения оборудования 220В и 12В для освещения трансформаторного отсека.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13.Отсеки ТП 1250 КВА должны быть оснащены светодиодными светильниками.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(ЯСН). Светильники должны жестко крепиться к потолку или стене внутри отсеков ТП 1250 КВА. Конструкция светильников должна обеспечивать замену ламп без входа в трансформаторный отсек. Конструкцией светильников не должно допускаться самоотвинчивание или выпадение ламп;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14.ТП 1250 КВА должна иметь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воздуха. В отсеках РУ должна быть обеспечена температура в соответствии с требованиями заводов-изготовителей аппаратуры, устанавливаемой в этих отсеках;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15.ТП 1250 КВА должна быть оборудована охранно-пожарной сигнализацией с выводом сигналов на диспетчерский пункт управления;</w:t>
            </w:r>
          </w:p>
        </w:tc>
      </w:tr>
      <w:tr>
        <w:trPr>
          <w:trHeight w:val="6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Внешние габаритные размеры ТП в плане не должны превышать 5х8 метров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РУВН 10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Комплексное распределительное устройство в элегазовой изоляции выполняющее функции ввода, секционирования и защиты трансформаторов выключателем нагрузки, установленное согласно проекта.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Защитные меры безопасности (заземление, автоматическое отключение питания, защита от перенапряжения, уравнивание потенциалов) должны соответствовать требованиям ПУЭ, </w:t>
            </w:r>
            <w:r>
              <w:rPr>
                <w:bCs/>
                <w:sz w:val="22"/>
                <w:szCs w:val="22"/>
              </w:rPr>
              <w:t>ГОСТ 30.331.1-2013</w:t>
            </w:r>
            <w:r>
              <w:rPr>
                <w:sz w:val="22"/>
                <w:szCs w:val="22"/>
              </w:rPr>
              <w:t>, </w:t>
            </w:r>
            <w:r>
              <w:rPr>
                <w:bCs/>
                <w:sz w:val="22"/>
                <w:szCs w:val="22"/>
              </w:rPr>
              <w:t>СНиП 3.05.06-85, </w:t>
            </w:r>
            <w:r>
              <w:rPr>
                <w:sz w:val="22"/>
                <w:szCs w:val="22"/>
              </w:rPr>
              <w:t>и других нормативных документов.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Требования безопасности должны соответствовать требованиям</w:t>
              <w:br/>
            </w:r>
            <w:r>
              <w:rPr>
                <w:bCs/>
                <w:sz w:val="22"/>
                <w:szCs w:val="22"/>
              </w:rPr>
              <w:t>ГОСТ 12.2.007.4-75</w:t>
            </w:r>
            <w:r>
              <w:rPr>
                <w:sz w:val="22"/>
                <w:szCs w:val="22"/>
              </w:rPr>
              <w:t>, при этом по способу защиты от поражения электрическим током должны соответствовать </w:t>
            </w:r>
            <w:hyperlink r:id="rId4" w:tgtFrame="1 класс">
              <w:r>
                <w:rPr>
                  <w:color w:val="743399"/>
                  <w:sz w:val="22"/>
                  <w:szCs w:val="22"/>
                </w:rPr>
                <w:t>1 классу</w:t>
              </w:r>
            </w:hyperlink>
            <w:r>
              <w:rPr>
                <w:sz w:val="22"/>
                <w:szCs w:val="22"/>
              </w:rPr>
              <w:t> по </w:t>
            </w:r>
            <w:r>
              <w:rPr>
                <w:bCs/>
                <w:sz w:val="22"/>
                <w:szCs w:val="22"/>
              </w:rPr>
              <w:t>ГОСТ Р МЭК</w:t>
            </w:r>
            <w:r>
              <w:rPr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1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Защитное заземление должно быть выполнено в соответствии с требованиями </w:t>
              <w:br/>
            </w:r>
            <w:r>
              <w:rPr>
                <w:bCs/>
                <w:sz w:val="22"/>
                <w:szCs w:val="22"/>
              </w:rPr>
              <w:t>ГОСТ 12.2.007.0-75*, ГОСТ 12.1.030-81 *.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Завод-изготовитель должен гарантировать соответствие электротехнического оборудования требованиям ГОСТ 12.2.007-75, ГОСТ 1516.1-76, ГОСТ 8024-90, ГОСТ 15543.1-89 при соблюдении потребителем условий транспортирования, хранения и эксплуатации.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срок эксплуатации – не менее трех лет с даты поставки.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РУНН 0,4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РУНН двухсекционное, с возможностью дальнейшего расширения. На напряжении 0,4 кВ принята одинарная, секционированная автоматическим выключателем с выкатным механизмом и электронным расцепителемна две секции система сборных шин. Питание секций шин осуществляется от силовых трансформаторов, подключенных к РУ 0,4 кВ через автоматические выключатели с выкатным механизмом. Сечение сборных шин должно позволять работу исходя из мощности силового трансформатора 1250кВА с учетом перегрузки до 40%. Конструкция РУНН должна обеспечивать проведение регламентных работ на каждом аппарате, в том числе корзинах выкатных автоматов, без полного отключения нагрузки.</w:t>
            </w:r>
          </w:p>
        </w:tc>
      </w:tr>
      <w:tr>
        <w:trPr>
          <w:trHeight w:val="85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Силовые трансформаторы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Масляные герметичные  ТМГ 1250/10/0,4 кВ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комплект поставки включить поплавковый маслоуказатель, манометрический электроконтактный термометр, электроконтактный мановакууметр, клеммная коробка, катки для перемещения, техническая документация.</w:t>
            </w:r>
          </w:p>
        </w:tc>
      </w:tr>
      <w:tr>
        <w:trPr>
          <w:trHeight w:val="567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6.ТП 250кВА</w:t>
            </w:r>
          </w:p>
        </w:tc>
      </w:tr>
      <w:tr>
        <w:trPr>
          <w:trHeight w:val="8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Поставка трансформаторной подстанцииТП 250кВА с выделенной абонентской частью с двумя силовыми трансформаторами 250 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Устройство фундаментной плиты согласно проекту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  Монтаж ТП 250 кВА;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 Пуско-наладочные работы;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  Оформление всей необходимой документации для сдачи объекта (в том числе получение разрешения на ввод в эксплуатацию у энергоснабжающей организации).</w:t>
            </w:r>
          </w:p>
        </w:tc>
      </w:tr>
      <w:tr>
        <w:trPr>
          <w:trHeight w:val="3429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к конструкции 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 250 кВА должна быть выполнена в виде отдельно стоящего здания с наружной и внутренней отделкой. Конструктивно распределительные устройства высокого и низкого напряжения должны быть выполнены в разных отсеках. Все технологические отверстия должны иметь комплект материалов для заделки проходов после окончания монтажа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 2х 250 должно иметь: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отверстия с жалюзийными решетками. Размер вентиляционных отверстий должен обеспечить работоспособность трансформатора при полной нагрузке. Жалюзийные решетки должны содержать съемные металлические сетки сечением не более 5 х 5 мм и иметь возможность закрытия на зимний период;</w:t>
            </w:r>
          </w:p>
        </w:tc>
      </w:tr>
      <w:tr>
        <w:trPr>
          <w:trHeight w:val="8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Планировочные решения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1.Расположение  оборудования в ТП 250 кВА должно соответствовать компоновке электротехнического оборудования в проекте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Для подвода кабелей к РУВН и РУНН под ними должны быть предусмотрены проемы в полу;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3.Стальные конструкции и элементы должны быть огрунтованы и окрашены в соответствии с требованиями ГОСТ 9.104-2018, ГОСТ 15150. Покраски не требуют элементы, выполненные из оцинкованного метала. Конструкция полов должна исключать возможность образования пыли;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4.Двери в ТП 250 кВА должны поворачиваться на шарнирах на угол не менее 95º и иметь фиксацию в крайних положениях. Двери выполнить из оцинкованной стали, окраску производить с применением порошкового покрытия. Двери должны иметь реечные замки;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5.В ТП 250 кВА должна быть предусмотрена приточно-вытяжная вентиляция;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6.Двери, жалюзи и замки должны иметь вандалозащищенное исполнение. Конструкция не должна иметь внешних открытых опор подвеса и метизов с шлицами под инструмент;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7.Конструкция ТП 250 кВА должна обеспечивать возможность присоединения кабельных линий, в том числе на стороне ВН подключение силовых кабелей с сечением жил до 500 кв. мм как с пропитанной бумажной изоляцией, так и с изоляцией из сшитого полиэтилена;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8.В качестве распределительного устройства высокого напряжения (РУВН) использоватькомплектное малогабаритное распределительное устройство с выключателями нагрузки.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9.В качестве распределительного устройства низкого напряжения (РУНН) использовать низковольтные комплектные устройства (НКУ) с автоматическим выключателями.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10.Для питания собственных нужд ТП 250 кВА в отсеке РУ должен располагаться шкаф собственных нужд (ЯСН). Схема шкафа должна позволять вручную выбирать питание от первой или второй секции. Должны быть установлены розетки для подключения оборудования 220В и 12В для освещения трансформаторного отсека.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11.Отсеки ТП 250 кВА должны быть оснащены светодиодными светильниками.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(ЯСН). Светильники должны жестко крепиться к потолку или стене внутри отсеков ТП 250 кВА. Конструкция светильников должна обеспечивать замену ламп без входа в трансформаторный отсек. Конструкцией светильников не должно допускаться самоотвинчивание или выпадение ламп;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12.ТП 250 кВА должна иметь при необходимости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воздуха. В отсеках РУ должна быть обеспечена температура в соответствии с требованиями заводов-изготовителей аппаратуры, устанавливаемой в этих отсеках;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13.ТП 250 кВА должна быть оборудована охранно-пожарной сигнализацией с выводом сигналов на диспетчерский пункт управления;</w:t>
            </w:r>
          </w:p>
        </w:tc>
      </w:tr>
      <w:tr>
        <w:trPr>
          <w:trHeight w:val="740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ТП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Внешние габаритные размеры ТП 250 кВА в плане не должны превышать 9х2,5 метров</w:t>
            </w:r>
          </w:p>
        </w:tc>
      </w:tr>
      <w:tr>
        <w:trPr>
          <w:trHeight w:val="8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РУВН 10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Комплексное распределительное устройство в элегазовой изоляции выполняющее функции ввода, секционирования и защиты трансформаторов выключателем нагрузки.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Защитные меры безопасности (заземление, автоматическое отключение питания, защита от перенапряжения, уравнивание потенциалов) должны соответствовать требованиям ПУЭ, </w:t>
            </w:r>
            <w:r>
              <w:rPr>
                <w:bCs/>
                <w:sz w:val="22"/>
                <w:szCs w:val="22"/>
              </w:rPr>
              <w:t>ГОСТ 30.331.1-2013</w:t>
            </w:r>
            <w:r>
              <w:rPr>
                <w:sz w:val="22"/>
                <w:szCs w:val="22"/>
              </w:rPr>
              <w:t>, </w:t>
            </w:r>
            <w:r>
              <w:rPr>
                <w:bCs/>
                <w:sz w:val="22"/>
                <w:szCs w:val="22"/>
              </w:rPr>
              <w:t>СНиП 3.05.06-85, </w:t>
            </w:r>
            <w:r>
              <w:rPr>
                <w:sz w:val="22"/>
                <w:szCs w:val="22"/>
              </w:rPr>
              <w:t>и других нормативных документов.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Требования безопасности должны соответствовать требованиям</w:t>
              <w:br/>
            </w:r>
            <w:r>
              <w:rPr>
                <w:bCs/>
                <w:sz w:val="22"/>
                <w:szCs w:val="22"/>
              </w:rPr>
              <w:t>ГОСТ 12.2.007.4-75</w:t>
            </w:r>
            <w:r>
              <w:rPr>
                <w:sz w:val="22"/>
                <w:szCs w:val="22"/>
              </w:rPr>
              <w:t>, при этом по способу защиты от поражения электрическим током должны соответствовать </w:t>
            </w:r>
            <w:hyperlink r:id="rId5" w:tgtFrame="1 класс">
              <w:r>
                <w:rPr>
                  <w:color w:val="743399"/>
                  <w:sz w:val="22"/>
                  <w:szCs w:val="22"/>
                </w:rPr>
                <w:t>1 классу</w:t>
              </w:r>
            </w:hyperlink>
            <w:r>
              <w:rPr>
                <w:sz w:val="22"/>
                <w:szCs w:val="22"/>
              </w:rPr>
              <w:t> по </w:t>
            </w:r>
            <w:r>
              <w:rPr>
                <w:bCs/>
                <w:sz w:val="22"/>
                <w:szCs w:val="22"/>
              </w:rPr>
              <w:t>ГОСТ Р МЭК</w:t>
            </w:r>
            <w:r>
              <w:rPr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 Защитное заземление должно быть выполнено в соответствии с требованиями </w:t>
              <w:br/>
            </w:r>
            <w:r>
              <w:rPr>
                <w:bCs/>
                <w:sz w:val="22"/>
                <w:szCs w:val="22"/>
              </w:rPr>
              <w:t>ГОСТ 12.2.007.0-75*, ГОСТ 12.1.030-81 *.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1" w:after="2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Завод-изготовитель должен гарантировать соответствие электротехнического оборудования требованиям ГОСТ 12.2.007-75, ГОСТ 1516.1-76, ГОСТ 8024-90, ГОСТ 15543.1-89 при соблюдении потребителем условий транспортирования, хранения и эксплуатации.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срок эксплуатации – не менее трех лет с даты поставки.</w:t>
            </w:r>
          </w:p>
        </w:tc>
      </w:tr>
      <w:tr>
        <w:trPr>
          <w:trHeight w:val="8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Технические характеристики оборудования в РУНН 0,4 кВ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РУНН двухсекционное, с возможностью дальнейшего расширения. На напряжении 0,4 кВ принята одинарная, секционированная автоматическим выключателем с выкатным механизмом и элекроннымрасцепителем на две секции система сборных шин. Питание секций шин осуществляется от силовых трансформаторов, подключенных к РУ 0,4 кВ через автоматические выключатели. Сечение сборных шин должно позволять работу исходя из мощности силового трансформатора 250 кВА с учетом перегрузки до 40%. Конструкция РУНН должна обеспечивать проведение регламентных работ на каждом аппарате, в том числе корзинах выкатных автоматов, без полного отключения нагрузки.</w:t>
            </w:r>
          </w:p>
        </w:tc>
      </w:tr>
      <w:tr>
        <w:trPr>
          <w:trHeight w:val="886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Силовые трансформаторы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Масляные герметичные  ТМГ 250/10/0,4 кВ</w:t>
            </w:r>
          </w:p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комплект поставки включить поплавковый маслоуказатель, манометрический электроконтактный термометр, электроконтактный мановакууметр, клеммная коробка, катки для перемещения, техническая документация.</w:t>
            </w:r>
          </w:p>
        </w:tc>
      </w:tr>
      <w:tr>
        <w:trPr>
          <w:trHeight w:val="631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7.Кабельные линии</w:t>
            </w:r>
          </w:p>
        </w:tc>
      </w:tr>
      <w:tr>
        <w:trPr>
          <w:trHeight w:val="842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Кабельные сети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Кабельные сети выполнить кабелем из сшитого полиэтилена: - - АПвПУ 3х 185</w:t>
            </w:r>
            <w:bookmarkStart w:id="0" w:name="_GoBack"/>
            <w:bookmarkEnd w:id="0"/>
            <w:r>
              <w:rPr>
                <w:sz w:val="22"/>
                <w:szCs w:val="22"/>
              </w:rPr>
              <w:t>мм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сечение экрана определить при проектировании.</w:t>
            </w:r>
          </w:p>
        </w:tc>
      </w:tr>
      <w:tr>
        <w:trPr>
          <w:trHeight w:val="1613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способу прокладки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и способ прокладки должны соответствовать проектной документации и обеспечивать необходимые нормативные требования при пересечении с другими инженерными системами, в том числе прокладываемыми после монтажа кабельной линии.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Должна быть обеспечена защита кабеля от механических повреждений.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мероприятия по предупреждению о наличии кабельной линии при проведении земляных работ (сигнальная лента или аналог).</w:t>
            </w:r>
          </w:p>
        </w:tc>
      </w:tr>
      <w:tr>
        <w:trPr>
          <w:trHeight w:val="565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кабелю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минимальное количество соединительных муфт исходя из строительной длины поставляемого кабеля.</w:t>
            </w:r>
          </w:p>
        </w:tc>
      </w:tr>
      <w:tr>
        <w:trPr>
          <w:trHeight w:val="1112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Соединительные муфты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монтаже соединительных муфт предусмотреть запас кабеля для повторной разделки.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Соединительные муфты монтировать на рыхлом основании.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механическую защиту.</w:t>
            </w:r>
          </w:p>
        </w:tc>
      </w:tr>
      <w:tr>
        <w:trPr>
          <w:trHeight w:val="561" w:hRule="atLeast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Концевые муфты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комплектные, с наконечниками под прессовку.</w:t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/>
      </w:r>
    </w:p>
    <w:sectPr>
      <w:headerReference w:type="default" r:id="rId6"/>
      <w:type w:val="nextPage"/>
      <w:pgSz w:w="11906" w:h="16838"/>
      <w:pgMar w:left="1418" w:right="850" w:header="57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7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2"/>
  <w:embedSystemFonts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5a9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ee39d4"/>
    <w:pPr>
      <w:keepNext w:val="true"/>
      <w:jc w:val="center"/>
      <w:outlineLvl w:val="0"/>
    </w:pPr>
    <w:rPr>
      <w:rFonts w:ascii="Bookman Old Style" w:hAnsi="Bookman Old Style" w:eastAsia="Calibri" w:cs="Bookman Old Style"/>
    </w:rPr>
  </w:style>
  <w:style w:type="paragraph" w:styleId="3">
    <w:name w:val="Heading 3"/>
    <w:basedOn w:val="Normal"/>
    <w:next w:val="Normal"/>
    <w:link w:val="30"/>
    <w:uiPriority w:val="99"/>
    <w:qFormat/>
    <w:rsid w:val="00ee39d4"/>
    <w:pPr>
      <w:keepNext w:val="true"/>
      <w:spacing w:before="240" w:after="60"/>
      <w:outlineLvl w:val="2"/>
    </w:pPr>
    <w:rPr>
      <w:rFonts w:ascii="Cambria" w:hAnsi="Cambria" w:eastAsia="Calibri" w:cs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ee39d4"/>
    <w:rPr>
      <w:rFonts w:ascii="Bookman Old Style" w:hAnsi="Bookman Old Style" w:cs="Bookman Old Style"/>
      <w:sz w:val="20"/>
      <w:szCs w:val="20"/>
      <w:lang w:eastAsia="ru-RU"/>
    </w:rPr>
  </w:style>
  <w:style w:type="character" w:styleId="31" w:customStyle="1">
    <w:name w:val="Заголовок 3 Знак"/>
    <w:link w:val="3"/>
    <w:uiPriority w:val="99"/>
    <w:semiHidden/>
    <w:qFormat/>
    <w:locked/>
    <w:rsid w:val="00ee39d4"/>
    <w:rPr>
      <w:rFonts w:ascii="Cambria" w:hAnsi="Cambria" w:cs="Cambria"/>
      <w:b/>
      <w:bCs/>
      <w:sz w:val="26"/>
      <w:szCs w:val="26"/>
    </w:rPr>
  </w:style>
  <w:style w:type="character" w:styleId="Style12" w:customStyle="1">
    <w:name w:val="Верхний колонтитул Знак"/>
    <w:link w:val="a4"/>
    <w:uiPriority w:val="99"/>
    <w:qFormat/>
    <w:locked/>
    <w:rsid w:val="00ee39d4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link w:val="a6"/>
    <w:uiPriority w:val="99"/>
    <w:qFormat/>
    <w:locked/>
    <w:rsid w:val="00ee39d4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link w:val="a8"/>
    <w:uiPriority w:val="99"/>
    <w:semiHidden/>
    <w:qFormat/>
    <w:locked/>
    <w:rsid w:val="0018286b"/>
    <w:rPr>
      <w:rFonts w:ascii="Segoe UI" w:hAnsi="Segoe UI" w:cs="Segoe UI"/>
      <w:sz w:val="18"/>
      <w:szCs w:val="18"/>
    </w:rPr>
  </w:style>
  <w:style w:type="character" w:styleId="Style15" w:customStyle="1">
    <w:name w:val="Обычный (веб) Знак"/>
    <w:link w:val="aa"/>
    <w:uiPriority w:val="99"/>
    <w:qFormat/>
    <w:locked/>
    <w:rsid w:val="00667b3e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6">
    <w:name w:val="Интернет-ссылка"/>
    <w:rsid w:val="00972fc5"/>
    <w:rPr>
      <w:color w:val="0000FF"/>
      <w:u w:val="single"/>
    </w:rPr>
  </w:style>
  <w:style w:type="character" w:styleId="FontStyle13" w:customStyle="1">
    <w:name w:val="Font Style13"/>
    <w:uiPriority w:val="99"/>
    <w:qFormat/>
    <w:rsid w:val="00f330cc"/>
    <w:rPr>
      <w:rFonts w:ascii="Times New Roman" w:hAnsi="Times New Roman" w:cs="Times New Roman"/>
      <w:sz w:val="22"/>
      <w:szCs w:val="22"/>
    </w:rPr>
  </w:style>
  <w:style w:type="character" w:styleId="Style17" w:customStyle="1">
    <w:name w:val="Основной текст Знак"/>
    <w:link w:val="af"/>
    <w:uiPriority w:val="99"/>
    <w:qFormat/>
    <w:locked/>
    <w:rsid w:val="0020327b"/>
    <w:rPr>
      <w:rFonts w:ascii="Times New Roman" w:hAnsi="Times New Roman" w:cs="Times New Roman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385a09"/>
    <w:rPr>
      <w:rFonts w:ascii="Times New Roman" w:hAnsi="Times New Roman" w:eastAsia="Times New Roman"/>
    </w:rPr>
  </w:style>
  <w:style w:type="character" w:styleId="21" w:customStyle="1">
    <w:name w:val="Основной текст (2)_"/>
    <w:basedOn w:val="DefaultParagraphFont"/>
    <w:link w:val="22"/>
    <w:qFormat/>
    <w:rsid w:val="00194a52"/>
    <w:rPr>
      <w:rFonts w:ascii="Times New Roman" w:hAnsi="Times New Roman" w:eastAsia="Times New Roman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link w:val="af0"/>
    <w:uiPriority w:val="99"/>
    <w:rsid w:val="0020327b"/>
    <w:pPr>
      <w:spacing w:before="0" w:after="12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uiPriority w:val="99"/>
    <w:qFormat/>
    <w:rsid w:val="00ee39d4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rsid w:val="00ee39d4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Style25">
    <w:name w:val="Footer"/>
    <w:basedOn w:val="Normal"/>
    <w:link w:val="a7"/>
    <w:uiPriority w:val="99"/>
    <w:rsid w:val="00ee39d4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BalloonText">
    <w:name w:val="Balloon Text"/>
    <w:basedOn w:val="Normal"/>
    <w:link w:val="a9"/>
    <w:uiPriority w:val="99"/>
    <w:semiHidden/>
    <w:qFormat/>
    <w:rsid w:val="0018286b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ab"/>
    <w:uiPriority w:val="99"/>
    <w:qFormat/>
    <w:rsid w:val="00667b3e"/>
    <w:pPr>
      <w:spacing w:before="280" w:after="280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972fc5"/>
    <w:pPr>
      <w:ind w:left="720" w:hanging="0"/>
    </w:pPr>
    <w:rPr/>
  </w:style>
  <w:style w:type="paragraph" w:styleId="12" w:customStyle="1">
    <w:name w:val="Без интервала1"/>
    <w:uiPriority w:val="99"/>
    <w:qFormat/>
    <w:rsid w:val="00cf1e0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uiPriority w:val="1"/>
    <w:qFormat/>
    <w:rsid w:val="002d3b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d15b38"/>
    <w:pPr>
      <w:spacing w:beforeAutospacing="1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385a09"/>
    <w:pPr>
      <w:spacing w:lineRule="auto" w:line="480" w:before="0" w:after="120"/>
      <w:ind w:left="283" w:hanging="0"/>
    </w:pPr>
    <w:rPr/>
  </w:style>
  <w:style w:type="paragraph" w:styleId="22" w:customStyle="1">
    <w:name w:val="Основной текст (2)"/>
    <w:basedOn w:val="Normal"/>
    <w:link w:val="21"/>
    <w:qFormat/>
    <w:rsid w:val="00194a52"/>
    <w:pPr>
      <w:widowControl w:val="false"/>
      <w:shd w:val="clear" w:color="auto" w:fill="FFFFFF"/>
      <w:spacing w:lineRule="atLeast" w:line="0" w:before="180" w:after="0"/>
      <w:ind w:hanging="22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ee39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1_klass/" TargetMode="External"/><Relationship Id="rId3" Type="http://schemas.openxmlformats.org/officeDocument/2006/relationships/hyperlink" Target="https://pandia.ru/text/category/1_klass/" TargetMode="External"/><Relationship Id="rId4" Type="http://schemas.openxmlformats.org/officeDocument/2006/relationships/hyperlink" Target="https://pandia.ru/text/category/1_klass/" TargetMode="External"/><Relationship Id="rId5" Type="http://schemas.openxmlformats.org/officeDocument/2006/relationships/hyperlink" Target="https://pandia.ru/text/category/1_klass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951E-C4DB-47A4-ADA8-84277DC7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LibreOffice/7.0.3.1$Windows_X86_64 LibreOffice_project/d7547858d014d4cf69878db179d326fc3483e082</Application>
  <Pages>13</Pages>
  <Words>4230</Words>
  <Characters>29264</Characters>
  <CharactersWithSpaces>33240</CharactersWithSpaces>
  <Paragraphs>327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2023-01-11T05:51:00Z</dcterms:created>
  <dc:creator>Сонц</dc:creator>
  <dc:description/>
  <dc:language>ru-RU</dc:language>
  <cp:lastModifiedBy/>
  <cp:lastPrinted>2023-09-11T09:18:00Z</cp:lastPrinted>
  <dcterms:modified xsi:type="dcterms:W3CDTF">2023-09-15T11:32:16Z</dcterms:modified>
  <cp:revision>28</cp:revision>
  <dc:subject/>
  <dc:title>Приложение № 1 к договору №255/2015 от 30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