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D8C10" w14:textId="77777777" w:rsidR="00265B99" w:rsidRDefault="00265B99" w:rsidP="00265B99">
      <w:pPr>
        <w:spacing w:line="240" w:lineRule="auto"/>
        <w:jc w:val="right"/>
        <w:rPr>
          <w:rFonts w:ascii="Times New Roman" w:hAnsi="Times New Roman" w:cs="Times New Roman"/>
          <w:sz w:val="24"/>
          <w:szCs w:val="24"/>
        </w:rPr>
      </w:pPr>
      <w:r>
        <w:rPr>
          <w:rFonts w:ascii="Times New Roman" w:hAnsi="Times New Roman" w:cs="Times New Roman"/>
          <w:sz w:val="24"/>
          <w:szCs w:val="24"/>
        </w:rPr>
        <w:t xml:space="preserve">               Утверждаю</w:t>
      </w:r>
    </w:p>
    <w:p w14:paraId="2A930314" w14:textId="77777777" w:rsidR="00265B99" w:rsidRDefault="00265B99" w:rsidP="00265B99">
      <w:pPr>
        <w:spacing w:line="240" w:lineRule="auto"/>
        <w:jc w:val="right"/>
        <w:rPr>
          <w:rFonts w:ascii="Times New Roman" w:hAnsi="Times New Roman" w:cs="Times New Roman"/>
          <w:sz w:val="24"/>
          <w:szCs w:val="24"/>
        </w:rPr>
      </w:pPr>
      <w:r>
        <w:rPr>
          <w:rFonts w:ascii="Times New Roman" w:hAnsi="Times New Roman" w:cs="Times New Roman"/>
          <w:sz w:val="24"/>
          <w:szCs w:val="24"/>
        </w:rPr>
        <w:t xml:space="preserve">                                                             Директор ГАПОУ ПО ПКИПТ (ИТ-колледж)</w:t>
      </w:r>
    </w:p>
    <w:p w14:paraId="64E9D1C2" w14:textId="77777777" w:rsidR="00265B99" w:rsidRDefault="00265B99" w:rsidP="00265B99">
      <w:pPr>
        <w:spacing w:line="240" w:lineRule="auto"/>
        <w:jc w:val="right"/>
        <w:rPr>
          <w:rFonts w:ascii="Times New Roman" w:hAnsi="Times New Roman" w:cs="Times New Roman"/>
          <w:sz w:val="24"/>
          <w:szCs w:val="24"/>
        </w:rPr>
      </w:pPr>
      <w:r>
        <w:rPr>
          <w:rFonts w:ascii="Times New Roman" w:hAnsi="Times New Roman" w:cs="Times New Roman"/>
          <w:sz w:val="24"/>
          <w:szCs w:val="24"/>
        </w:rPr>
        <w:t xml:space="preserve">                                                                                       _________________ (Н.В. Чистякова)</w:t>
      </w:r>
    </w:p>
    <w:p w14:paraId="24B881FE" w14:textId="77777777" w:rsidR="002F5A32" w:rsidRDefault="002F5A32" w:rsidP="002F5A32">
      <w:pPr>
        <w:pStyle w:val="a3"/>
        <w:jc w:val="right"/>
        <w:rPr>
          <w:rFonts w:ascii="Times New Roman" w:hAnsi="Times New Roman" w:cs="Times New Roman"/>
        </w:rPr>
      </w:pPr>
    </w:p>
    <w:p w14:paraId="559A5E63" w14:textId="77777777" w:rsidR="002F5A32" w:rsidRPr="00452796" w:rsidRDefault="002F5A32" w:rsidP="002F5A32">
      <w:pPr>
        <w:pStyle w:val="a3"/>
        <w:jc w:val="right"/>
        <w:rPr>
          <w:rFonts w:ascii="Times New Roman" w:hAnsi="Times New Roman" w:cs="Times New Roman"/>
        </w:rPr>
      </w:pPr>
    </w:p>
    <w:p w14:paraId="5DB2A5E2" w14:textId="77777777" w:rsidR="00B34708" w:rsidRPr="00B34708" w:rsidRDefault="00B34708" w:rsidP="00B34708">
      <w:pPr>
        <w:spacing w:after="0" w:line="240" w:lineRule="auto"/>
        <w:jc w:val="center"/>
        <w:rPr>
          <w:rFonts w:ascii="Times New Roman" w:hAnsi="Times New Roman" w:cs="Times New Roman"/>
          <w:b/>
          <w:bCs/>
          <w:sz w:val="24"/>
          <w:szCs w:val="24"/>
        </w:rPr>
      </w:pPr>
      <w:r w:rsidRPr="00B34708">
        <w:rPr>
          <w:rFonts w:ascii="Times New Roman" w:hAnsi="Times New Roman" w:cs="Times New Roman"/>
          <w:b/>
          <w:bCs/>
          <w:sz w:val="24"/>
          <w:szCs w:val="24"/>
        </w:rPr>
        <w:t>Обоснование начальной (максимальной) цены контракта</w:t>
      </w:r>
    </w:p>
    <w:p w14:paraId="5C49EFEB" w14:textId="3F4A101A" w:rsidR="00B34708" w:rsidRPr="009D0BEA" w:rsidRDefault="00B34708" w:rsidP="00B34708">
      <w:pPr>
        <w:jc w:val="center"/>
        <w:rPr>
          <w:rFonts w:ascii="Times New Roman" w:hAnsi="Times New Roman" w:cs="Times New Roman"/>
          <w:b/>
          <w:bCs/>
          <w:sz w:val="24"/>
          <w:szCs w:val="24"/>
        </w:rPr>
      </w:pPr>
      <w:r w:rsidRPr="009D0BEA">
        <w:rPr>
          <w:rFonts w:ascii="Times New Roman" w:hAnsi="Times New Roman" w:cs="Times New Roman"/>
          <w:b/>
          <w:bCs/>
          <w:sz w:val="24"/>
          <w:szCs w:val="24"/>
        </w:rPr>
        <w:t xml:space="preserve">На поставку </w:t>
      </w:r>
      <w:r w:rsidR="009D0BEA" w:rsidRPr="009D0BEA">
        <w:rPr>
          <w:rFonts w:ascii="Times New Roman" w:hAnsi="Times New Roman" w:cs="Times New Roman"/>
          <w:b/>
          <w:bCs/>
          <w:sz w:val="24"/>
          <w:szCs w:val="24"/>
        </w:rPr>
        <w:t>горюче-смазочных материалов (ГСМ)- автомобильный бензин (АИ-92), автомобильный бензин (АИ-95), дизельное топливо</w:t>
      </w:r>
      <w:r w:rsidR="009D0BEA">
        <w:rPr>
          <w:rFonts w:ascii="Times New Roman" w:hAnsi="Times New Roman" w:cs="Times New Roman"/>
          <w:b/>
          <w:bCs/>
          <w:sz w:val="24"/>
          <w:szCs w:val="24"/>
        </w:rPr>
        <w:t xml:space="preserve"> на 2024 год</w:t>
      </w:r>
    </w:p>
    <w:tbl>
      <w:tblPr>
        <w:tblW w:w="16269"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36"/>
        <w:gridCol w:w="14033"/>
      </w:tblGrid>
      <w:tr w:rsidR="002F5A32" w:rsidRPr="002133FD" w14:paraId="01AD0ACA" w14:textId="0308BC95" w:rsidTr="000D6BF2">
        <w:trPr>
          <w:trHeight w:val="609"/>
        </w:trPr>
        <w:tc>
          <w:tcPr>
            <w:tcW w:w="2236" w:type="dxa"/>
            <w:tcBorders>
              <w:top w:val="single" w:sz="4" w:space="0" w:color="auto"/>
              <w:left w:val="single" w:sz="4" w:space="0" w:color="auto"/>
              <w:bottom w:val="single" w:sz="4" w:space="0" w:color="auto"/>
              <w:right w:val="single" w:sz="4" w:space="0" w:color="auto"/>
            </w:tcBorders>
          </w:tcPr>
          <w:p w14:paraId="48BAD54C" w14:textId="77777777" w:rsidR="002F5A32" w:rsidRPr="002133FD" w:rsidRDefault="002F5A32" w:rsidP="006E2798">
            <w:pPr>
              <w:spacing w:after="0" w:line="240" w:lineRule="auto"/>
              <w:jc w:val="both"/>
              <w:rPr>
                <w:rFonts w:ascii="Times New Roman" w:hAnsi="Times New Roman" w:cs="Times New Roman"/>
                <w:b/>
              </w:rPr>
            </w:pPr>
            <w:r w:rsidRPr="002133FD">
              <w:rPr>
                <w:rFonts w:ascii="Times New Roman" w:hAnsi="Times New Roman" w:cs="Times New Roman"/>
                <w:b/>
              </w:rPr>
              <w:t>Основные характеристики объекта закупки</w:t>
            </w:r>
          </w:p>
        </w:tc>
        <w:tc>
          <w:tcPr>
            <w:tcW w:w="14033" w:type="dxa"/>
            <w:tcBorders>
              <w:top w:val="single" w:sz="4" w:space="0" w:color="auto"/>
              <w:left w:val="single" w:sz="4" w:space="0" w:color="auto"/>
              <w:bottom w:val="single" w:sz="4" w:space="0" w:color="auto"/>
              <w:right w:val="single" w:sz="4" w:space="0" w:color="auto"/>
            </w:tcBorders>
          </w:tcPr>
          <w:p w14:paraId="4295A378" w14:textId="33A8C424" w:rsidR="002F5A32" w:rsidRPr="00265B99" w:rsidRDefault="002F5A32" w:rsidP="006E2798">
            <w:pPr>
              <w:spacing w:after="0" w:line="240" w:lineRule="auto"/>
              <w:rPr>
                <w:rFonts w:ascii="Times New Roman" w:hAnsi="Times New Roman" w:cs="Times New Roman"/>
                <w:lang w:val="en-US"/>
              </w:rPr>
            </w:pPr>
            <w:r w:rsidRPr="002133FD">
              <w:rPr>
                <w:rFonts w:ascii="Times New Roman" w:hAnsi="Times New Roman" w:cs="Times New Roman"/>
              </w:rPr>
              <w:t>Согласно</w:t>
            </w:r>
            <w:r w:rsidR="00265B99">
              <w:rPr>
                <w:rFonts w:ascii="Times New Roman" w:hAnsi="Times New Roman" w:cs="Times New Roman"/>
              </w:rPr>
              <w:t xml:space="preserve"> разделу </w:t>
            </w:r>
            <w:r w:rsidR="00265B99">
              <w:rPr>
                <w:rFonts w:ascii="Times New Roman" w:hAnsi="Times New Roman" w:cs="Times New Roman"/>
                <w:lang w:val="en-US"/>
              </w:rPr>
              <w:t>VI</w:t>
            </w:r>
            <w:r w:rsidR="00265B99">
              <w:rPr>
                <w:rFonts w:ascii="Times New Roman" w:hAnsi="Times New Roman" w:cs="Times New Roman"/>
              </w:rPr>
              <w:t xml:space="preserve"> аукционной документации</w:t>
            </w:r>
            <w:r w:rsidRPr="002133FD">
              <w:rPr>
                <w:rFonts w:ascii="Times New Roman" w:hAnsi="Times New Roman" w:cs="Times New Roman"/>
              </w:rPr>
              <w:t xml:space="preserve">. </w:t>
            </w:r>
            <w:r w:rsidR="00265B99">
              <w:rPr>
                <w:rFonts w:ascii="Times New Roman" w:hAnsi="Times New Roman" w:cs="Times New Roman"/>
              </w:rPr>
              <w:t>Техническое задание</w:t>
            </w:r>
          </w:p>
        </w:tc>
      </w:tr>
      <w:tr w:rsidR="002F5A32" w:rsidRPr="002133FD" w14:paraId="3B336450" w14:textId="4474FD20" w:rsidTr="000D6BF2">
        <w:trPr>
          <w:trHeight w:val="609"/>
        </w:trPr>
        <w:tc>
          <w:tcPr>
            <w:tcW w:w="2236" w:type="dxa"/>
            <w:tcBorders>
              <w:top w:val="single" w:sz="4" w:space="0" w:color="auto"/>
              <w:left w:val="single" w:sz="4" w:space="0" w:color="auto"/>
              <w:bottom w:val="single" w:sz="4" w:space="0" w:color="auto"/>
              <w:right w:val="single" w:sz="4" w:space="0" w:color="auto"/>
            </w:tcBorders>
          </w:tcPr>
          <w:p w14:paraId="668392D7" w14:textId="77777777" w:rsidR="002F5A32" w:rsidRPr="002133FD" w:rsidRDefault="002F5A32" w:rsidP="006E2798">
            <w:pPr>
              <w:spacing w:after="0" w:line="240" w:lineRule="auto"/>
              <w:ind w:left="57" w:right="57"/>
              <w:jc w:val="both"/>
              <w:rPr>
                <w:rFonts w:ascii="Times New Roman" w:hAnsi="Times New Roman" w:cs="Times New Roman"/>
                <w:b/>
                <w:bCs/>
              </w:rPr>
            </w:pPr>
            <w:r w:rsidRPr="002133FD">
              <w:rPr>
                <w:rFonts w:ascii="Times New Roman" w:hAnsi="Times New Roman" w:cs="Times New Roman"/>
                <w:b/>
                <w:bCs/>
              </w:rPr>
              <w:t xml:space="preserve">Используемый метод определения НМЦК </w:t>
            </w:r>
            <w:r w:rsidRPr="002133FD">
              <w:rPr>
                <w:rFonts w:ascii="Times New Roman" w:hAnsi="Times New Roman" w:cs="Times New Roman"/>
                <w:b/>
                <w:bCs/>
              </w:rPr>
              <w:br/>
              <w:t>с обоснованием:</w:t>
            </w:r>
          </w:p>
        </w:tc>
        <w:tc>
          <w:tcPr>
            <w:tcW w:w="14033" w:type="dxa"/>
            <w:tcBorders>
              <w:top w:val="single" w:sz="4" w:space="0" w:color="auto"/>
              <w:left w:val="single" w:sz="4" w:space="0" w:color="auto"/>
              <w:bottom w:val="single" w:sz="4" w:space="0" w:color="auto"/>
              <w:right w:val="single" w:sz="4" w:space="0" w:color="auto"/>
            </w:tcBorders>
            <w:vAlign w:val="center"/>
          </w:tcPr>
          <w:p w14:paraId="60A5296F" w14:textId="02051EFE" w:rsidR="002F5A32" w:rsidRPr="002133FD" w:rsidRDefault="002F5A32" w:rsidP="006E2798">
            <w:pPr>
              <w:spacing w:after="0" w:line="240" w:lineRule="auto"/>
              <w:rPr>
                <w:rFonts w:ascii="Times New Roman" w:hAnsi="Times New Roman" w:cs="Times New Roman"/>
              </w:rPr>
            </w:pPr>
            <w:r w:rsidRPr="002133FD">
              <w:rPr>
                <w:rFonts w:ascii="Times New Roman" w:hAnsi="Times New Roman" w:cs="Times New Roman"/>
              </w:rPr>
              <w:t xml:space="preserve">в </w:t>
            </w:r>
            <w:r w:rsidRPr="000B6D47">
              <w:rPr>
                <w:rFonts w:ascii="Times New Roman" w:hAnsi="Times New Roman" w:cs="Times New Roman"/>
                <w:sz w:val="24"/>
                <w:szCs w:val="24"/>
              </w:rPr>
              <w:t xml:space="preserve">соответствии </w:t>
            </w:r>
            <w:r w:rsidR="003B638A" w:rsidRPr="000B6D47">
              <w:rPr>
                <w:rFonts w:ascii="Times New Roman" w:hAnsi="Times New Roman" w:cs="Times New Roman"/>
                <w:sz w:val="24"/>
                <w:szCs w:val="24"/>
              </w:rPr>
              <w:t>с р.</w:t>
            </w:r>
            <w:r w:rsidRPr="000B6D47">
              <w:rPr>
                <w:rFonts w:ascii="Times New Roman" w:hAnsi="Times New Roman" w:cs="Times New Roman"/>
                <w:sz w:val="24"/>
                <w:szCs w:val="24"/>
              </w:rPr>
              <w:t xml:space="preserve"> 3 п.6 Положения о закупке товаров, работ, услуг для нужд ГАПОУ ПО ПКИПТ(ИТ-колледж</w:t>
            </w:r>
            <w:r w:rsidR="003B638A" w:rsidRPr="000B6D47">
              <w:rPr>
                <w:rFonts w:ascii="Times New Roman" w:hAnsi="Times New Roman" w:cs="Times New Roman"/>
                <w:sz w:val="24"/>
                <w:szCs w:val="24"/>
              </w:rPr>
              <w:t>), Федерального</w:t>
            </w:r>
            <w:r w:rsidRPr="000B6D47">
              <w:rPr>
                <w:rFonts w:ascii="Times New Roman" w:hAnsi="Times New Roman" w:cs="Times New Roman"/>
                <w:sz w:val="24"/>
                <w:szCs w:val="24"/>
              </w:rPr>
              <w:t xml:space="preserve"> закона от 18.07.2011 №223 – ФЗ «О закупках товаров, работ, услуг отдельными видами </w:t>
            </w:r>
            <w:r w:rsidR="003B638A" w:rsidRPr="000B6D47">
              <w:rPr>
                <w:rFonts w:ascii="Times New Roman" w:hAnsi="Times New Roman" w:cs="Times New Roman"/>
                <w:sz w:val="24"/>
                <w:szCs w:val="24"/>
              </w:rPr>
              <w:t>юридических лиц</w:t>
            </w:r>
            <w:r w:rsidRPr="000B6D47">
              <w:rPr>
                <w:rFonts w:ascii="Times New Roman" w:hAnsi="Times New Roman" w:cs="Times New Roman"/>
                <w:sz w:val="24"/>
                <w:szCs w:val="24"/>
              </w:rPr>
              <w:t>»</w:t>
            </w:r>
            <w:r>
              <w:rPr>
                <w:sz w:val="26"/>
              </w:rPr>
              <w:t xml:space="preserve">  </w:t>
            </w:r>
          </w:p>
        </w:tc>
      </w:tr>
      <w:tr w:rsidR="002F5A32" w:rsidRPr="002133FD" w14:paraId="0BDD4841" w14:textId="732726B8" w:rsidTr="000D6BF2">
        <w:tc>
          <w:tcPr>
            <w:tcW w:w="2236" w:type="dxa"/>
            <w:tcBorders>
              <w:top w:val="single" w:sz="4" w:space="0" w:color="auto"/>
              <w:left w:val="single" w:sz="4" w:space="0" w:color="auto"/>
              <w:bottom w:val="single" w:sz="4" w:space="0" w:color="auto"/>
              <w:right w:val="single" w:sz="4" w:space="0" w:color="auto"/>
            </w:tcBorders>
            <w:vAlign w:val="center"/>
          </w:tcPr>
          <w:p w14:paraId="3D9C1480" w14:textId="77777777" w:rsidR="002F5A32" w:rsidRPr="002133FD" w:rsidRDefault="002F5A32" w:rsidP="006E2798">
            <w:pPr>
              <w:spacing w:after="0" w:line="240" w:lineRule="auto"/>
              <w:ind w:left="57" w:right="57"/>
              <w:jc w:val="center"/>
              <w:rPr>
                <w:rFonts w:ascii="Times New Roman" w:hAnsi="Times New Roman" w:cs="Times New Roman"/>
                <w:b/>
                <w:bCs/>
              </w:rPr>
            </w:pPr>
            <w:r w:rsidRPr="002133FD">
              <w:rPr>
                <w:rFonts w:ascii="Times New Roman" w:hAnsi="Times New Roman" w:cs="Times New Roman"/>
                <w:b/>
                <w:bCs/>
              </w:rPr>
              <w:t>Расчет НМЦК</w:t>
            </w:r>
          </w:p>
        </w:tc>
        <w:tc>
          <w:tcPr>
            <w:tcW w:w="14033" w:type="dxa"/>
            <w:tcBorders>
              <w:top w:val="single" w:sz="4" w:space="0" w:color="auto"/>
              <w:left w:val="single" w:sz="4" w:space="0" w:color="auto"/>
              <w:bottom w:val="single" w:sz="4" w:space="0" w:color="auto"/>
              <w:right w:val="single" w:sz="4" w:space="0" w:color="auto"/>
            </w:tcBorders>
          </w:tcPr>
          <w:p w14:paraId="27CB3843" w14:textId="77777777" w:rsidR="002F5A32" w:rsidRPr="002133FD" w:rsidRDefault="002F5A32" w:rsidP="006E2798">
            <w:pPr>
              <w:spacing w:after="0" w:line="240" w:lineRule="auto"/>
              <w:ind w:firstLine="708"/>
              <w:jc w:val="both"/>
              <w:rPr>
                <w:rFonts w:ascii="Times New Roman" w:hAnsi="Times New Roman" w:cs="Times New Roman"/>
                <w:snapToGrid w:val="0"/>
              </w:rPr>
            </w:pPr>
            <w:r w:rsidRPr="002133FD">
              <w:rPr>
                <w:rFonts w:ascii="Times New Roman" w:hAnsi="Times New Roman" w:cs="Times New Roman"/>
              </w:rPr>
              <w:t>Для расчета начальной (максимальной) цены контракта (далее – НМЦК) заказчик провел мониторинг</w:t>
            </w:r>
            <w:r w:rsidRPr="002133FD">
              <w:rPr>
                <w:rFonts w:ascii="Times New Roman" w:hAnsi="Times New Roman" w:cs="Times New Roman"/>
                <w:snapToGrid w:val="0"/>
              </w:rPr>
              <w:t xml:space="preserve"> цен, путём изучения информации о средней стоимости услуг: </w:t>
            </w:r>
          </w:p>
          <w:tbl>
            <w:tblPr>
              <w:tblW w:w="20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264"/>
              <w:gridCol w:w="1571"/>
              <w:gridCol w:w="1552"/>
              <w:gridCol w:w="1552"/>
              <w:gridCol w:w="6657"/>
              <w:gridCol w:w="6657"/>
            </w:tblGrid>
            <w:tr w:rsidR="00186379" w:rsidRPr="002133FD" w14:paraId="57032BD5" w14:textId="77777777" w:rsidTr="00413659">
              <w:trPr>
                <w:trHeight w:val="332"/>
              </w:trPr>
              <w:tc>
                <w:tcPr>
                  <w:tcW w:w="534" w:type="dxa"/>
                  <w:vMerge w:val="restart"/>
                  <w:vAlign w:val="center"/>
                </w:tcPr>
                <w:p w14:paraId="3A3A19F0" w14:textId="77777777" w:rsidR="00186379" w:rsidRPr="002133FD" w:rsidRDefault="00186379" w:rsidP="006E2798">
                  <w:pPr>
                    <w:spacing w:after="0" w:line="240" w:lineRule="auto"/>
                    <w:jc w:val="center"/>
                    <w:rPr>
                      <w:rFonts w:ascii="Times New Roman" w:hAnsi="Times New Roman" w:cs="Times New Roman"/>
                    </w:rPr>
                  </w:pPr>
                  <w:r w:rsidRPr="002133FD">
                    <w:rPr>
                      <w:rFonts w:ascii="Times New Roman" w:hAnsi="Times New Roman" w:cs="Times New Roman"/>
                    </w:rPr>
                    <w:t>№, п/п</w:t>
                  </w:r>
                </w:p>
              </w:tc>
              <w:tc>
                <w:tcPr>
                  <w:tcW w:w="2264" w:type="dxa"/>
                  <w:vMerge w:val="restart"/>
                  <w:vAlign w:val="center"/>
                </w:tcPr>
                <w:p w14:paraId="6201DD7C" w14:textId="77777777" w:rsidR="00186379" w:rsidRPr="002133FD" w:rsidRDefault="00186379" w:rsidP="006E2798">
                  <w:pPr>
                    <w:spacing w:after="0" w:line="240" w:lineRule="auto"/>
                    <w:jc w:val="center"/>
                    <w:rPr>
                      <w:rFonts w:ascii="Times New Roman" w:hAnsi="Times New Roman" w:cs="Times New Roman"/>
                      <w:color w:val="000000"/>
                    </w:rPr>
                  </w:pPr>
                  <w:r w:rsidRPr="002133FD">
                    <w:rPr>
                      <w:rFonts w:ascii="Times New Roman" w:hAnsi="Times New Roman" w:cs="Times New Roman"/>
                      <w:color w:val="000000"/>
                    </w:rPr>
                    <w:t>Наименование</w:t>
                  </w:r>
                </w:p>
              </w:tc>
              <w:tc>
                <w:tcPr>
                  <w:tcW w:w="17989" w:type="dxa"/>
                  <w:gridSpan w:val="5"/>
                </w:tcPr>
                <w:p w14:paraId="7C9ABAF4" w14:textId="3784103E" w:rsidR="00186379" w:rsidRPr="002133FD" w:rsidRDefault="00186379" w:rsidP="00186379">
                  <w:pPr>
                    <w:spacing w:after="0" w:line="240" w:lineRule="auto"/>
                    <w:rPr>
                      <w:rFonts w:ascii="Times New Roman" w:hAnsi="Times New Roman" w:cs="Times New Roman"/>
                      <w:color w:val="000000"/>
                    </w:rPr>
                  </w:pPr>
                  <w:r w:rsidRPr="002133FD">
                    <w:rPr>
                      <w:rFonts w:ascii="Times New Roman" w:hAnsi="Times New Roman" w:cs="Times New Roman"/>
                      <w:color w:val="000000"/>
                    </w:rPr>
                    <w:t>Источники информации, руб.</w:t>
                  </w:r>
                </w:p>
              </w:tc>
            </w:tr>
            <w:tr w:rsidR="00186379" w:rsidRPr="002133FD" w14:paraId="6BC944C7" w14:textId="77777777" w:rsidTr="00186379">
              <w:trPr>
                <w:trHeight w:val="348"/>
              </w:trPr>
              <w:tc>
                <w:tcPr>
                  <w:tcW w:w="534" w:type="dxa"/>
                  <w:vMerge/>
                  <w:vAlign w:val="center"/>
                </w:tcPr>
                <w:p w14:paraId="2FB57AB3" w14:textId="77777777" w:rsidR="00186379" w:rsidRPr="002133FD" w:rsidRDefault="00186379" w:rsidP="006E2798">
                  <w:pPr>
                    <w:spacing w:after="0" w:line="240" w:lineRule="auto"/>
                    <w:jc w:val="center"/>
                    <w:rPr>
                      <w:rFonts w:ascii="Times New Roman" w:hAnsi="Times New Roman" w:cs="Times New Roman"/>
                    </w:rPr>
                  </w:pPr>
                </w:p>
              </w:tc>
              <w:tc>
                <w:tcPr>
                  <w:tcW w:w="2264" w:type="dxa"/>
                  <w:vMerge/>
                  <w:vAlign w:val="center"/>
                </w:tcPr>
                <w:p w14:paraId="6030E337" w14:textId="77777777" w:rsidR="00186379" w:rsidRPr="002133FD" w:rsidRDefault="00186379" w:rsidP="006E2798">
                  <w:pPr>
                    <w:spacing w:after="0" w:line="240" w:lineRule="auto"/>
                    <w:jc w:val="center"/>
                    <w:rPr>
                      <w:rFonts w:ascii="Times New Roman" w:hAnsi="Times New Roman" w:cs="Times New Roman"/>
                      <w:color w:val="000000"/>
                    </w:rPr>
                  </w:pPr>
                </w:p>
              </w:tc>
              <w:tc>
                <w:tcPr>
                  <w:tcW w:w="1571" w:type="dxa"/>
                  <w:vAlign w:val="center"/>
                </w:tcPr>
                <w:p w14:paraId="4E89AC0A" w14:textId="77777777" w:rsidR="00186379" w:rsidRPr="002133FD" w:rsidRDefault="00186379" w:rsidP="006E2798">
                  <w:pPr>
                    <w:spacing w:after="0" w:line="240" w:lineRule="auto"/>
                    <w:jc w:val="center"/>
                    <w:rPr>
                      <w:rFonts w:ascii="Times New Roman" w:hAnsi="Times New Roman" w:cs="Times New Roman"/>
                      <w:color w:val="000000"/>
                    </w:rPr>
                  </w:pPr>
                  <w:r w:rsidRPr="002133FD">
                    <w:rPr>
                      <w:rFonts w:ascii="Times New Roman" w:hAnsi="Times New Roman" w:cs="Times New Roman"/>
                      <w:color w:val="000000"/>
                    </w:rPr>
                    <w:t xml:space="preserve">Источник № 1 </w:t>
                  </w:r>
                </w:p>
              </w:tc>
              <w:tc>
                <w:tcPr>
                  <w:tcW w:w="1552" w:type="dxa"/>
                </w:tcPr>
                <w:p w14:paraId="0B547967" w14:textId="0D4EC9C2" w:rsidR="00186379" w:rsidRPr="002133FD" w:rsidRDefault="00186379" w:rsidP="006E2798">
                  <w:pPr>
                    <w:spacing w:after="0" w:line="240" w:lineRule="auto"/>
                    <w:jc w:val="center"/>
                    <w:rPr>
                      <w:rFonts w:ascii="Times New Roman" w:hAnsi="Times New Roman" w:cs="Times New Roman"/>
                      <w:color w:val="000000"/>
                    </w:rPr>
                  </w:pPr>
                  <w:r w:rsidRPr="002133FD">
                    <w:rPr>
                      <w:rFonts w:ascii="Times New Roman" w:hAnsi="Times New Roman" w:cs="Times New Roman"/>
                      <w:color w:val="000000"/>
                    </w:rPr>
                    <w:t xml:space="preserve">Источник № 2  </w:t>
                  </w:r>
                </w:p>
              </w:tc>
              <w:tc>
                <w:tcPr>
                  <w:tcW w:w="1552" w:type="dxa"/>
                </w:tcPr>
                <w:p w14:paraId="1299ED87" w14:textId="76D33F59" w:rsidR="00186379" w:rsidRPr="002133FD" w:rsidRDefault="00186379" w:rsidP="006E2798">
                  <w:pPr>
                    <w:spacing w:after="0" w:line="240" w:lineRule="auto"/>
                    <w:jc w:val="center"/>
                    <w:rPr>
                      <w:rFonts w:ascii="Times New Roman" w:hAnsi="Times New Roman" w:cs="Times New Roman"/>
                      <w:color w:val="000000"/>
                    </w:rPr>
                  </w:pPr>
                  <w:r>
                    <w:rPr>
                      <w:rFonts w:ascii="Times New Roman" w:hAnsi="Times New Roman" w:cs="Times New Roman"/>
                      <w:color w:val="000000"/>
                    </w:rPr>
                    <w:t>Источник № 3</w:t>
                  </w:r>
                </w:p>
              </w:tc>
              <w:tc>
                <w:tcPr>
                  <w:tcW w:w="6657" w:type="dxa"/>
                </w:tcPr>
                <w:p w14:paraId="0C759B03" w14:textId="2DEE3E91" w:rsidR="00186379" w:rsidRPr="002133FD" w:rsidRDefault="00004B54" w:rsidP="006E2798">
                  <w:pPr>
                    <w:spacing w:after="0" w:line="240" w:lineRule="auto"/>
                    <w:jc w:val="center"/>
                    <w:rPr>
                      <w:rFonts w:ascii="Times New Roman" w:hAnsi="Times New Roman" w:cs="Times New Roman"/>
                      <w:color w:val="000000"/>
                    </w:rPr>
                  </w:pPr>
                  <w:r>
                    <w:rPr>
                      <w:rFonts w:ascii="Times New Roman" w:hAnsi="Times New Roman" w:cs="Times New Roman"/>
                      <w:color w:val="000000"/>
                    </w:rPr>
                    <w:t xml:space="preserve">Средняя цена </w:t>
                  </w:r>
                </w:p>
              </w:tc>
              <w:tc>
                <w:tcPr>
                  <w:tcW w:w="6657" w:type="dxa"/>
                  <w:vAlign w:val="center"/>
                </w:tcPr>
                <w:p w14:paraId="363A0B1E" w14:textId="436B7508" w:rsidR="00186379" w:rsidRPr="002133FD" w:rsidRDefault="00186379" w:rsidP="006E2798">
                  <w:pPr>
                    <w:spacing w:after="0" w:line="240" w:lineRule="auto"/>
                    <w:jc w:val="center"/>
                    <w:rPr>
                      <w:rFonts w:ascii="Times New Roman" w:hAnsi="Times New Roman" w:cs="Times New Roman"/>
                      <w:color w:val="000000"/>
                    </w:rPr>
                  </w:pPr>
                  <w:r w:rsidRPr="002133FD">
                    <w:rPr>
                      <w:rFonts w:ascii="Times New Roman" w:hAnsi="Times New Roman" w:cs="Times New Roman"/>
                      <w:color w:val="000000"/>
                    </w:rPr>
                    <w:t xml:space="preserve">Источник № 3  </w:t>
                  </w:r>
                </w:p>
              </w:tc>
            </w:tr>
            <w:tr w:rsidR="00186379" w:rsidRPr="002133FD" w14:paraId="3E569D9A" w14:textId="77777777" w:rsidTr="00186379">
              <w:trPr>
                <w:trHeight w:val="952"/>
              </w:trPr>
              <w:tc>
                <w:tcPr>
                  <w:tcW w:w="534" w:type="dxa"/>
                  <w:vAlign w:val="center"/>
                </w:tcPr>
                <w:p w14:paraId="2360800E" w14:textId="77777777" w:rsidR="00186379" w:rsidRPr="002133FD" w:rsidRDefault="00186379" w:rsidP="006E2798">
                  <w:pPr>
                    <w:pStyle w:val="ConsPlusNormal"/>
                    <w:widowControl/>
                    <w:ind w:firstLine="0"/>
                    <w:jc w:val="center"/>
                    <w:rPr>
                      <w:rFonts w:ascii="Times New Roman" w:hAnsi="Times New Roman"/>
                      <w:szCs w:val="22"/>
                    </w:rPr>
                  </w:pPr>
                  <w:r w:rsidRPr="002133FD">
                    <w:rPr>
                      <w:rFonts w:ascii="Times New Roman" w:hAnsi="Times New Roman"/>
                      <w:szCs w:val="22"/>
                    </w:rPr>
                    <w:t>1</w:t>
                  </w:r>
                </w:p>
              </w:tc>
              <w:tc>
                <w:tcPr>
                  <w:tcW w:w="2264" w:type="dxa"/>
                  <w:vAlign w:val="center"/>
                </w:tcPr>
                <w:p w14:paraId="481D5301" w14:textId="3EE29721" w:rsidR="00186379" w:rsidRPr="009D0BEA" w:rsidRDefault="00186379" w:rsidP="006E2798">
                  <w:pPr>
                    <w:spacing w:after="0" w:line="240" w:lineRule="auto"/>
                    <w:rPr>
                      <w:rFonts w:ascii="Times New Roman" w:hAnsi="Times New Roman" w:cs="Times New Roman"/>
                      <w:b/>
                      <w:bCs/>
                    </w:rPr>
                  </w:pPr>
                  <w:r w:rsidRPr="009E6D69">
                    <w:rPr>
                      <w:rFonts w:ascii="Times New Roman" w:hAnsi="Times New Roman" w:cs="Times New Roman"/>
                      <w:bCs/>
                    </w:rPr>
                    <w:t xml:space="preserve"> </w:t>
                  </w:r>
                  <w:r w:rsidRPr="009D0BEA">
                    <w:rPr>
                      <w:rFonts w:ascii="Times New Roman" w:hAnsi="Times New Roman" w:cs="Times New Roman"/>
                      <w:b/>
                      <w:bCs/>
                    </w:rPr>
                    <w:t xml:space="preserve">автомобильный бензин (АИ-92), </w:t>
                  </w:r>
                </w:p>
              </w:tc>
              <w:tc>
                <w:tcPr>
                  <w:tcW w:w="1571" w:type="dxa"/>
                  <w:vAlign w:val="center"/>
                </w:tcPr>
                <w:p w14:paraId="280636DD" w14:textId="099F9A21" w:rsidR="00186379" w:rsidRPr="002133FD" w:rsidRDefault="00186379" w:rsidP="006E2798">
                  <w:pPr>
                    <w:spacing w:after="0" w:line="240" w:lineRule="auto"/>
                    <w:jc w:val="center"/>
                    <w:rPr>
                      <w:rFonts w:ascii="Times New Roman" w:hAnsi="Times New Roman" w:cs="Times New Roman"/>
                      <w:color w:val="000000"/>
                    </w:rPr>
                  </w:pPr>
                  <w:r>
                    <w:rPr>
                      <w:rFonts w:ascii="Times New Roman" w:hAnsi="Times New Roman" w:cs="Times New Roman"/>
                      <w:color w:val="000000"/>
                    </w:rPr>
                    <w:t>56,00*</w:t>
                  </w:r>
                  <w:r w:rsidRPr="00B41C7C">
                    <w:t>3245</w:t>
                  </w:r>
                </w:p>
              </w:tc>
              <w:tc>
                <w:tcPr>
                  <w:tcW w:w="1552" w:type="dxa"/>
                </w:tcPr>
                <w:p w14:paraId="2CD06A35" w14:textId="0F499DC8" w:rsidR="00186379" w:rsidRDefault="00186379" w:rsidP="009D0BEA">
                  <w:pPr>
                    <w:spacing w:after="0" w:line="240" w:lineRule="auto"/>
                    <w:jc w:val="center"/>
                    <w:rPr>
                      <w:rFonts w:ascii="Times New Roman" w:hAnsi="Times New Roman" w:cs="Times New Roman"/>
                    </w:rPr>
                  </w:pPr>
                  <w:r>
                    <w:rPr>
                      <w:rFonts w:ascii="Times New Roman" w:hAnsi="Times New Roman" w:cs="Times New Roman"/>
                    </w:rPr>
                    <w:t>52,80*3245</w:t>
                  </w:r>
                </w:p>
              </w:tc>
              <w:tc>
                <w:tcPr>
                  <w:tcW w:w="1552" w:type="dxa"/>
                  <w:vAlign w:val="center"/>
                </w:tcPr>
                <w:p w14:paraId="64AD0F97" w14:textId="2476769F" w:rsidR="00186379" w:rsidRPr="002133FD" w:rsidRDefault="00186379" w:rsidP="009D0BEA">
                  <w:pPr>
                    <w:spacing w:after="0" w:line="240" w:lineRule="auto"/>
                    <w:jc w:val="center"/>
                    <w:rPr>
                      <w:rFonts w:ascii="Times New Roman" w:hAnsi="Times New Roman" w:cs="Times New Roman"/>
                    </w:rPr>
                  </w:pPr>
                  <w:r>
                    <w:rPr>
                      <w:rFonts w:ascii="Times New Roman" w:hAnsi="Times New Roman" w:cs="Times New Roman"/>
                    </w:rPr>
                    <w:t>65,00*3245</w:t>
                  </w:r>
                </w:p>
              </w:tc>
              <w:tc>
                <w:tcPr>
                  <w:tcW w:w="6657" w:type="dxa"/>
                </w:tcPr>
                <w:p w14:paraId="22F7117D" w14:textId="11294A48" w:rsidR="00186379" w:rsidRPr="002133FD" w:rsidRDefault="00004B54" w:rsidP="006E2798">
                  <w:pPr>
                    <w:spacing w:after="0" w:line="240" w:lineRule="auto"/>
                    <w:jc w:val="center"/>
                    <w:rPr>
                      <w:rFonts w:ascii="Times New Roman" w:hAnsi="Times New Roman" w:cs="Times New Roman"/>
                    </w:rPr>
                  </w:pPr>
                  <w:r>
                    <w:rPr>
                      <w:rFonts w:ascii="Times New Roman" w:hAnsi="Times New Roman" w:cs="Times New Roman"/>
                    </w:rPr>
                    <w:t>57,93 *3245</w:t>
                  </w:r>
                </w:p>
              </w:tc>
              <w:tc>
                <w:tcPr>
                  <w:tcW w:w="6657" w:type="dxa"/>
                  <w:vAlign w:val="center"/>
                </w:tcPr>
                <w:p w14:paraId="5E3BFC9B" w14:textId="16C8732C" w:rsidR="00186379" w:rsidRPr="002133FD" w:rsidRDefault="00186379" w:rsidP="006E2798">
                  <w:pPr>
                    <w:spacing w:after="0" w:line="240" w:lineRule="auto"/>
                    <w:jc w:val="center"/>
                    <w:rPr>
                      <w:rFonts w:ascii="Times New Roman" w:hAnsi="Times New Roman" w:cs="Times New Roman"/>
                    </w:rPr>
                  </w:pPr>
                </w:p>
              </w:tc>
            </w:tr>
            <w:tr w:rsidR="00186379" w:rsidRPr="002133FD" w14:paraId="429D6764" w14:textId="77777777" w:rsidTr="00186379">
              <w:trPr>
                <w:trHeight w:val="952"/>
              </w:trPr>
              <w:tc>
                <w:tcPr>
                  <w:tcW w:w="534" w:type="dxa"/>
                  <w:vAlign w:val="center"/>
                </w:tcPr>
                <w:p w14:paraId="4EB764D8" w14:textId="67B5BE59" w:rsidR="00186379" w:rsidRPr="002133FD" w:rsidRDefault="00186379" w:rsidP="006E2798">
                  <w:pPr>
                    <w:pStyle w:val="ConsPlusNormal"/>
                    <w:widowControl/>
                    <w:ind w:firstLine="0"/>
                    <w:jc w:val="center"/>
                    <w:rPr>
                      <w:rFonts w:ascii="Times New Roman" w:hAnsi="Times New Roman"/>
                      <w:szCs w:val="22"/>
                    </w:rPr>
                  </w:pPr>
                  <w:r>
                    <w:rPr>
                      <w:rFonts w:ascii="Times New Roman" w:hAnsi="Times New Roman"/>
                      <w:szCs w:val="22"/>
                    </w:rPr>
                    <w:t>2</w:t>
                  </w:r>
                </w:p>
              </w:tc>
              <w:tc>
                <w:tcPr>
                  <w:tcW w:w="2264" w:type="dxa"/>
                  <w:vAlign w:val="center"/>
                </w:tcPr>
                <w:p w14:paraId="6CA49705" w14:textId="0A0918B5" w:rsidR="00186379" w:rsidRPr="009E6D69" w:rsidRDefault="00186379" w:rsidP="006E2798">
                  <w:pPr>
                    <w:spacing w:after="0" w:line="240" w:lineRule="auto"/>
                    <w:rPr>
                      <w:rFonts w:ascii="Times New Roman" w:hAnsi="Times New Roman" w:cs="Times New Roman"/>
                      <w:bCs/>
                    </w:rPr>
                  </w:pPr>
                  <w:r w:rsidRPr="009D0BEA">
                    <w:rPr>
                      <w:rFonts w:ascii="Times New Roman" w:hAnsi="Times New Roman" w:cs="Times New Roman"/>
                      <w:b/>
                      <w:bCs/>
                    </w:rPr>
                    <w:t>автомобильный бензин (АИ-95),</w:t>
                  </w:r>
                </w:p>
              </w:tc>
              <w:tc>
                <w:tcPr>
                  <w:tcW w:w="1571" w:type="dxa"/>
                  <w:vAlign w:val="center"/>
                </w:tcPr>
                <w:p w14:paraId="014291E2" w14:textId="18FF7F4E" w:rsidR="00186379" w:rsidRDefault="00186379" w:rsidP="006E2798">
                  <w:pPr>
                    <w:spacing w:after="0" w:line="240" w:lineRule="auto"/>
                    <w:jc w:val="center"/>
                    <w:rPr>
                      <w:rFonts w:ascii="Times New Roman" w:hAnsi="Times New Roman" w:cs="Times New Roman"/>
                      <w:color w:val="000000"/>
                    </w:rPr>
                  </w:pPr>
                  <w:r>
                    <w:rPr>
                      <w:rFonts w:ascii="Times New Roman" w:hAnsi="Times New Roman" w:cs="Times New Roman"/>
                      <w:color w:val="000000"/>
                    </w:rPr>
                    <w:t>65,00*</w:t>
                  </w:r>
                  <w:r w:rsidRPr="00B41C7C">
                    <w:t>1975</w:t>
                  </w:r>
                </w:p>
              </w:tc>
              <w:tc>
                <w:tcPr>
                  <w:tcW w:w="1552" w:type="dxa"/>
                </w:tcPr>
                <w:p w14:paraId="29B139E5" w14:textId="288909E4" w:rsidR="00186379" w:rsidRDefault="00186379" w:rsidP="006E2798">
                  <w:pPr>
                    <w:spacing w:after="0" w:line="240" w:lineRule="auto"/>
                    <w:jc w:val="center"/>
                    <w:rPr>
                      <w:rFonts w:ascii="Times New Roman" w:hAnsi="Times New Roman" w:cs="Times New Roman"/>
                    </w:rPr>
                  </w:pPr>
                  <w:r>
                    <w:rPr>
                      <w:rFonts w:ascii="Times New Roman" w:hAnsi="Times New Roman" w:cs="Times New Roman"/>
                    </w:rPr>
                    <w:t>49,25*1975</w:t>
                  </w:r>
                </w:p>
              </w:tc>
              <w:tc>
                <w:tcPr>
                  <w:tcW w:w="1552" w:type="dxa"/>
                  <w:vAlign w:val="center"/>
                </w:tcPr>
                <w:p w14:paraId="71E33057" w14:textId="51CE525E" w:rsidR="00186379" w:rsidRDefault="00186379" w:rsidP="006E2798">
                  <w:pPr>
                    <w:spacing w:after="0" w:line="240" w:lineRule="auto"/>
                    <w:jc w:val="center"/>
                    <w:rPr>
                      <w:rFonts w:ascii="Times New Roman" w:hAnsi="Times New Roman" w:cs="Times New Roman"/>
                    </w:rPr>
                  </w:pPr>
                  <w:r>
                    <w:rPr>
                      <w:rFonts w:ascii="Times New Roman" w:hAnsi="Times New Roman" w:cs="Times New Roman"/>
                    </w:rPr>
                    <w:t>70,00*1975</w:t>
                  </w:r>
                </w:p>
              </w:tc>
              <w:tc>
                <w:tcPr>
                  <w:tcW w:w="6657" w:type="dxa"/>
                </w:tcPr>
                <w:p w14:paraId="2CE9C8F2" w14:textId="397D1734" w:rsidR="00186379" w:rsidRDefault="00004B54" w:rsidP="006E2798">
                  <w:pPr>
                    <w:spacing w:after="0" w:line="240" w:lineRule="auto"/>
                    <w:jc w:val="center"/>
                    <w:rPr>
                      <w:rFonts w:ascii="Times New Roman" w:hAnsi="Times New Roman" w:cs="Times New Roman"/>
                    </w:rPr>
                  </w:pPr>
                  <w:r>
                    <w:rPr>
                      <w:rFonts w:ascii="Times New Roman" w:hAnsi="Times New Roman" w:cs="Times New Roman"/>
                    </w:rPr>
                    <w:t>61,41*1975</w:t>
                  </w:r>
                </w:p>
              </w:tc>
              <w:tc>
                <w:tcPr>
                  <w:tcW w:w="6657" w:type="dxa"/>
                  <w:vAlign w:val="center"/>
                </w:tcPr>
                <w:p w14:paraId="33C25E03" w14:textId="7B66AC38" w:rsidR="00186379" w:rsidRDefault="00186379" w:rsidP="006E2798">
                  <w:pPr>
                    <w:spacing w:after="0" w:line="240" w:lineRule="auto"/>
                    <w:jc w:val="center"/>
                    <w:rPr>
                      <w:rFonts w:ascii="Times New Roman" w:hAnsi="Times New Roman" w:cs="Times New Roman"/>
                    </w:rPr>
                  </w:pPr>
                </w:p>
              </w:tc>
            </w:tr>
            <w:tr w:rsidR="00186379" w:rsidRPr="002133FD" w14:paraId="6EE728BC" w14:textId="77777777" w:rsidTr="00186379">
              <w:trPr>
                <w:trHeight w:val="952"/>
              </w:trPr>
              <w:tc>
                <w:tcPr>
                  <w:tcW w:w="534" w:type="dxa"/>
                  <w:vAlign w:val="center"/>
                </w:tcPr>
                <w:p w14:paraId="4A4BDD7B" w14:textId="425451F8" w:rsidR="00186379" w:rsidRPr="002133FD" w:rsidRDefault="00186379" w:rsidP="006E2798">
                  <w:pPr>
                    <w:pStyle w:val="ConsPlusNormal"/>
                    <w:widowControl/>
                    <w:ind w:firstLine="0"/>
                    <w:jc w:val="center"/>
                    <w:rPr>
                      <w:rFonts w:ascii="Times New Roman" w:hAnsi="Times New Roman"/>
                      <w:szCs w:val="22"/>
                    </w:rPr>
                  </w:pPr>
                  <w:r>
                    <w:rPr>
                      <w:rFonts w:ascii="Times New Roman" w:hAnsi="Times New Roman"/>
                      <w:szCs w:val="22"/>
                    </w:rPr>
                    <w:t>3</w:t>
                  </w:r>
                </w:p>
              </w:tc>
              <w:tc>
                <w:tcPr>
                  <w:tcW w:w="2264" w:type="dxa"/>
                  <w:vAlign w:val="center"/>
                </w:tcPr>
                <w:p w14:paraId="5B7CA72D" w14:textId="15CCAA80" w:rsidR="00186379" w:rsidRPr="009E6D69" w:rsidRDefault="00186379" w:rsidP="006E2798">
                  <w:pPr>
                    <w:spacing w:after="0" w:line="240" w:lineRule="auto"/>
                    <w:rPr>
                      <w:rFonts w:ascii="Times New Roman" w:hAnsi="Times New Roman" w:cs="Times New Roman"/>
                      <w:bCs/>
                    </w:rPr>
                  </w:pPr>
                  <w:r w:rsidRPr="009D0BEA">
                    <w:rPr>
                      <w:rFonts w:ascii="Times New Roman" w:hAnsi="Times New Roman" w:cs="Times New Roman"/>
                      <w:b/>
                      <w:bCs/>
                    </w:rPr>
                    <w:t>дизельное топливо</w:t>
                  </w:r>
                </w:p>
              </w:tc>
              <w:tc>
                <w:tcPr>
                  <w:tcW w:w="1571" w:type="dxa"/>
                  <w:vAlign w:val="center"/>
                </w:tcPr>
                <w:p w14:paraId="58264DFA" w14:textId="0A782011" w:rsidR="00186379" w:rsidRDefault="00186379" w:rsidP="006E2798">
                  <w:pPr>
                    <w:spacing w:after="0" w:line="240" w:lineRule="auto"/>
                    <w:jc w:val="center"/>
                    <w:rPr>
                      <w:rFonts w:ascii="Times New Roman" w:hAnsi="Times New Roman" w:cs="Times New Roman"/>
                      <w:color w:val="000000"/>
                    </w:rPr>
                  </w:pPr>
                  <w:r>
                    <w:rPr>
                      <w:rFonts w:ascii="Times New Roman" w:hAnsi="Times New Roman" w:cs="Times New Roman"/>
                      <w:color w:val="000000"/>
                    </w:rPr>
                    <w:t>70,00*</w:t>
                  </w:r>
                  <w:r w:rsidRPr="00B41C7C">
                    <w:t>2037</w:t>
                  </w:r>
                </w:p>
              </w:tc>
              <w:tc>
                <w:tcPr>
                  <w:tcW w:w="1552" w:type="dxa"/>
                </w:tcPr>
                <w:p w14:paraId="13F5F9CA" w14:textId="7C0E5693" w:rsidR="00186379" w:rsidRDefault="00186379" w:rsidP="006E2798">
                  <w:pPr>
                    <w:spacing w:after="0" w:line="240" w:lineRule="auto"/>
                    <w:jc w:val="center"/>
                    <w:rPr>
                      <w:rFonts w:ascii="Times New Roman" w:hAnsi="Times New Roman" w:cs="Times New Roman"/>
                    </w:rPr>
                  </w:pPr>
                  <w:r>
                    <w:rPr>
                      <w:rFonts w:ascii="Times New Roman" w:hAnsi="Times New Roman" w:cs="Times New Roman"/>
                    </w:rPr>
                    <w:t>60,00*2037</w:t>
                  </w:r>
                </w:p>
              </w:tc>
              <w:tc>
                <w:tcPr>
                  <w:tcW w:w="1552" w:type="dxa"/>
                  <w:vAlign w:val="center"/>
                </w:tcPr>
                <w:p w14:paraId="508A477C" w14:textId="7B16CEFD" w:rsidR="00186379" w:rsidRDefault="00186379" w:rsidP="006E2798">
                  <w:pPr>
                    <w:spacing w:after="0" w:line="240" w:lineRule="auto"/>
                    <w:jc w:val="center"/>
                    <w:rPr>
                      <w:rFonts w:ascii="Times New Roman" w:hAnsi="Times New Roman" w:cs="Times New Roman"/>
                    </w:rPr>
                  </w:pPr>
                  <w:r>
                    <w:rPr>
                      <w:rFonts w:ascii="Times New Roman" w:hAnsi="Times New Roman" w:cs="Times New Roman"/>
                    </w:rPr>
                    <w:t>75,00*2037</w:t>
                  </w:r>
                </w:p>
              </w:tc>
              <w:tc>
                <w:tcPr>
                  <w:tcW w:w="6657" w:type="dxa"/>
                </w:tcPr>
                <w:p w14:paraId="580CEB3C" w14:textId="6C3FC9C3" w:rsidR="00186379" w:rsidRDefault="00004B54" w:rsidP="006E2798">
                  <w:pPr>
                    <w:spacing w:after="0" w:line="240" w:lineRule="auto"/>
                    <w:jc w:val="center"/>
                    <w:rPr>
                      <w:rFonts w:ascii="Times New Roman" w:hAnsi="Times New Roman" w:cs="Times New Roman"/>
                    </w:rPr>
                  </w:pPr>
                  <w:r>
                    <w:rPr>
                      <w:rFonts w:ascii="Times New Roman" w:hAnsi="Times New Roman" w:cs="Times New Roman"/>
                    </w:rPr>
                    <w:t>68,33*2037</w:t>
                  </w:r>
                </w:p>
              </w:tc>
              <w:tc>
                <w:tcPr>
                  <w:tcW w:w="6657" w:type="dxa"/>
                  <w:vAlign w:val="center"/>
                </w:tcPr>
                <w:p w14:paraId="63E54DD1" w14:textId="1FCEB545" w:rsidR="00186379" w:rsidRDefault="00186379" w:rsidP="006E2798">
                  <w:pPr>
                    <w:spacing w:after="0" w:line="240" w:lineRule="auto"/>
                    <w:jc w:val="center"/>
                    <w:rPr>
                      <w:rFonts w:ascii="Times New Roman" w:hAnsi="Times New Roman" w:cs="Times New Roman"/>
                    </w:rPr>
                  </w:pPr>
                </w:p>
              </w:tc>
            </w:tr>
            <w:tr w:rsidR="00186379" w:rsidRPr="002133FD" w14:paraId="3CD3CFFE" w14:textId="77777777" w:rsidTr="00186379">
              <w:trPr>
                <w:trHeight w:val="952"/>
              </w:trPr>
              <w:tc>
                <w:tcPr>
                  <w:tcW w:w="534" w:type="dxa"/>
                  <w:vAlign w:val="center"/>
                </w:tcPr>
                <w:p w14:paraId="000ABE06" w14:textId="77777777" w:rsidR="00186379" w:rsidRDefault="00186379" w:rsidP="006E2798">
                  <w:pPr>
                    <w:pStyle w:val="ConsPlusNormal"/>
                    <w:widowControl/>
                    <w:ind w:firstLine="0"/>
                    <w:jc w:val="center"/>
                    <w:rPr>
                      <w:rFonts w:ascii="Times New Roman" w:hAnsi="Times New Roman"/>
                      <w:szCs w:val="22"/>
                    </w:rPr>
                  </w:pPr>
                </w:p>
              </w:tc>
              <w:tc>
                <w:tcPr>
                  <w:tcW w:w="2264" w:type="dxa"/>
                  <w:vAlign w:val="center"/>
                </w:tcPr>
                <w:p w14:paraId="37289DA2" w14:textId="647A987B" w:rsidR="00186379" w:rsidRPr="009D0BEA" w:rsidRDefault="00186379" w:rsidP="006E2798">
                  <w:pPr>
                    <w:spacing w:after="0" w:line="240" w:lineRule="auto"/>
                    <w:rPr>
                      <w:rFonts w:ascii="Times New Roman" w:hAnsi="Times New Roman" w:cs="Times New Roman"/>
                      <w:b/>
                      <w:bCs/>
                    </w:rPr>
                  </w:pPr>
                  <w:r>
                    <w:rPr>
                      <w:rFonts w:ascii="Times New Roman" w:hAnsi="Times New Roman" w:cs="Times New Roman"/>
                      <w:b/>
                      <w:bCs/>
                    </w:rPr>
                    <w:t>Итого:</w:t>
                  </w:r>
                </w:p>
              </w:tc>
              <w:tc>
                <w:tcPr>
                  <w:tcW w:w="1571" w:type="dxa"/>
                  <w:vAlign w:val="center"/>
                </w:tcPr>
                <w:p w14:paraId="2C342533" w14:textId="6E376474" w:rsidR="00186379" w:rsidRDefault="00186379" w:rsidP="006E2798">
                  <w:pPr>
                    <w:spacing w:after="0" w:line="240" w:lineRule="auto"/>
                    <w:jc w:val="center"/>
                    <w:rPr>
                      <w:rFonts w:ascii="Times New Roman" w:hAnsi="Times New Roman" w:cs="Times New Roman"/>
                      <w:color w:val="000000"/>
                    </w:rPr>
                  </w:pPr>
                  <w:r>
                    <w:rPr>
                      <w:rFonts w:ascii="Times New Roman" w:hAnsi="Times New Roman" w:cs="Times New Roman"/>
                      <w:color w:val="000000"/>
                    </w:rPr>
                    <w:t>452685,00</w:t>
                  </w:r>
                </w:p>
              </w:tc>
              <w:tc>
                <w:tcPr>
                  <w:tcW w:w="1552" w:type="dxa"/>
                </w:tcPr>
                <w:p w14:paraId="6A0A7A80" w14:textId="5E4EC56F" w:rsidR="00186379" w:rsidRDefault="00186379" w:rsidP="006E2798">
                  <w:pPr>
                    <w:spacing w:after="0" w:line="240" w:lineRule="auto"/>
                    <w:jc w:val="center"/>
                    <w:rPr>
                      <w:rFonts w:ascii="Times New Roman" w:hAnsi="Times New Roman" w:cs="Times New Roman"/>
                    </w:rPr>
                  </w:pPr>
                  <w:r>
                    <w:rPr>
                      <w:rFonts w:ascii="Times New Roman" w:hAnsi="Times New Roman" w:cs="Times New Roman"/>
                    </w:rPr>
                    <w:t>390 824,75</w:t>
                  </w:r>
                </w:p>
              </w:tc>
              <w:tc>
                <w:tcPr>
                  <w:tcW w:w="1552" w:type="dxa"/>
                  <w:vAlign w:val="center"/>
                </w:tcPr>
                <w:p w14:paraId="6783D25E" w14:textId="1863E1D4" w:rsidR="00186379" w:rsidRDefault="002429B4" w:rsidP="006E2798">
                  <w:pPr>
                    <w:spacing w:after="0" w:line="240" w:lineRule="auto"/>
                    <w:jc w:val="center"/>
                    <w:rPr>
                      <w:rFonts w:ascii="Times New Roman" w:hAnsi="Times New Roman" w:cs="Times New Roman"/>
                    </w:rPr>
                  </w:pPr>
                  <w:r>
                    <w:rPr>
                      <w:rFonts w:ascii="Times New Roman" w:hAnsi="Times New Roman" w:cs="Times New Roman"/>
                    </w:rPr>
                    <w:t>474 950.00</w:t>
                  </w:r>
                </w:p>
              </w:tc>
              <w:tc>
                <w:tcPr>
                  <w:tcW w:w="6657" w:type="dxa"/>
                </w:tcPr>
                <w:p w14:paraId="3433F3C3" w14:textId="539FB6D2" w:rsidR="00186379" w:rsidRPr="001A4295" w:rsidRDefault="001A4295" w:rsidP="006E2798">
                  <w:pPr>
                    <w:spacing w:after="0" w:line="240" w:lineRule="auto"/>
                    <w:jc w:val="center"/>
                    <w:rPr>
                      <w:rFonts w:ascii="Times New Roman" w:hAnsi="Times New Roman" w:cs="Times New Roman"/>
                      <w:b/>
                      <w:bCs/>
                    </w:rPr>
                  </w:pPr>
                  <w:r w:rsidRPr="001A4295">
                    <w:rPr>
                      <w:rFonts w:ascii="Times New Roman" w:hAnsi="Times New Roman" w:cs="Times New Roman"/>
                      <w:b/>
                      <w:bCs/>
                    </w:rPr>
                    <w:t>448455,81</w:t>
                  </w:r>
                </w:p>
              </w:tc>
              <w:tc>
                <w:tcPr>
                  <w:tcW w:w="6657" w:type="dxa"/>
                  <w:vAlign w:val="center"/>
                </w:tcPr>
                <w:p w14:paraId="472A4CDF" w14:textId="02A94E78" w:rsidR="00186379" w:rsidRDefault="00186379" w:rsidP="006E2798">
                  <w:pPr>
                    <w:spacing w:after="0" w:line="240" w:lineRule="auto"/>
                    <w:jc w:val="center"/>
                    <w:rPr>
                      <w:rFonts w:ascii="Times New Roman" w:hAnsi="Times New Roman" w:cs="Times New Roman"/>
                    </w:rPr>
                  </w:pPr>
                </w:p>
              </w:tc>
            </w:tr>
            <w:tr w:rsidR="00186379" w:rsidRPr="002133FD" w14:paraId="637DECDE" w14:textId="77777777" w:rsidTr="003A02E1">
              <w:trPr>
                <w:trHeight w:val="278"/>
              </w:trPr>
              <w:tc>
                <w:tcPr>
                  <w:tcW w:w="20787" w:type="dxa"/>
                  <w:gridSpan w:val="7"/>
                  <w:vAlign w:val="center"/>
                </w:tcPr>
                <w:p w14:paraId="116B7BED" w14:textId="481B5316" w:rsidR="00186379" w:rsidRPr="00920651" w:rsidRDefault="00186379" w:rsidP="006E2798">
                  <w:pPr>
                    <w:spacing w:after="0" w:line="240" w:lineRule="auto"/>
                    <w:jc w:val="center"/>
                    <w:rPr>
                      <w:rFonts w:ascii="Times New Roman" w:hAnsi="Times New Roman" w:cs="Times New Roman"/>
                      <w:b/>
                      <w:bCs/>
                    </w:rPr>
                  </w:pPr>
                </w:p>
              </w:tc>
            </w:tr>
            <w:tr w:rsidR="00186379" w:rsidRPr="002133FD" w14:paraId="7CB0DC1B" w14:textId="77777777" w:rsidTr="001B5C72">
              <w:trPr>
                <w:trHeight w:val="278"/>
              </w:trPr>
              <w:tc>
                <w:tcPr>
                  <w:tcW w:w="20787" w:type="dxa"/>
                  <w:gridSpan w:val="7"/>
                </w:tcPr>
                <w:p w14:paraId="70F4DC35" w14:textId="7CC93C3C" w:rsidR="00186379" w:rsidRPr="00920651" w:rsidRDefault="00186379" w:rsidP="00186379">
                  <w:pPr>
                    <w:spacing w:after="0" w:line="240" w:lineRule="auto"/>
                    <w:rPr>
                      <w:rFonts w:ascii="Times New Roman" w:hAnsi="Times New Roman" w:cs="Times New Roman"/>
                      <w:b/>
                      <w:bCs/>
                    </w:rPr>
                  </w:pPr>
                  <w:r>
                    <w:rPr>
                      <w:rFonts w:ascii="Times New Roman" w:hAnsi="Times New Roman" w:cs="Times New Roman"/>
                      <w:b/>
                      <w:bCs/>
                    </w:rPr>
                    <w:t xml:space="preserve">Средняя цена: </w:t>
                  </w:r>
                  <w:r w:rsidR="000D6BF2">
                    <w:rPr>
                      <w:rFonts w:ascii="Times New Roman" w:hAnsi="Times New Roman" w:cs="Times New Roman"/>
                      <w:b/>
                      <w:bCs/>
                    </w:rPr>
                    <w:t>439 486,58</w:t>
                  </w:r>
                </w:p>
              </w:tc>
            </w:tr>
          </w:tbl>
          <w:p w14:paraId="27F8E595" w14:textId="77777777" w:rsidR="002F5A32" w:rsidRPr="002133FD" w:rsidRDefault="002F5A32" w:rsidP="006E2798">
            <w:pPr>
              <w:spacing w:after="0" w:line="240" w:lineRule="auto"/>
              <w:rPr>
                <w:rFonts w:ascii="Times New Roman" w:hAnsi="Times New Roman" w:cs="Times New Roman"/>
              </w:rPr>
            </w:pPr>
            <w:r w:rsidRPr="002133FD">
              <w:rPr>
                <w:rFonts w:ascii="Times New Roman" w:hAnsi="Times New Roman" w:cs="Times New Roman"/>
              </w:rPr>
              <w:t>НМЦК рассчитана по формуле:</w:t>
            </w:r>
          </w:p>
          <w:p w14:paraId="128C3CA7" w14:textId="2DF1B683" w:rsidR="002F5A32" w:rsidRPr="002133FD" w:rsidRDefault="002F5A32" w:rsidP="006E2798">
            <w:pPr>
              <w:spacing w:after="0" w:line="240" w:lineRule="auto"/>
              <w:rPr>
                <w:rFonts w:ascii="Times New Roman" w:hAnsi="Times New Roman" w:cs="Times New Roman"/>
              </w:rPr>
            </w:pPr>
            <w:r w:rsidRPr="002133FD">
              <w:rPr>
                <w:rFonts w:ascii="Times New Roman" w:hAnsi="Times New Roman" w:cs="Times New Roman"/>
                <w:noProof/>
                <w:position w:val="-24"/>
              </w:rPr>
              <w:drawing>
                <wp:inline distT="0" distB="0" distL="0" distR="0" wp14:anchorId="415D69B5" wp14:editId="6169ABD3">
                  <wp:extent cx="1952625" cy="485775"/>
                  <wp:effectExtent l="0" t="0" r="0" b="9525"/>
                  <wp:docPr id="110770962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52625" cy="485775"/>
                          </a:xfrm>
                          <a:prstGeom prst="rect">
                            <a:avLst/>
                          </a:prstGeom>
                          <a:noFill/>
                          <a:ln>
                            <a:noFill/>
                          </a:ln>
                        </pic:spPr>
                      </pic:pic>
                    </a:graphicData>
                  </a:graphic>
                </wp:inline>
              </w:drawing>
            </w:r>
          </w:p>
          <w:p w14:paraId="28FF9D00" w14:textId="77777777" w:rsidR="002F5A32" w:rsidRPr="002133FD" w:rsidRDefault="002F5A32" w:rsidP="006E2798">
            <w:pPr>
              <w:autoSpaceDE w:val="0"/>
              <w:autoSpaceDN w:val="0"/>
              <w:adjustRightInd w:val="0"/>
              <w:spacing w:after="0" w:line="240" w:lineRule="auto"/>
              <w:jc w:val="both"/>
              <w:rPr>
                <w:rFonts w:ascii="Times New Roman" w:hAnsi="Times New Roman" w:cs="Times New Roman"/>
                <w:bCs/>
                <w:i/>
              </w:rPr>
            </w:pPr>
            <w:r w:rsidRPr="002133FD">
              <w:rPr>
                <w:rFonts w:ascii="Times New Roman" w:hAnsi="Times New Roman" w:cs="Times New Roman"/>
                <w:bCs/>
                <w:i/>
              </w:rPr>
              <w:t>где:</w:t>
            </w:r>
          </w:p>
          <w:p w14:paraId="7136C3AB" w14:textId="4F9D549C" w:rsidR="002F5A32" w:rsidRPr="002133FD" w:rsidRDefault="002F5A32" w:rsidP="006E2798">
            <w:pPr>
              <w:autoSpaceDE w:val="0"/>
              <w:autoSpaceDN w:val="0"/>
              <w:adjustRightInd w:val="0"/>
              <w:spacing w:after="0" w:line="240" w:lineRule="auto"/>
              <w:jc w:val="both"/>
              <w:rPr>
                <w:rFonts w:ascii="Times New Roman" w:hAnsi="Times New Roman" w:cs="Times New Roman"/>
                <w:bCs/>
              </w:rPr>
            </w:pPr>
            <w:r w:rsidRPr="002133FD">
              <w:rPr>
                <w:rFonts w:ascii="Times New Roman" w:hAnsi="Times New Roman" w:cs="Times New Roman"/>
                <w:bCs/>
                <w:noProof/>
                <w:position w:val="-10"/>
              </w:rPr>
              <w:drawing>
                <wp:inline distT="0" distB="0" distL="0" distR="0" wp14:anchorId="37AD23B0" wp14:editId="68B3AA68">
                  <wp:extent cx="809625" cy="276225"/>
                  <wp:effectExtent l="0" t="0" r="9525" b="9525"/>
                  <wp:docPr id="121845084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09625" cy="276225"/>
                          </a:xfrm>
                          <a:prstGeom prst="rect">
                            <a:avLst/>
                          </a:prstGeom>
                          <a:noFill/>
                          <a:ln>
                            <a:noFill/>
                          </a:ln>
                        </pic:spPr>
                      </pic:pic>
                    </a:graphicData>
                  </a:graphic>
                </wp:inline>
              </w:drawing>
            </w:r>
            <w:r w:rsidRPr="002133FD">
              <w:rPr>
                <w:rFonts w:ascii="Times New Roman" w:hAnsi="Times New Roman" w:cs="Times New Roman"/>
                <w:bCs/>
              </w:rPr>
              <w:t xml:space="preserve"> - НМЦК;</w:t>
            </w:r>
          </w:p>
          <w:p w14:paraId="5CFD5993" w14:textId="77777777" w:rsidR="002F5A32" w:rsidRPr="002133FD" w:rsidRDefault="002F5A32" w:rsidP="006E2798">
            <w:pPr>
              <w:autoSpaceDE w:val="0"/>
              <w:autoSpaceDN w:val="0"/>
              <w:adjustRightInd w:val="0"/>
              <w:spacing w:after="0" w:line="240" w:lineRule="auto"/>
              <w:jc w:val="both"/>
              <w:rPr>
                <w:rFonts w:ascii="Times New Roman" w:hAnsi="Times New Roman" w:cs="Times New Roman"/>
                <w:bCs/>
              </w:rPr>
            </w:pPr>
            <w:r w:rsidRPr="002133FD">
              <w:rPr>
                <w:rFonts w:ascii="Times New Roman" w:hAnsi="Times New Roman" w:cs="Times New Roman"/>
                <w:bCs/>
              </w:rPr>
              <w:t>v - количество (объем) закупаемого товара (работы, услуги);</w:t>
            </w:r>
          </w:p>
          <w:p w14:paraId="7E625050" w14:textId="77777777" w:rsidR="002F5A32" w:rsidRPr="002133FD" w:rsidRDefault="002F5A32" w:rsidP="006E2798">
            <w:pPr>
              <w:autoSpaceDE w:val="0"/>
              <w:autoSpaceDN w:val="0"/>
              <w:adjustRightInd w:val="0"/>
              <w:spacing w:after="0" w:line="240" w:lineRule="auto"/>
              <w:jc w:val="both"/>
              <w:rPr>
                <w:rFonts w:ascii="Times New Roman" w:hAnsi="Times New Roman" w:cs="Times New Roman"/>
                <w:bCs/>
              </w:rPr>
            </w:pPr>
            <w:r w:rsidRPr="002133FD">
              <w:rPr>
                <w:rFonts w:ascii="Times New Roman" w:hAnsi="Times New Roman" w:cs="Times New Roman"/>
                <w:bCs/>
              </w:rPr>
              <w:t>n - количество значений, используемых в расчете;</w:t>
            </w:r>
          </w:p>
          <w:p w14:paraId="1CB00D31" w14:textId="77777777" w:rsidR="002F5A32" w:rsidRPr="002133FD" w:rsidRDefault="002F5A32" w:rsidP="006E2798">
            <w:pPr>
              <w:autoSpaceDE w:val="0"/>
              <w:autoSpaceDN w:val="0"/>
              <w:adjustRightInd w:val="0"/>
              <w:spacing w:after="0" w:line="240" w:lineRule="auto"/>
              <w:jc w:val="both"/>
              <w:rPr>
                <w:rFonts w:ascii="Times New Roman" w:hAnsi="Times New Roman" w:cs="Times New Roman"/>
                <w:bCs/>
              </w:rPr>
            </w:pPr>
            <w:r w:rsidRPr="002133FD">
              <w:rPr>
                <w:rFonts w:ascii="Times New Roman" w:hAnsi="Times New Roman" w:cs="Times New Roman"/>
                <w:bCs/>
              </w:rPr>
              <w:t>i - номер источника ценовой информации;</w:t>
            </w:r>
          </w:p>
          <w:p w14:paraId="28F6DBA8" w14:textId="27BFEB27" w:rsidR="002F5A32" w:rsidRDefault="002F5A32" w:rsidP="006E2798">
            <w:pPr>
              <w:autoSpaceDE w:val="0"/>
              <w:autoSpaceDN w:val="0"/>
              <w:adjustRightInd w:val="0"/>
              <w:spacing w:after="0" w:line="240" w:lineRule="auto"/>
              <w:jc w:val="both"/>
              <w:rPr>
                <w:rFonts w:ascii="Times New Roman" w:hAnsi="Times New Roman" w:cs="Times New Roman"/>
              </w:rPr>
            </w:pPr>
            <w:r w:rsidRPr="002133FD">
              <w:rPr>
                <w:rFonts w:ascii="Times New Roman" w:hAnsi="Times New Roman" w:cs="Times New Roman"/>
                <w:bCs/>
                <w:noProof/>
                <w:position w:val="-12"/>
              </w:rPr>
              <w:drawing>
                <wp:inline distT="0" distB="0" distL="0" distR="0" wp14:anchorId="083EF61A" wp14:editId="4177B0A1">
                  <wp:extent cx="180975" cy="276225"/>
                  <wp:effectExtent l="0" t="0" r="9525" b="9525"/>
                  <wp:docPr id="185009309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2133FD">
              <w:rPr>
                <w:rFonts w:ascii="Times New Roman" w:hAnsi="Times New Roman" w:cs="Times New Roman"/>
                <w:bCs/>
              </w:rPr>
              <w:t xml:space="preserve"> -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w:t>
            </w:r>
            <w:proofErr w:type="spellStart"/>
            <w:r w:rsidRPr="002133FD">
              <w:rPr>
                <w:rFonts w:ascii="Times New Roman" w:hAnsi="Times New Roman" w:cs="Times New Roman"/>
                <w:lang w:val="en-US"/>
              </w:rPr>
              <w:t>i</w:t>
            </w:r>
            <w:proofErr w:type="spellEnd"/>
            <w:r w:rsidRPr="002133FD">
              <w:rPr>
                <w:rFonts w:ascii="Times New Roman" w:hAnsi="Times New Roman" w:cs="Times New Roman"/>
              </w:rPr>
              <w:t xml:space="preserve"> равна 1.)</w:t>
            </w:r>
          </w:p>
          <w:p w14:paraId="2155811E" w14:textId="77777777" w:rsidR="002F5A32" w:rsidRPr="009E6D69" w:rsidRDefault="002F5A32" w:rsidP="006E2798">
            <w:pPr>
              <w:autoSpaceDE w:val="0"/>
              <w:autoSpaceDN w:val="0"/>
              <w:adjustRightInd w:val="0"/>
              <w:spacing w:after="0" w:line="240" w:lineRule="auto"/>
              <w:jc w:val="both"/>
              <w:rPr>
                <w:rFonts w:ascii="Times New Roman" w:hAnsi="Times New Roman" w:cs="Times New Roman"/>
              </w:rPr>
            </w:pPr>
          </w:p>
          <w:p w14:paraId="68472181" w14:textId="5E677F0E" w:rsidR="002F5A32" w:rsidRPr="002133FD" w:rsidRDefault="002F5A32" w:rsidP="006E2798">
            <w:pPr>
              <w:spacing w:after="0" w:line="240" w:lineRule="auto"/>
              <w:jc w:val="both"/>
              <w:rPr>
                <w:rFonts w:ascii="Times New Roman" w:hAnsi="Times New Roman" w:cs="Times New Roman"/>
                <w:b/>
              </w:rPr>
            </w:pPr>
            <w:r w:rsidRPr="00C932CC">
              <w:rPr>
                <w:rFonts w:ascii="Times New Roman" w:hAnsi="Times New Roman" w:cs="Times New Roman"/>
                <w:sz w:val="20"/>
                <w:szCs w:val="20"/>
              </w:rPr>
              <w:t xml:space="preserve">На основании произведенного расчета принять </w:t>
            </w:r>
            <w:r w:rsidRPr="007548CE">
              <w:rPr>
                <w:rFonts w:ascii="Times New Roman" w:hAnsi="Times New Roman" w:cs="Times New Roman"/>
                <w:sz w:val="20"/>
                <w:szCs w:val="20"/>
              </w:rPr>
              <w:t>НМЦК –</w:t>
            </w:r>
            <w:r>
              <w:rPr>
                <w:rFonts w:ascii="Times New Roman" w:hAnsi="Times New Roman" w:cs="Times New Roman"/>
                <w:sz w:val="20"/>
                <w:szCs w:val="20"/>
              </w:rPr>
              <w:t xml:space="preserve"> </w:t>
            </w:r>
            <w:r w:rsidR="009D0BEA">
              <w:rPr>
                <w:rFonts w:ascii="Times New Roman" w:hAnsi="Times New Roman" w:cs="Times New Roman"/>
                <w:sz w:val="20"/>
                <w:szCs w:val="20"/>
              </w:rPr>
              <w:t xml:space="preserve">   </w:t>
            </w:r>
            <w:r>
              <w:rPr>
                <w:rFonts w:ascii="Times New Roman" w:hAnsi="Times New Roman" w:cs="Times New Roman"/>
                <w:sz w:val="20"/>
                <w:szCs w:val="20"/>
              </w:rPr>
              <w:t xml:space="preserve"> рублей</w:t>
            </w:r>
          </w:p>
        </w:tc>
      </w:tr>
      <w:tr w:rsidR="002F5A32" w:rsidRPr="002133FD" w14:paraId="3993135F" w14:textId="286346CD" w:rsidTr="000D6BF2">
        <w:tc>
          <w:tcPr>
            <w:tcW w:w="2236" w:type="dxa"/>
            <w:tcBorders>
              <w:top w:val="single" w:sz="4" w:space="0" w:color="auto"/>
              <w:left w:val="single" w:sz="4" w:space="0" w:color="auto"/>
              <w:bottom w:val="single" w:sz="4" w:space="0" w:color="auto"/>
              <w:right w:val="single" w:sz="4" w:space="0" w:color="auto"/>
            </w:tcBorders>
            <w:vAlign w:val="center"/>
          </w:tcPr>
          <w:p w14:paraId="432998CA" w14:textId="77777777" w:rsidR="002F5A32" w:rsidRPr="002133FD" w:rsidRDefault="002F5A32" w:rsidP="006E2798">
            <w:pPr>
              <w:spacing w:after="0" w:line="240" w:lineRule="auto"/>
              <w:ind w:left="57" w:right="57"/>
              <w:jc w:val="center"/>
              <w:rPr>
                <w:rFonts w:ascii="Times New Roman" w:hAnsi="Times New Roman" w:cs="Times New Roman"/>
                <w:b/>
                <w:bCs/>
              </w:rPr>
            </w:pPr>
          </w:p>
        </w:tc>
        <w:tc>
          <w:tcPr>
            <w:tcW w:w="14033" w:type="dxa"/>
            <w:tcBorders>
              <w:top w:val="single" w:sz="4" w:space="0" w:color="auto"/>
              <w:left w:val="single" w:sz="4" w:space="0" w:color="auto"/>
              <w:bottom w:val="single" w:sz="4" w:space="0" w:color="auto"/>
              <w:right w:val="single" w:sz="4" w:space="0" w:color="auto"/>
            </w:tcBorders>
          </w:tcPr>
          <w:p w14:paraId="2DD7598C" w14:textId="77777777" w:rsidR="002F5A32" w:rsidRPr="002133FD" w:rsidRDefault="002F5A32" w:rsidP="006E2798">
            <w:pPr>
              <w:spacing w:after="0" w:line="240" w:lineRule="auto"/>
              <w:ind w:firstLine="708"/>
              <w:jc w:val="both"/>
              <w:rPr>
                <w:rFonts w:ascii="Times New Roman" w:hAnsi="Times New Roman" w:cs="Times New Roman"/>
              </w:rPr>
            </w:pPr>
          </w:p>
        </w:tc>
      </w:tr>
    </w:tbl>
    <w:p w14:paraId="5A5AF03D" w14:textId="77777777" w:rsidR="00B34708" w:rsidRPr="002133FD" w:rsidRDefault="00B34708" w:rsidP="00B34708">
      <w:pPr>
        <w:spacing w:after="0" w:line="240" w:lineRule="auto"/>
        <w:ind w:firstLine="708"/>
        <w:jc w:val="both"/>
        <w:rPr>
          <w:rFonts w:ascii="Times New Roman" w:hAnsi="Times New Roman" w:cs="Times New Roman"/>
        </w:rPr>
      </w:pPr>
    </w:p>
    <w:p w14:paraId="6DBF2DFF" w14:textId="77777777" w:rsidR="00B34708" w:rsidRPr="002133FD" w:rsidRDefault="00B34708" w:rsidP="00B34708">
      <w:pPr>
        <w:spacing w:after="0" w:line="240" w:lineRule="auto"/>
        <w:ind w:firstLine="708"/>
        <w:jc w:val="both"/>
        <w:rPr>
          <w:rFonts w:ascii="Times New Roman" w:hAnsi="Times New Roman" w:cs="Times New Roman"/>
        </w:rPr>
      </w:pPr>
      <w:r w:rsidRPr="002133FD">
        <w:rPr>
          <w:rFonts w:ascii="Times New Roman" w:hAnsi="Times New Roman" w:cs="Times New Roman"/>
        </w:rPr>
        <w:t>*Коммерческие предложения с информацией о поставщиках и их ценовых предложениях, хранятся у Заказчика.</w:t>
      </w:r>
    </w:p>
    <w:p w14:paraId="4BA6E63D" w14:textId="77777777" w:rsidR="006E5776" w:rsidRDefault="006E5776"/>
    <w:p w14:paraId="163C2E43" w14:textId="77777777" w:rsidR="00B34708" w:rsidRDefault="00B34708"/>
    <w:p w14:paraId="1AD47982" w14:textId="77777777" w:rsidR="002F5A32" w:rsidRDefault="002F5A32"/>
    <w:p w14:paraId="7646CED9" w14:textId="77777777" w:rsidR="002F5A32" w:rsidRDefault="002F5A32"/>
    <w:p w14:paraId="0ED89E7D" w14:textId="77777777" w:rsidR="002F5A32" w:rsidRDefault="002F5A32"/>
    <w:p w14:paraId="19511B7D" w14:textId="77777777" w:rsidR="002F5A32" w:rsidRDefault="002F5A32"/>
    <w:p w14:paraId="0995FC18" w14:textId="77777777" w:rsidR="002F5A32" w:rsidRDefault="002F5A32"/>
    <w:p w14:paraId="2061AFFC" w14:textId="77777777" w:rsidR="002F5A32" w:rsidRDefault="002F5A32"/>
    <w:p w14:paraId="1A4AC7CE" w14:textId="77777777" w:rsidR="002F5A32" w:rsidRDefault="002F5A32"/>
    <w:p w14:paraId="469E5C30" w14:textId="77777777" w:rsidR="002F5A32" w:rsidRDefault="002F5A32"/>
    <w:p w14:paraId="6BE1C959" w14:textId="77777777" w:rsidR="002F5A32" w:rsidRDefault="002F5A32"/>
    <w:p w14:paraId="13BD003B" w14:textId="77777777" w:rsidR="00B34708" w:rsidRPr="00B34708" w:rsidRDefault="00B34708" w:rsidP="00B34708">
      <w:pPr>
        <w:spacing w:after="0" w:line="240" w:lineRule="auto"/>
        <w:rPr>
          <w:rFonts w:ascii="Times New Roman" w:hAnsi="Times New Roman" w:cs="Times New Roman"/>
          <w:sz w:val="24"/>
          <w:szCs w:val="24"/>
        </w:rPr>
      </w:pPr>
      <w:r w:rsidRPr="00B34708">
        <w:rPr>
          <w:rFonts w:ascii="PT Sans" w:hAnsi="PT Sans" w:cs="Times New Roman"/>
          <w:color w:val="000000"/>
          <w:sz w:val="24"/>
          <w:szCs w:val="24"/>
          <w:shd w:val="clear" w:color="auto" w:fill="FFFFFF"/>
        </w:rPr>
        <w:t xml:space="preserve">Рассмотрим формулу расчета НМЦ по 223-ФЗ для метода анализа рынка. Она выглядит так: </w:t>
      </w:r>
      <w:r w:rsidRPr="00B34708">
        <w:rPr>
          <w:color w:val="000000"/>
          <w:sz w:val="24"/>
          <w:szCs w:val="24"/>
          <w:shd w:val="clear" w:color="auto" w:fill="FFFFFF"/>
        </w:rPr>
        <w:t>ν</w:t>
      </w:r>
      <w:r w:rsidRPr="00B34708">
        <w:rPr>
          <w:rFonts w:ascii="PT Sans" w:hAnsi="PT Sans" w:cs="Times New Roman"/>
          <w:color w:val="000000"/>
          <w:sz w:val="24"/>
          <w:szCs w:val="24"/>
          <w:shd w:val="clear" w:color="auto" w:fill="FFFFFF"/>
        </w:rPr>
        <w:t xml:space="preserve"> </w:t>
      </w:r>
      <w:r w:rsidRPr="00B34708">
        <w:rPr>
          <w:rFonts w:ascii="PT Sans" w:hAnsi="PT Sans" w:cs="PT Sans"/>
          <w:color w:val="000000"/>
          <w:sz w:val="24"/>
          <w:szCs w:val="24"/>
          <w:shd w:val="clear" w:color="auto" w:fill="FFFFFF"/>
        </w:rPr>
        <w:t>—</w:t>
      </w:r>
      <w:r w:rsidRPr="00B34708">
        <w:rPr>
          <w:rFonts w:ascii="PT Sans" w:hAnsi="PT Sans" w:cs="Times New Roman"/>
          <w:color w:val="000000"/>
          <w:sz w:val="24"/>
          <w:szCs w:val="24"/>
          <w:shd w:val="clear" w:color="auto" w:fill="FFFFFF"/>
        </w:rPr>
        <w:t xml:space="preserve"> </w:t>
      </w:r>
      <w:r w:rsidRPr="00B34708">
        <w:rPr>
          <w:rFonts w:ascii="PT Sans" w:hAnsi="PT Sans" w:cs="PT Sans"/>
          <w:color w:val="000000"/>
          <w:sz w:val="24"/>
          <w:szCs w:val="24"/>
          <w:shd w:val="clear" w:color="auto" w:fill="FFFFFF"/>
        </w:rPr>
        <w:t>количество</w:t>
      </w:r>
      <w:r w:rsidRPr="00B34708">
        <w:rPr>
          <w:rFonts w:ascii="PT Sans" w:hAnsi="PT Sans" w:cs="Times New Roman"/>
          <w:color w:val="000000"/>
          <w:sz w:val="24"/>
          <w:szCs w:val="24"/>
          <w:shd w:val="clear" w:color="auto" w:fill="FFFFFF"/>
        </w:rPr>
        <w:t xml:space="preserve"> (</w:t>
      </w:r>
      <w:r w:rsidRPr="00B34708">
        <w:rPr>
          <w:rFonts w:ascii="PT Sans" w:hAnsi="PT Sans" w:cs="PT Sans"/>
          <w:color w:val="000000"/>
          <w:sz w:val="24"/>
          <w:szCs w:val="24"/>
          <w:shd w:val="clear" w:color="auto" w:fill="FFFFFF"/>
        </w:rPr>
        <w:t>или</w:t>
      </w:r>
      <w:r w:rsidRPr="00B34708">
        <w:rPr>
          <w:rFonts w:ascii="PT Sans" w:hAnsi="PT Sans" w:cs="Times New Roman"/>
          <w:color w:val="000000"/>
          <w:sz w:val="24"/>
          <w:szCs w:val="24"/>
          <w:shd w:val="clear" w:color="auto" w:fill="FFFFFF"/>
        </w:rPr>
        <w:t xml:space="preserve"> </w:t>
      </w:r>
      <w:r w:rsidRPr="00B34708">
        <w:rPr>
          <w:rFonts w:ascii="PT Sans" w:hAnsi="PT Sans" w:cs="PT Sans"/>
          <w:color w:val="000000"/>
          <w:sz w:val="24"/>
          <w:szCs w:val="24"/>
          <w:shd w:val="clear" w:color="auto" w:fill="FFFFFF"/>
        </w:rPr>
        <w:t>объем</w:t>
      </w:r>
      <w:r w:rsidRPr="00B34708">
        <w:rPr>
          <w:rFonts w:ascii="PT Sans" w:hAnsi="PT Sans" w:cs="Times New Roman"/>
          <w:color w:val="000000"/>
          <w:sz w:val="24"/>
          <w:szCs w:val="24"/>
          <w:shd w:val="clear" w:color="auto" w:fill="FFFFFF"/>
        </w:rPr>
        <w:t xml:space="preserve">) </w:t>
      </w:r>
      <w:r w:rsidRPr="00B34708">
        <w:rPr>
          <w:rFonts w:ascii="PT Sans" w:hAnsi="PT Sans" w:cs="PT Sans"/>
          <w:color w:val="000000"/>
          <w:sz w:val="24"/>
          <w:szCs w:val="24"/>
          <w:shd w:val="clear" w:color="auto" w:fill="FFFFFF"/>
        </w:rPr>
        <w:t>закупаемого</w:t>
      </w:r>
      <w:r w:rsidRPr="00B34708">
        <w:rPr>
          <w:rFonts w:ascii="PT Sans" w:hAnsi="PT Sans" w:cs="Times New Roman"/>
          <w:color w:val="000000"/>
          <w:sz w:val="24"/>
          <w:szCs w:val="24"/>
          <w:shd w:val="clear" w:color="auto" w:fill="FFFFFF"/>
        </w:rPr>
        <w:t xml:space="preserve"> </w:t>
      </w:r>
      <w:r w:rsidRPr="00B34708">
        <w:rPr>
          <w:rFonts w:ascii="PT Sans" w:hAnsi="PT Sans" w:cs="PT Sans"/>
          <w:color w:val="000000"/>
          <w:sz w:val="24"/>
          <w:szCs w:val="24"/>
          <w:shd w:val="clear" w:color="auto" w:fill="FFFFFF"/>
        </w:rPr>
        <w:t>товара</w:t>
      </w:r>
      <w:r w:rsidRPr="00B34708">
        <w:rPr>
          <w:rFonts w:ascii="PT Sans" w:hAnsi="PT Sans" w:cs="Times New Roman"/>
          <w:color w:val="000000"/>
          <w:sz w:val="24"/>
          <w:szCs w:val="24"/>
          <w:shd w:val="clear" w:color="auto" w:fill="FFFFFF"/>
        </w:rPr>
        <w:t xml:space="preserve">; n </w:t>
      </w:r>
      <w:r w:rsidRPr="00B34708">
        <w:rPr>
          <w:rFonts w:ascii="PT Sans" w:hAnsi="PT Sans" w:cs="PT Sans"/>
          <w:color w:val="000000"/>
          <w:sz w:val="24"/>
          <w:szCs w:val="24"/>
          <w:shd w:val="clear" w:color="auto" w:fill="FFFFFF"/>
        </w:rPr>
        <w:t>—</w:t>
      </w:r>
      <w:r w:rsidRPr="00B34708">
        <w:rPr>
          <w:rFonts w:ascii="PT Sans" w:hAnsi="PT Sans" w:cs="Times New Roman"/>
          <w:color w:val="000000"/>
          <w:sz w:val="24"/>
          <w:szCs w:val="24"/>
          <w:shd w:val="clear" w:color="auto" w:fill="FFFFFF"/>
        </w:rPr>
        <w:t xml:space="preserve"> </w:t>
      </w:r>
      <w:r w:rsidRPr="00B34708">
        <w:rPr>
          <w:rFonts w:ascii="PT Sans" w:hAnsi="PT Sans" w:cs="PT Sans"/>
          <w:color w:val="000000"/>
          <w:sz w:val="24"/>
          <w:szCs w:val="24"/>
          <w:shd w:val="clear" w:color="auto" w:fill="FFFFFF"/>
        </w:rPr>
        <w:t>количество</w:t>
      </w:r>
      <w:r w:rsidRPr="00B34708">
        <w:rPr>
          <w:rFonts w:ascii="PT Sans" w:hAnsi="PT Sans" w:cs="Times New Roman"/>
          <w:color w:val="000000"/>
          <w:sz w:val="24"/>
          <w:szCs w:val="24"/>
          <w:shd w:val="clear" w:color="auto" w:fill="FFFFFF"/>
        </w:rPr>
        <w:t xml:space="preserve"> </w:t>
      </w:r>
      <w:r w:rsidRPr="00B34708">
        <w:rPr>
          <w:rFonts w:ascii="PT Sans" w:hAnsi="PT Sans" w:cs="PT Sans"/>
          <w:color w:val="000000"/>
          <w:sz w:val="24"/>
          <w:szCs w:val="24"/>
          <w:shd w:val="clear" w:color="auto" w:fill="FFFFFF"/>
        </w:rPr>
        <w:t>значений</w:t>
      </w:r>
      <w:r w:rsidRPr="00B34708">
        <w:rPr>
          <w:rFonts w:ascii="PT Sans" w:hAnsi="PT Sans" w:cs="Times New Roman"/>
          <w:color w:val="000000"/>
          <w:sz w:val="24"/>
          <w:szCs w:val="24"/>
          <w:shd w:val="clear" w:color="auto" w:fill="FFFFFF"/>
        </w:rPr>
        <w:t xml:space="preserve">, </w:t>
      </w:r>
      <w:r w:rsidRPr="00B34708">
        <w:rPr>
          <w:rFonts w:ascii="PT Sans" w:hAnsi="PT Sans" w:cs="PT Sans"/>
          <w:color w:val="000000"/>
          <w:sz w:val="24"/>
          <w:szCs w:val="24"/>
          <w:shd w:val="clear" w:color="auto" w:fill="FFFFFF"/>
        </w:rPr>
        <w:t>используемых</w:t>
      </w:r>
      <w:r w:rsidRPr="00B34708">
        <w:rPr>
          <w:rFonts w:ascii="PT Sans" w:hAnsi="PT Sans" w:cs="Times New Roman"/>
          <w:color w:val="000000"/>
          <w:sz w:val="24"/>
          <w:szCs w:val="24"/>
          <w:shd w:val="clear" w:color="auto" w:fill="FFFFFF"/>
        </w:rPr>
        <w:t xml:space="preserve"> </w:t>
      </w:r>
      <w:r w:rsidRPr="00B34708">
        <w:rPr>
          <w:rFonts w:ascii="PT Sans" w:hAnsi="PT Sans" w:cs="PT Sans"/>
          <w:color w:val="000000"/>
          <w:sz w:val="24"/>
          <w:szCs w:val="24"/>
          <w:shd w:val="clear" w:color="auto" w:fill="FFFFFF"/>
        </w:rPr>
        <w:t>в</w:t>
      </w:r>
      <w:r w:rsidRPr="00B34708">
        <w:rPr>
          <w:rFonts w:ascii="PT Sans" w:hAnsi="PT Sans" w:cs="Times New Roman"/>
          <w:color w:val="000000"/>
          <w:sz w:val="24"/>
          <w:szCs w:val="24"/>
          <w:shd w:val="clear" w:color="auto" w:fill="FFFFFF"/>
        </w:rPr>
        <w:t xml:space="preserve"> </w:t>
      </w:r>
      <w:r w:rsidRPr="00B34708">
        <w:rPr>
          <w:rFonts w:ascii="PT Sans" w:hAnsi="PT Sans" w:cs="PT Sans"/>
          <w:color w:val="000000"/>
          <w:sz w:val="24"/>
          <w:szCs w:val="24"/>
          <w:shd w:val="clear" w:color="auto" w:fill="FFFFFF"/>
        </w:rPr>
        <w:t>расчете</w:t>
      </w:r>
      <w:r w:rsidRPr="00B34708">
        <w:rPr>
          <w:rFonts w:ascii="PT Sans" w:hAnsi="PT Sans" w:cs="Times New Roman"/>
          <w:color w:val="000000"/>
          <w:sz w:val="24"/>
          <w:szCs w:val="24"/>
          <w:shd w:val="clear" w:color="auto" w:fill="FFFFFF"/>
        </w:rPr>
        <w:t>; i — номер источника ценовой информации. Также рассчитывается среднее квадратичное отклонение (</w:t>
      </w:r>
      <w:r w:rsidRPr="00B34708">
        <w:rPr>
          <w:color w:val="000000"/>
          <w:sz w:val="24"/>
          <w:szCs w:val="24"/>
          <w:shd w:val="clear" w:color="auto" w:fill="FFFFFF"/>
        </w:rPr>
        <w:t>σ</w:t>
      </w:r>
      <w:r w:rsidRPr="00B34708">
        <w:rPr>
          <w:rFonts w:ascii="PT Sans" w:hAnsi="PT Sans" w:cs="Times New Roman"/>
          <w:color w:val="000000"/>
          <w:sz w:val="24"/>
          <w:szCs w:val="24"/>
          <w:shd w:val="clear" w:color="auto" w:fill="FFFFFF"/>
        </w:rPr>
        <w:t xml:space="preserve">): </w:t>
      </w:r>
      <w:r w:rsidRPr="00B34708">
        <w:rPr>
          <w:rFonts w:ascii="PT Sans" w:hAnsi="PT Sans" w:cs="PT Sans"/>
          <w:color w:val="000000"/>
          <w:sz w:val="24"/>
          <w:szCs w:val="24"/>
          <w:shd w:val="clear" w:color="auto" w:fill="FFFFFF"/>
        </w:rPr>
        <w:t>Используя</w:t>
      </w:r>
      <w:r w:rsidRPr="00B34708">
        <w:rPr>
          <w:rFonts w:ascii="PT Sans" w:hAnsi="PT Sans" w:cs="Times New Roman"/>
          <w:color w:val="000000"/>
          <w:sz w:val="24"/>
          <w:szCs w:val="24"/>
          <w:shd w:val="clear" w:color="auto" w:fill="FFFFFF"/>
        </w:rPr>
        <w:t xml:space="preserve"> </w:t>
      </w:r>
      <w:r w:rsidRPr="00B34708">
        <w:rPr>
          <w:rFonts w:ascii="PT Sans" w:hAnsi="PT Sans" w:cs="PT Sans"/>
          <w:color w:val="000000"/>
          <w:sz w:val="24"/>
          <w:szCs w:val="24"/>
          <w:shd w:val="clear" w:color="auto" w:fill="FFFFFF"/>
        </w:rPr>
        <w:t>этот</w:t>
      </w:r>
      <w:r w:rsidRPr="00B34708">
        <w:rPr>
          <w:rFonts w:ascii="PT Sans" w:hAnsi="PT Sans" w:cs="Times New Roman"/>
          <w:color w:val="000000"/>
          <w:sz w:val="24"/>
          <w:szCs w:val="24"/>
          <w:shd w:val="clear" w:color="auto" w:fill="FFFFFF"/>
        </w:rPr>
        <w:t xml:space="preserve"> </w:t>
      </w:r>
      <w:r w:rsidRPr="00B34708">
        <w:rPr>
          <w:rFonts w:ascii="PT Sans" w:hAnsi="PT Sans" w:cs="PT Sans"/>
          <w:color w:val="000000"/>
          <w:sz w:val="24"/>
          <w:szCs w:val="24"/>
          <w:shd w:val="clear" w:color="auto" w:fill="FFFFFF"/>
        </w:rPr>
        <w:t>показатель</w:t>
      </w:r>
      <w:r w:rsidRPr="00B34708">
        <w:rPr>
          <w:rFonts w:ascii="PT Sans" w:hAnsi="PT Sans" w:cs="Times New Roman"/>
          <w:color w:val="000000"/>
          <w:sz w:val="24"/>
          <w:szCs w:val="24"/>
          <w:shd w:val="clear" w:color="auto" w:fill="FFFFFF"/>
        </w:rPr>
        <w:t xml:space="preserve">, </w:t>
      </w:r>
      <w:r w:rsidRPr="00B34708">
        <w:rPr>
          <w:rFonts w:ascii="PT Sans" w:hAnsi="PT Sans" w:cs="PT Sans"/>
          <w:color w:val="000000"/>
          <w:sz w:val="24"/>
          <w:szCs w:val="24"/>
          <w:shd w:val="clear" w:color="auto" w:fill="FFFFFF"/>
        </w:rPr>
        <w:t>нужно</w:t>
      </w:r>
      <w:r w:rsidRPr="00B34708">
        <w:rPr>
          <w:rFonts w:ascii="PT Sans" w:hAnsi="PT Sans" w:cs="Times New Roman"/>
          <w:color w:val="000000"/>
          <w:sz w:val="24"/>
          <w:szCs w:val="24"/>
          <w:shd w:val="clear" w:color="auto" w:fill="FFFFFF"/>
        </w:rPr>
        <w:t xml:space="preserve"> </w:t>
      </w:r>
      <w:r w:rsidRPr="00B34708">
        <w:rPr>
          <w:rFonts w:ascii="PT Sans" w:hAnsi="PT Sans" w:cs="PT Sans"/>
          <w:color w:val="000000"/>
          <w:sz w:val="24"/>
          <w:szCs w:val="24"/>
          <w:shd w:val="clear" w:color="auto" w:fill="FFFFFF"/>
        </w:rPr>
        <w:t>рассчитать</w:t>
      </w:r>
      <w:r w:rsidRPr="00B34708">
        <w:rPr>
          <w:rFonts w:ascii="PT Sans" w:hAnsi="PT Sans" w:cs="Times New Roman"/>
          <w:color w:val="000000"/>
          <w:sz w:val="24"/>
          <w:szCs w:val="24"/>
          <w:shd w:val="clear" w:color="auto" w:fill="FFFFFF"/>
        </w:rPr>
        <w:t xml:space="preserve"> </w:t>
      </w:r>
      <w:r w:rsidRPr="00B34708">
        <w:rPr>
          <w:rFonts w:ascii="PT Sans" w:hAnsi="PT Sans" w:cs="PT Sans"/>
          <w:color w:val="000000"/>
          <w:sz w:val="24"/>
          <w:szCs w:val="24"/>
          <w:shd w:val="clear" w:color="auto" w:fill="FFFFFF"/>
        </w:rPr>
        <w:t>коэффициент</w:t>
      </w:r>
      <w:r w:rsidRPr="00B34708">
        <w:rPr>
          <w:rFonts w:ascii="PT Sans" w:hAnsi="PT Sans" w:cs="Times New Roman"/>
          <w:color w:val="000000"/>
          <w:sz w:val="24"/>
          <w:szCs w:val="24"/>
          <w:shd w:val="clear" w:color="auto" w:fill="FFFFFF"/>
        </w:rPr>
        <w:t xml:space="preserve"> </w:t>
      </w:r>
      <w:r w:rsidRPr="00B34708">
        <w:rPr>
          <w:rFonts w:ascii="PT Sans" w:hAnsi="PT Sans" w:cs="PT Sans"/>
          <w:color w:val="000000"/>
          <w:sz w:val="24"/>
          <w:szCs w:val="24"/>
          <w:shd w:val="clear" w:color="auto" w:fill="FFFFFF"/>
        </w:rPr>
        <w:t>вариации</w:t>
      </w:r>
      <w:r w:rsidRPr="00B34708">
        <w:rPr>
          <w:rFonts w:ascii="PT Sans" w:hAnsi="PT Sans" w:cs="Times New Roman"/>
          <w:color w:val="000000"/>
          <w:sz w:val="24"/>
          <w:szCs w:val="24"/>
          <w:shd w:val="clear" w:color="auto" w:fill="FFFFFF"/>
        </w:rPr>
        <w:t xml:space="preserve"> </w:t>
      </w:r>
      <w:r w:rsidRPr="00B34708">
        <w:rPr>
          <w:rFonts w:ascii="PT Sans" w:hAnsi="PT Sans" w:cs="PT Sans"/>
          <w:color w:val="000000"/>
          <w:sz w:val="24"/>
          <w:szCs w:val="24"/>
          <w:shd w:val="clear" w:color="auto" w:fill="FFFFFF"/>
        </w:rPr>
        <w:t>цен</w:t>
      </w:r>
      <w:r w:rsidRPr="00B34708">
        <w:rPr>
          <w:rFonts w:ascii="PT Sans" w:hAnsi="PT Sans" w:cs="Times New Roman"/>
          <w:color w:val="000000"/>
          <w:sz w:val="24"/>
          <w:szCs w:val="24"/>
          <w:shd w:val="clear" w:color="auto" w:fill="FFFFFF"/>
        </w:rPr>
        <w:t xml:space="preserve"> </w:t>
      </w:r>
      <w:r w:rsidRPr="00B34708">
        <w:rPr>
          <w:rFonts w:ascii="PT Sans" w:hAnsi="PT Sans" w:cs="PT Sans"/>
          <w:color w:val="000000"/>
          <w:sz w:val="24"/>
          <w:szCs w:val="24"/>
          <w:shd w:val="clear" w:color="auto" w:fill="FFFFFF"/>
        </w:rPr>
        <w:t>в</w:t>
      </w:r>
      <w:r w:rsidRPr="00B34708">
        <w:rPr>
          <w:rFonts w:ascii="PT Sans" w:hAnsi="PT Sans" w:cs="Times New Roman"/>
          <w:color w:val="000000"/>
          <w:sz w:val="24"/>
          <w:szCs w:val="24"/>
          <w:shd w:val="clear" w:color="auto" w:fill="FFFFFF"/>
        </w:rPr>
        <w:t xml:space="preserve"> </w:t>
      </w:r>
      <w:r w:rsidRPr="00B34708">
        <w:rPr>
          <w:rFonts w:ascii="PT Sans" w:hAnsi="PT Sans" w:cs="PT Sans"/>
          <w:color w:val="000000"/>
          <w:sz w:val="24"/>
          <w:szCs w:val="24"/>
          <w:shd w:val="clear" w:color="auto" w:fill="FFFFFF"/>
        </w:rPr>
        <w:t>процентах</w:t>
      </w:r>
      <w:r w:rsidRPr="00B34708">
        <w:rPr>
          <w:rFonts w:ascii="PT Sans" w:hAnsi="PT Sans" w:cs="Times New Roman"/>
          <w:color w:val="000000"/>
          <w:sz w:val="24"/>
          <w:szCs w:val="24"/>
          <w:shd w:val="clear" w:color="auto" w:fill="FFFFFF"/>
        </w:rPr>
        <w:t xml:space="preserve">. </w:t>
      </w:r>
      <w:r w:rsidRPr="00B34708">
        <w:rPr>
          <w:rFonts w:ascii="PT Sans" w:hAnsi="PT Sans" w:cs="PT Sans"/>
          <w:color w:val="000000"/>
          <w:sz w:val="24"/>
          <w:szCs w:val="24"/>
          <w:shd w:val="clear" w:color="auto" w:fill="FFFFFF"/>
        </w:rPr>
        <w:t>Он</w:t>
      </w:r>
      <w:r w:rsidRPr="00B34708">
        <w:rPr>
          <w:rFonts w:ascii="PT Sans" w:hAnsi="PT Sans" w:cs="Times New Roman"/>
          <w:color w:val="000000"/>
          <w:sz w:val="24"/>
          <w:szCs w:val="24"/>
          <w:shd w:val="clear" w:color="auto" w:fill="FFFFFF"/>
        </w:rPr>
        <w:t xml:space="preserve"> </w:t>
      </w:r>
      <w:r w:rsidRPr="00B34708">
        <w:rPr>
          <w:rFonts w:ascii="PT Sans" w:hAnsi="PT Sans" w:cs="PT Sans"/>
          <w:color w:val="000000"/>
          <w:sz w:val="24"/>
          <w:szCs w:val="24"/>
          <w:shd w:val="clear" w:color="auto" w:fill="FFFFFF"/>
        </w:rPr>
        <w:t>не</w:t>
      </w:r>
      <w:r w:rsidRPr="00B34708">
        <w:rPr>
          <w:rFonts w:ascii="PT Sans" w:hAnsi="PT Sans" w:cs="Times New Roman"/>
          <w:color w:val="000000"/>
          <w:sz w:val="24"/>
          <w:szCs w:val="24"/>
          <w:shd w:val="clear" w:color="auto" w:fill="FFFFFF"/>
        </w:rPr>
        <w:t xml:space="preserve"> </w:t>
      </w:r>
      <w:r w:rsidRPr="00B34708">
        <w:rPr>
          <w:rFonts w:ascii="PT Sans" w:hAnsi="PT Sans" w:cs="PT Sans"/>
          <w:color w:val="000000"/>
          <w:sz w:val="24"/>
          <w:szCs w:val="24"/>
          <w:shd w:val="clear" w:color="auto" w:fill="FFFFFF"/>
        </w:rPr>
        <w:t>должен</w:t>
      </w:r>
      <w:r w:rsidRPr="00B34708">
        <w:rPr>
          <w:rFonts w:ascii="PT Sans" w:hAnsi="PT Sans" w:cs="Times New Roman"/>
          <w:color w:val="000000"/>
          <w:sz w:val="24"/>
          <w:szCs w:val="24"/>
          <w:shd w:val="clear" w:color="auto" w:fill="FFFFFF"/>
        </w:rPr>
        <w:t xml:space="preserve"> </w:t>
      </w:r>
      <w:r w:rsidRPr="00B34708">
        <w:rPr>
          <w:rFonts w:ascii="PT Sans" w:hAnsi="PT Sans" w:cs="PT Sans"/>
          <w:color w:val="000000"/>
          <w:sz w:val="24"/>
          <w:szCs w:val="24"/>
          <w:shd w:val="clear" w:color="auto" w:fill="FFFFFF"/>
        </w:rPr>
        <w:t>превышать</w:t>
      </w:r>
      <w:r w:rsidRPr="00B34708">
        <w:rPr>
          <w:rFonts w:ascii="PT Sans" w:hAnsi="PT Sans" w:cs="Times New Roman"/>
          <w:color w:val="000000"/>
          <w:sz w:val="24"/>
          <w:szCs w:val="24"/>
          <w:shd w:val="clear" w:color="auto" w:fill="FFFFFF"/>
        </w:rPr>
        <w:t xml:space="preserve"> 33%, </w:t>
      </w:r>
      <w:r w:rsidRPr="00B34708">
        <w:rPr>
          <w:rFonts w:ascii="PT Sans" w:hAnsi="PT Sans" w:cs="PT Sans"/>
          <w:color w:val="000000"/>
          <w:sz w:val="24"/>
          <w:szCs w:val="24"/>
          <w:shd w:val="clear" w:color="auto" w:fill="FFFFFF"/>
        </w:rPr>
        <w:t>иначе</w:t>
      </w:r>
      <w:r w:rsidRPr="00B34708">
        <w:rPr>
          <w:rFonts w:ascii="PT Sans" w:hAnsi="PT Sans" w:cs="Times New Roman"/>
          <w:color w:val="000000"/>
          <w:sz w:val="24"/>
          <w:szCs w:val="24"/>
          <w:shd w:val="clear" w:color="auto" w:fill="FFFFFF"/>
        </w:rPr>
        <w:t xml:space="preserve"> </w:t>
      </w:r>
      <w:r w:rsidRPr="00B34708">
        <w:rPr>
          <w:rFonts w:ascii="PT Sans" w:hAnsi="PT Sans" w:cs="PT Sans"/>
          <w:color w:val="000000"/>
          <w:sz w:val="24"/>
          <w:szCs w:val="24"/>
          <w:shd w:val="clear" w:color="auto" w:fill="FFFFFF"/>
        </w:rPr>
        <w:t>придется</w:t>
      </w:r>
      <w:r w:rsidRPr="00B34708">
        <w:rPr>
          <w:rFonts w:ascii="PT Sans" w:hAnsi="PT Sans" w:cs="Times New Roman"/>
          <w:color w:val="000000"/>
          <w:sz w:val="24"/>
          <w:szCs w:val="24"/>
          <w:shd w:val="clear" w:color="auto" w:fill="FFFFFF"/>
        </w:rPr>
        <w:t xml:space="preserve"> </w:t>
      </w:r>
      <w:r w:rsidRPr="00B34708">
        <w:rPr>
          <w:rFonts w:ascii="PT Sans" w:hAnsi="PT Sans" w:cs="PT Sans"/>
          <w:color w:val="000000"/>
          <w:sz w:val="24"/>
          <w:szCs w:val="24"/>
          <w:shd w:val="clear" w:color="auto" w:fill="FFFFFF"/>
        </w:rPr>
        <w:t>использовать</w:t>
      </w:r>
      <w:r w:rsidRPr="00B34708">
        <w:rPr>
          <w:rFonts w:ascii="PT Sans" w:hAnsi="PT Sans" w:cs="Times New Roman"/>
          <w:color w:val="000000"/>
          <w:sz w:val="24"/>
          <w:szCs w:val="24"/>
          <w:shd w:val="clear" w:color="auto" w:fill="FFFFFF"/>
        </w:rPr>
        <w:t xml:space="preserve"> </w:t>
      </w:r>
      <w:r w:rsidRPr="00B34708">
        <w:rPr>
          <w:rFonts w:ascii="PT Sans" w:hAnsi="PT Sans" w:cs="PT Sans"/>
          <w:color w:val="000000"/>
          <w:sz w:val="24"/>
          <w:szCs w:val="24"/>
          <w:shd w:val="clear" w:color="auto" w:fill="FFFFFF"/>
        </w:rPr>
        <w:t>другие</w:t>
      </w:r>
      <w:r w:rsidRPr="00B34708">
        <w:rPr>
          <w:rFonts w:ascii="PT Sans" w:hAnsi="PT Sans" w:cs="Times New Roman"/>
          <w:color w:val="000000"/>
          <w:sz w:val="24"/>
          <w:szCs w:val="24"/>
          <w:shd w:val="clear" w:color="auto" w:fill="FFFFFF"/>
        </w:rPr>
        <w:t xml:space="preserve"> </w:t>
      </w:r>
      <w:r w:rsidRPr="00B34708">
        <w:rPr>
          <w:rFonts w:ascii="PT Sans" w:hAnsi="PT Sans" w:cs="PT Sans"/>
          <w:color w:val="000000"/>
          <w:sz w:val="24"/>
          <w:szCs w:val="24"/>
          <w:shd w:val="clear" w:color="auto" w:fill="FFFFFF"/>
        </w:rPr>
        <w:t>цены</w:t>
      </w:r>
      <w:r w:rsidRPr="00B34708">
        <w:rPr>
          <w:rFonts w:ascii="PT Sans" w:hAnsi="PT Sans" w:cs="Times New Roman"/>
          <w:color w:val="000000"/>
          <w:sz w:val="24"/>
          <w:szCs w:val="24"/>
          <w:shd w:val="clear" w:color="auto" w:fill="FFFFFF"/>
        </w:rPr>
        <w:t xml:space="preserve">. v = </w:t>
      </w:r>
      <w:r w:rsidRPr="00B34708">
        <w:rPr>
          <w:color w:val="000000"/>
          <w:sz w:val="24"/>
          <w:szCs w:val="24"/>
          <w:shd w:val="clear" w:color="auto" w:fill="FFFFFF"/>
        </w:rPr>
        <w:t>σ</w:t>
      </w:r>
      <w:r w:rsidRPr="00B34708">
        <w:rPr>
          <w:rFonts w:ascii="PT Sans" w:hAnsi="PT Sans" w:cs="Times New Roman"/>
          <w:color w:val="000000"/>
          <w:sz w:val="24"/>
          <w:szCs w:val="24"/>
          <w:shd w:val="clear" w:color="auto" w:fill="FFFFFF"/>
        </w:rPr>
        <w:t xml:space="preserve"> ÷ (&lt;ц&gt;) × 100 Проводите расчет и готовьте обоснование за 2 минуты в сервисе Ассистент заказчика! 1. Зайдите в Ассистент в раздел «Сервисы» </w:t>
      </w:r>
      <w:r w:rsidRPr="00B34708">
        <w:rPr>
          <w:rFonts w:ascii="Cambria Math" w:hAnsi="Cambria Math" w:cs="Cambria Math"/>
          <w:color w:val="000000"/>
          <w:sz w:val="24"/>
          <w:szCs w:val="24"/>
          <w:shd w:val="clear" w:color="auto" w:fill="FFFFFF"/>
        </w:rPr>
        <w:t>↩</w:t>
      </w:r>
    </w:p>
    <w:p w14:paraId="54BE9792" w14:textId="77777777" w:rsidR="00B34708" w:rsidRPr="00B34708" w:rsidRDefault="00B34708" w:rsidP="00B34708">
      <w:pPr>
        <w:shd w:val="clear" w:color="auto" w:fill="FFFFFF"/>
        <w:spacing w:after="150" w:line="240" w:lineRule="auto"/>
        <w:rPr>
          <w:rFonts w:ascii="PT Sans" w:hAnsi="PT Sans" w:cs="Times New Roman"/>
          <w:color w:val="000000"/>
          <w:sz w:val="24"/>
          <w:szCs w:val="24"/>
        </w:rPr>
      </w:pPr>
      <w:r w:rsidRPr="00B34708">
        <w:rPr>
          <w:rFonts w:ascii="PT Sans" w:hAnsi="PT Sans" w:cs="Times New Roman"/>
          <w:color w:val="000000"/>
          <w:sz w:val="24"/>
          <w:szCs w:val="24"/>
        </w:rPr>
        <w:t>Источник: </w:t>
      </w:r>
      <w:hyperlink r:id="rId7" w:history="1">
        <w:r w:rsidRPr="00B34708">
          <w:rPr>
            <w:rFonts w:ascii="PT Sans" w:hAnsi="PT Sans" w:cs="Times New Roman"/>
            <w:color w:val="0462DD"/>
            <w:sz w:val="24"/>
            <w:szCs w:val="24"/>
            <w:u w:val="single"/>
          </w:rPr>
          <w:t>https://www.pro-goszakaz.ru/article/103267-qqq-19-m11-raschet-nmtsk-po-223-fz</w:t>
        </w:r>
      </w:hyperlink>
    </w:p>
    <w:p w14:paraId="2EC9A876" w14:textId="77777777" w:rsidR="00B34708" w:rsidRPr="00B34708" w:rsidRDefault="00B34708" w:rsidP="00B34708">
      <w:pPr>
        <w:shd w:val="clear" w:color="auto" w:fill="FFFFFF"/>
        <w:spacing w:after="150" w:line="240" w:lineRule="auto"/>
        <w:rPr>
          <w:rFonts w:ascii="PT Sans" w:hAnsi="PT Sans" w:cs="Times New Roman"/>
          <w:color w:val="000000"/>
          <w:sz w:val="24"/>
          <w:szCs w:val="24"/>
        </w:rPr>
      </w:pPr>
      <w:r w:rsidRPr="00B34708">
        <w:rPr>
          <w:rFonts w:ascii="PT Sans" w:hAnsi="PT Sans" w:cs="Times New Roman"/>
          <w:color w:val="000000"/>
          <w:sz w:val="24"/>
          <w:szCs w:val="24"/>
        </w:rPr>
        <w:t>Любое использование материалов допускается только при наличии гиперссылки</w:t>
      </w:r>
    </w:p>
    <w:p w14:paraId="670B8EB1" w14:textId="77777777" w:rsidR="0098493B" w:rsidRDefault="0098493B" w:rsidP="0098493B">
      <w:pPr>
        <w:spacing w:after="0" w:line="240" w:lineRule="auto"/>
        <w:rPr>
          <w:rFonts w:ascii="PT Sans" w:hAnsi="PT Sans"/>
          <w:color w:val="000000"/>
          <w:shd w:val="clear" w:color="auto" w:fill="FFFFFF"/>
        </w:rPr>
      </w:pPr>
      <w:r>
        <w:rPr>
          <w:rFonts w:ascii="PT Sans" w:hAnsi="PT Sans"/>
          <w:color w:val="000000"/>
          <w:shd w:val="clear" w:color="auto" w:fill="FFFFFF"/>
        </w:rPr>
        <w:t xml:space="preserve">Примеры расчета НМЦ по 223-ФЗ Рассмотрим пример расчета НМЦ договора из реальной закупки </w:t>
      </w:r>
      <w:proofErr w:type="spellStart"/>
      <w:r>
        <w:rPr>
          <w:rFonts w:ascii="PT Sans" w:hAnsi="PT Sans"/>
          <w:color w:val="000000"/>
          <w:shd w:val="clear" w:color="auto" w:fill="FFFFFF"/>
        </w:rPr>
        <w:t>медизделий</w:t>
      </w:r>
      <w:proofErr w:type="spellEnd"/>
      <w:r>
        <w:rPr>
          <w:rFonts w:ascii="PT Sans" w:hAnsi="PT Sans"/>
          <w:color w:val="000000"/>
          <w:shd w:val="clear" w:color="auto" w:fill="FFFFFF"/>
        </w:rPr>
        <w:t xml:space="preserve"> с номером извещения 31908432303. </w:t>
      </w:r>
    </w:p>
    <w:p w14:paraId="348B1D9A" w14:textId="77777777" w:rsidR="0098493B" w:rsidRDefault="0098493B" w:rsidP="0098493B">
      <w:pPr>
        <w:spacing w:after="0" w:line="240" w:lineRule="auto"/>
        <w:rPr>
          <w:rFonts w:ascii="PT Sans" w:hAnsi="PT Sans"/>
          <w:color w:val="000000"/>
          <w:shd w:val="clear" w:color="auto" w:fill="FFFFFF"/>
        </w:rPr>
      </w:pPr>
    </w:p>
    <w:p w14:paraId="63A73E99" w14:textId="77777777" w:rsidR="0098493B" w:rsidRDefault="0098493B" w:rsidP="0098493B">
      <w:pPr>
        <w:spacing w:after="0" w:line="240" w:lineRule="auto"/>
        <w:rPr>
          <w:rFonts w:ascii="PT Sans" w:hAnsi="PT Sans"/>
          <w:color w:val="000000"/>
          <w:shd w:val="clear" w:color="auto" w:fill="FFFFFF"/>
        </w:rPr>
      </w:pPr>
      <w:r>
        <w:rPr>
          <w:rFonts w:ascii="PT Sans" w:hAnsi="PT Sans"/>
          <w:color w:val="000000"/>
          <w:shd w:val="clear" w:color="auto" w:fill="FFFFFF"/>
        </w:rPr>
        <w:t xml:space="preserve">Начальная цена была рассчитана методом анализа рынка. Заказчик собрал коммерческие предложения трех поставщиков. Так выглядел расчет НМЦ договора в документации о закупке: </w:t>
      </w:r>
    </w:p>
    <w:p w14:paraId="3C2FF8B2" w14:textId="57FB6D91" w:rsidR="0098493B" w:rsidRDefault="0098493B" w:rsidP="0098493B">
      <w:pPr>
        <w:spacing w:after="0" w:line="240" w:lineRule="auto"/>
        <w:rPr>
          <w:rFonts w:ascii="Times New Roman" w:hAnsi="Times New Roman" w:cs="Times New Roman"/>
        </w:rPr>
      </w:pPr>
      <w:r>
        <w:rPr>
          <w:rFonts w:ascii="PT Sans" w:hAnsi="PT Sans"/>
          <w:color w:val="000000"/>
          <w:shd w:val="clear" w:color="auto" w:fill="FFFFFF"/>
        </w:rPr>
        <w:t xml:space="preserve">Наименование закупаемых товаров, работ, услуг Предлагаемая цена, рублей Мин. цена Кол-во </w:t>
      </w:r>
      <w:proofErr w:type="spellStart"/>
      <w:proofErr w:type="gramStart"/>
      <w:r>
        <w:rPr>
          <w:rFonts w:ascii="PT Sans" w:hAnsi="PT Sans"/>
          <w:color w:val="000000"/>
          <w:shd w:val="clear" w:color="auto" w:fill="FFFFFF"/>
        </w:rPr>
        <w:t>Ед.изм</w:t>
      </w:r>
      <w:proofErr w:type="spellEnd"/>
      <w:proofErr w:type="gramEnd"/>
      <w:r>
        <w:rPr>
          <w:rFonts w:ascii="PT Sans" w:hAnsi="PT Sans"/>
          <w:color w:val="000000"/>
          <w:shd w:val="clear" w:color="auto" w:fill="FFFFFF"/>
        </w:rPr>
        <w:t xml:space="preserve"> Н(М)ЦК </w:t>
      </w:r>
      <w:proofErr w:type="spellStart"/>
      <w:r>
        <w:rPr>
          <w:rFonts w:ascii="PT Sans" w:hAnsi="PT Sans"/>
          <w:color w:val="000000"/>
          <w:shd w:val="clear" w:color="auto" w:fill="FFFFFF"/>
        </w:rPr>
        <w:t>рын</w:t>
      </w:r>
      <w:proofErr w:type="spellEnd"/>
      <w:r>
        <w:rPr>
          <w:rFonts w:ascii="PT Sans" w:hAnsi="PT Sans"/>
          <w:color w:val="000000"/>
          <w:shd w:val="clear" w:color="auto" w:fill="FFFFFF"/>
        </w:rPr>
        <w:t xml:space="preserve"> Среднее квадратичное отклонение </w:t>
      </w:r>
      <w:proofErr w:type="spellStart"/>
      <w:r>
        <w:rPr>
          <w:rFonts w:ascii="PT Sans" w:hAnsi="PT Sans"/>
          <w:color w:val="000000"/>
          <w:shd w:val="clear" w:color="auto" w:fill="FFFFFF"/>
        </w:rPr>
        <w:t>Коэфф</w:t>
      </w:r>
      <w:proofErr w:type="spellEnd"/>
      <w:r>
        <w:rPr>
          <w:rFonts w:ascii="PT Sans" w:hAnsi="PT Sans"/>
          <w:color w:val="000000"/>
          <w:shd w:val="clear" w:color="auto" w:fill="FFFFFF"/>
        </w:rPr>
        <w:t xml:space="preserve">. вариации цен Комм. </w:t>
      </w:r>
      <w:proofErr w:type="spellStart"/>
      <w:r>
        <w:rPr>
          <w:rFonts w:ascii="PT Sans" w:hAnsi="PT Sans"/>
          <w:color w:val="000000"/>
          <w:shd w:val="clear" w:color="auto" w:fill="FFFFFF"/>
        </w:rPr>
        <w:t>предлож</w:t>
      </w:r>
      <w:proofErr w:type="spellEnd"/>
      <w:r>
        <w:rPr>
          <w:rFonts w:ascii="PT Sans" w:hAnsi="PT Sans"/>
          <w:color w:val="000000"/>
          <w:shd w:val="clear" w:color="auto" w:fill="FFFFFF"/>
        </w:rPr>
        <w:t xml:space="preserve">. №1 Комм. </w:t>
      </w:r>
      <w:proofErr w:type="spellStart"/>
      <w:r>
        <w:rPr>
          <w:rFonts w:ascii="PT Sans" w:hAnsi="PT Sans"/>
          <w:color w:val="000000"/>
          <w:shd w:val="clear" w:color="auto" w:fill="FFFFFF"/>
        </w:rPr>
        <w:t>предлож</w:t>
      </w:r>
      <w:proofErr w:type="spellEnd"/>
      <w:r>
        <w:rPr>
          <w:rFonts w:ascii="PT Sans" w:hAnsi="PT Sans"/>
          <w:color w:val="000000"/>
          <w:shd w:val="clear" w:color="auto" w:fill="FFFFFF"/>
        </w:rPr>
        <w:t xml:space="preserve">. №2 Комм. </w:t>
      </w:r>
      <w:proofErr w:type="spellStart"/>
      <w:r>
        <w:rPr>
          <w:rFonts w:ascii="PT Sans" w:hAnsi="PT Sans"/>
          <w:color w:val="000000"/>
          <w:shd w:val="clear" w:color="auto" w:fill="FFFFFF"/>
        </w:rPr>
        <w:t>предлож</w:t>
      </w:r>
      <w:proofErr w:type="spellEnd"/>
      <w:r>
        <w:rPr>
          <w:rFonts w:ascii="PT Sans" w:hAnsi="PT Sans"/>
          <w:color w:val="000000"/>
          <w:shd w:val="clear" w:color="auto" w:fill="FFFFFF"/>
        </w:rPr>
        <w:t xml:space="preserve">. №3 Компонент вертлужный (чашка) </w:t>
      </w:r>
      <w:proofErr w:type="spellStart"/>
      <w:r>
        <w:rPr>
          <w:rFonts w:ascii="PT Sans" w:hAnsi="PT Sans"/>
          <w:color w:val="000000"/>
          <w:shd w:val="clear" w:color="auto" w:fill="FFFFFF"/>
        </w:rPr>
        <w:t>Trilogy</w:t>
      </w:r>
      <w:proofErr w:type="spellEnd"/>
      <w:r>
        <w:rPr>
          <w:rFonts w:ascii="PT Sans" w:hAnsi="PT Sans"/>
          <w:color w:val="000000"/>
          <w:shd w:val="clear" w:color="auto" w:fill="FFFFFF"/>
        </w:rPr>
        <w:t xml:space="preserve"> IT 37 200,00 37 944,00 38 688,00 37 200,00 1 шт. 37 200,00 744,00 1,96% Вкладыш </w:t>
      </w:r>
      <w:proofErr w:type="spellStart"/>
      <w:r>
        <w:rPr>
          <w:rFonts w:ascii="PT Sans" w:hAnsi="PT Sans"/>
          <w:color w:val="000000"/>
          <w:shd w:val="clear" w:color="auto" w:fill="FFFFFF"/>
        </w:rPr>
        <w:t>Longevity</w:t>
      </w:r>
      <w:proofErr w:type="spellEnd"/>
      <w:r>
        <w:rPr>
          <w:rFonts w:ascii="PT Sans" w:hAnsi="PT Sans"/>
          <w:color w:val="000000"/>
          <w:shd w:val="clear" w:color="auto" w:fill="FFFFFF"/>
        </w:rPr>
        <w:t xml:space="preserve"> 16 800,00 17 136,00 17 472,00 16 800,00 1 шт. 16 800,00 336,00 1,96% Головка бедренная металлическая 12/14 конус (</w:t>
      </w:r>
      <w:proofErr w:type="spellStart"/>
      <w:r>
        <w:rPr>
          <w:rFonts w:ascii="PT Sans" w:hAnsi="PT Sans"/>
          <w:color w:val="000000"/>
          <w:shd w:val="clear" w:color="auto" w:fill="FFFFFF"/>
        </w:rPr>
        <w:t>Версис</w:t>
      </w:r>
      <w:proofErr w:type="spellEnd"/>
      <w:r>
        <w:rPr>
          <w:rFonts w:ascii="PT Sans" w:hAnsi="PT Sans"/>
          <w:color w:val="000000"/>
          <w:shd w:val="clear" w:color="auto" w:fill="FFFFFF"/>
        </w:rPr>
        <w:t>) 15 200,00 15 504,00 15 808,00 15 200,00 1 шт. 15 200,00 304,00 1,96% Ножка Авенир Мюллер 47 300,00 48 246,00 49 192,00 47 300,00 1 шт. 47 300,00 946,00 1,96% Итого             116 500,00  </w:t>
      </w:r>
    </w:p>
    <w:p w14:paraId="17649717" w14:textId="77777777" w:rsidR="0098493B" w:rsidRDefault="0098493B" w:rsidP="0098493B">
      <w:pPr>
        <w:pStyle w:val="a4"/>
        <w:shd w:val="clear" w:color="auto" w:fill="FFFFFF"/>
        <w:spacing w:before="0" w:beforeAutospacing="0" w:after="150" w:afterAutospacing="0"/>
        <w:rPr>
          <w:rFonts w:ascii="PT Sans" w:hAnsi="PT Sans"/>
          <w:color w:val="000000"/>
        </w:rPr>
      </w:pPr>
      <w:r>
        <w:rPr>
          <w:rFonts w:ascii="PT Sans" w:hAnsi="PT Sans"/>
          <w:color w:val="000000"/>
        </w:rPr>
        <w:t>Источник: </w:t>
      </w:r>
      <w:hyperlink r:id="rId8" w:history="1">
        <w:r>
          <w:rPr>
            <w:rStyle w:val="a5"/>
            <w:rFonts w:ascii="PT Sans" w:hAnsi="PT Sans"/>
            <w:color w:val="0462DD"/>
          </w:rPr>
          <w:t>https://www.pro-goszakaz.ru/article/103267-raschet-nmtsk-po-223-fz</w:t>
        </w:r>
      </w:hyperlink>
    </w:p>
    <w:p w14:paraId="0904F958" w14:textId="77777777" w:rsidR="0098493B" w:rsidRDefault="0098493B" w:rsidP="0098493B">
      <w:pPr>
        <w:pStyle w:val="a4"/>
        <w:shd w:val="clear" w:color="auto" w:fill="FFFFFF"/>
        <w:spacing w:before="0" w:beforeAutospacing="0" w:after="150" w:afterAutospacing="0"/>
        <w:rPr>
          <w:rFonts w:ascii="PT Sans" w:hAnsi="PT Sans"/>
          <w:color w:val="000000"/>
        </w:rPr>
      </w:pPr>
      <w:r>
        <w:rPr>
          <w:rFonts w:ascii="PT Sans" w:hAnsi="PT Sans"/>
          <w:color w:val="000000"/>
        </w:rPr>
        <w:t>Любое использование материалов допускается только при наличии гиперссылки</w:t>
      </w:r>
    </w:p>
    <w:p w14:paraId="06C34221" w14:textId="77777777" w:rsidR="0098493B" w:rsidRDefault="0098493B" w:rsidP="0098493B">
      <w:pPr>
        <w:spacing w:after="0" w:line="240" w:lineRule="auto"/>
        <w:rPr>
          <w:rFonts w:ascii="Times New Roman" w:hAnsi="Times New Roman" w:cs="Times New Roman"/>
        </w:rPr>
      </w:pPr>
      <w:r>
        <w:rPr>
          <w:rFonts w:ascii="PT Sans" w:hAnsi="PT Sans"/>
          <w:color w:val="000000"/>
          <w:shd w:val="clear" w:color="auto" w:fill="FFFFFF"/>
        </w:rPr>
        <w:t xml:space="preserve">Расчет НМЦ договора по 223-ФЗ: административная </w:t>
      </w:r>
      <w:proofErr w:type="gramStart"/>
      <w:r>
        <w:rPr>
          <w:rFonts w:ascii="PT Sans" w:hAnsi="PT Sans"/>
          <w:color w:val="000000"/>
          <w:shd w:val="clear" w:color="auto" w:fill="FFFFFF"/>
        </w:rPr>
        <w:t>практика</w:t>
      </w:r>
      <w:proofErr w:type="gramEnd"/>
      <w:r>
        <w:rPr>
          <w:rFonts w:ascii="PT Sans" w:hAnsi="PT Sans"/>
          <w:color w:val="000000"/>
          <w:shd w:val="clear" w:color="auto" w:fill="FFFFFF"/>
        </w:rPr>
        <w:t xml:space="preserve"> Даже если в расчетах заказчика есть нарушения, в ФАС могут не обратить на этой внимания, поскольку закон не обязывает обосновывать цену. Так произошло в следующем примере из практики (решение Управления Федеральной антимонопольной службы по Новосибирской области от 06.09.2019 по делу №054/01/18.1-1699/2019). Одна из частных охранных организаций пожаловалась на заказчика, проводившего запрос котировок в электронной форме на оказание услуг по охране общественного порядка на объекте. НМЦ договора составила 1,5 млн руб. Автору жалобы не понравилось, что в документации не было обоснования начальной цены договора. Он сослался п. 7 ч. 10 ст. 4 223-ФЗ. Там говорится, что в документации о конкурентной закупке должен быть указан порядок формирования цены договора. Действительно, это требование закона. Но порядок формирования цены и ее обоснование — разные вещи. Также автор жалобы указал на Стандарт осуществления закупочной деятельности отдельных видов юридических лиц. В п. 2 разд. 3 этого документа говорится, что в ЕИС кроме обязательной информации может также размещаться дополнительная, публикация которой предусмотрена положением о закупке. К ней, в том числе, относят обоснование начальной (максимальной) цены договора. Однако в нашем случае в положении заказчика ничего не говорилось об обязанности включать в документацию обоснование цены. Наконец, участник сослался на приказ Минэкономразвития России от 02.10.2013 № 567. В п. 2.1 этого документа сказано, что обоснование НМЦК заключается в выполнении расчета указанной цены с приложением справочной информации и документов либо с указанием реквизитов документов, на основании которых выполнен расчет. Из этого автор жалобы заключил, что котировочная документация не отвечает требованиям. Но и тут оказался не прав. НПА применяется к закупкам по 44-ФЗ. Также участник нашел </w:t>
      </w:r>
      <w:r>
        <w:rPr>
          <w:rFonts w:ascii="PT Sans" w:hAnsi="PT Sans"/>
          <w:color w:val="000000"/>
          <w:shd w:val="clear" w:color="auto" w:fill="FFFFFF"/>
        </w:rPr>
        <w:lastRenderedPageBreak/>
        <w:t>нарушения при ценообразовании. По расчетам заказчика, размер фонда заработной платы охранной организации на оплату труда работников составляет с учетом оплаты страховых взносов 30,2%, — 18 358,2 руб. на одного человека. В котировочной документации сказано, что охранять объект нужно 24 часа в сутки, включая выходные и праздничные дни. То есть график полностью исключает выходные для охранников. При этом работать они должны три месяца подряд. Тогда как по ТК РФ продолжительность еженедельного непрерывного отдыха не может быть менее 42 часов. Общее количество охранников должно быть как минимум 36 человек (при графике работы «сутки через двое»). По мнению автора жалобы, учитывая минимальное количество человек для охраны, минимальная цена (только на выплату заработной платы охранникам и оплату страховых взносов) должна рассчитываться так: 18 358,2 * 36 (человек) * 3 (месяца) = 1 982 685,6 руб. То есть указанная в котировочной документации цена не является рыночной. Согласившись на нее, исполнитель понесет убытки. В итоге исполнение контракта будет возможно только путем занижения налогооблагаемой базы, а это нарушение законодательства. Но в итоге жалобу признали необоснованной. В ФАС указали на то, что 223-ФЗ не обязывает заказчиков обосновывать начальную цену. Доводы о неверном ценообразовании ведомство не убедили.</w:t>
      </w:r>
    </w:p>
    <w:p w14:paraId="0BCCAAEE" w14:textId="77777777" w:rsidR="0098493B" w:rsidRDefault="0098493B" w:rsidP="0098493B">
      <w:pPr>
        <w:pStyle w:val="a4"/>
        <w:shd w:val="clear" w:color="auto" w:fill="FFFFFF"/>
        <w:spacing w:before="0" w:beforeAutospacing="0" w:after="150" w:afterAutospacing="0"/>
        <w:rPr>
          <w:rFonts w:ascii="PT Sans" w:hAnsi="PT Sans"/>
          <w:color w:val="000000"/>
        </w:rPr>
      </w:pPr>
      <w:r>
        <w:rPr>
          <w:rFonts w:ascii="PT Sans" w:hAnsi="PT Sans"/>
          <w:color w:val="000000"/>
        </w:rPr>
        <w:t>Источник: </w:t>
      </w:r>
      <w:hyperlink r:id="rId9" w:history="1">
        <w:r>
          <w:rPr>
            <w:rStyle w:val="a5"/>
            <w:rFonts w:ascii="PT Sans" w:hAnsi="PT Sans"/>
            <w:color w:val="0462DD"/>
          </w:rPr>
          <w:t>https://www.pro-goszakaz.ru/article/103267-raschet-nmtsk-po-223-fz</w:t>
        </w:r>
      </w:hyperlink>
    </w:p>
    <w:p w14:paraId="45C6361E" w14:textId="77777777" w:rsidR="0098493B" w:rsidRDefault="0098493B" w:rsidP="0098493B">
      <w:pPr>
        <w:pStyle w:val="a4"/>
        <w:shd w:val="clear" w:color="auto" w:fill="FFFFFF"/>
        <w:spacing w:before="0" w:beforeAutospacing="0" w:after="150" w:afterAutospacing="0"/>
        <w:rPr>
          <w:rFonts w:ascii="PT Sans" w:hAnsi="PT Sans"/>
          <w:color w:val="000000"/>
        </w:rPr>
      </w:pPr>
      <w:r>
        <w:rPr>
          <w:rFonts w:ascii="PT Sans" w:hAnsi="PT Sans"/>
          <w:color w:val="000000"/>
        </w:rPr>
        <w:t>Любое использование материалов допускается только при наличии гиперссылки</w:t>
      </w:r>
    </w:p>
    <w:p w14:paraId="7214851D" w14:textId="77777777" w:rsidR="00B34708" w:rsidRDefault="00B34708"/>
    <w:sectPr w:rsidR="00B34708" w:rsidSect="000B6D47">
      <w:pgSz w:w="16838" w:h="11906" w:orient="landscape"/>
      <w:pgMar w:top="1134" w:right="567" w:bottom="567"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PT Sans">
    <w:charset w:val="CC"/>
    <w:family w:val="swiss"/>
    <w:pitch w:val="variable"/>
    <w:sig w:usb0="A00002EF" w:usb1="5000204B" w:usb2="00000000" w:usb3="00000000" w:csb0="00000097"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D59"/>
    <w:rsid w:val="00004B54"/>
    <w:rsid w:val="000B6D47"/>
    <w:rsid w:val="000D6BF2"/>
    <w:rsid w:val="00186379"/>
    <w:rsid w:val="001A4295"/>
    <w:rsid w:val="002429B4"/>
    <w:rsid w:val="00265B99"/>
    <w:rsid w:val="002F5A32"/>
    <w:rsid w:val="003B638A"/>
    <w:rsid w:val="00586A82"/>
    <w:rsid w:val="006E5776"/>
    <w:rsid w:val="0098493B"/>
    <w:rsid w:val="009D0BEA"/>
    <w:rsid w:val="00B34708"/>
    <w:rsid w:val="00CA7457"/>
    <w:rsid w:val="00DA6D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9D0AD"/>
  <w15:chartTrackingRefBased/>
  <w15:docId w15:val="{44A603FA-C90F-430E-B4CF-6FDCC97CB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4708"/>
    <w:pPr>
      <w:spacing w:after="200" w:line="276" w:lineRule="auto"/>
    </w:pPr>
    <w:rPr>
      <w:rFonts w:ascii="Calibri" w:eastAsia="Times New Roman" w:hAnsi="Calibri" w:cs="Calibri"/>
      <w:kern w:val="0"/>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34708"/>
    <w:pPr>
      <w:widowControl w:val="0"/>
      <w:autoSpaceDE w:val="0"/>
      <w:autoSpaceDN w:val="0"/>
      <w:adjustRightInd w:val="0"/>
      <w:spacing w:after="0" w:line="240" w:lineRule="auto"/>
      <w:ind w:firstLine="720"/>
    </w:pPr>
    <w:rPr>
      <w:rFonts w:ascii="Arial" w:eastAsia="Times New Roman" w:hAnsi="Arial" w:cs="Times New Roman"/>
      <w:kern w:val="0"/>
      <w:szCs w:val="20"/>
      <w:lang w:eastAsia="ru-RU"/>
      <w14:ligatures w14:val="none"/>
    </w:rPr>
  </w:style>
  <w:style w:type="character" w:customStyle="1" w:styleId="ConsPlusNormal0">
    <w:name w:val="ConsPlusNormal Знак"/>
    <w:link w:val="ConsPlusNormal"/>
    <w:locked/>
    <w:rsid w:val="00B34708"/>
    <w:rPr>
      <w:rFonts w:ascii="Arial" w:eastAsia="Times New Roman" w:hAnsi="Arial" w:cs="Times New Roman"/>
      <w:kern w:val="0"/>
      <w:szCs w:val="20"/>
      <w:lang w:eastAsia="ru-RU"/>
      <w14:ligatures w14:val="none"/>
    </w:rPr>
  </w:style>
  <w:style w:type="paragraph" w:customStyle="1" w:styleId="Style2">
    <w:name w:val="Style2"/>
    <w:basedOn w:val="a"/>
    <w:uiPriority w:val="99"/>
    <w:rsid w:val="00B34708"/>
    <w:pPr>
      <w:widowControl w:val="0"/>
      <w:autoSpaceDE w:val="0"/>
      <w:autoSpaceDN w:val="0"/>
      <w:adjustRightInd w:val="0"/>
      <w:spacing w:after="0" w:line="322" w:lineRule="exact"/>
      <w:ind w:firstLine="1867"/>
    </w:pPr>
    <w:rPr>
      <w:rFonts w:ascii="Times New Roman" w:hAnsi="Times New Roman" w:cs="Times New Roman"/>
      <w:sz w:val="24"/>
      <w:szCs w:val="24"/>
    </w:rPr>
  </w:style>
  <w:style w:type="character" w:customStyle="1" w:styleId="FontStyle12">
    <w:name w:val="Font Style12"/>
    <w:uiPriority w:val="99"/>
    <w:rsid w:val="00B34708"/>
    <w:rPr>
      <w:rFonts w:ascii="Times New Roman" w:hAnsi="Times New Roman" w:cs="Times New Roman" w:hint="default"/>
      <w:b/>
      <w:bCs/>
      <w:spacing w:val="10"/>
      <w:sz w:val="24"/>
      <w:szCs w:val="24"/>
    </w:rPr>
  </w:style>
  <w:style w:type="paragraph" w:styleId="a3">
    <w:name w:val="No Spacing"/>
    <w:uiPriority w:val="1"/>
    <w:qFormat/>
    <w:rsid w:val="00B34708"/>
    <w:pPr>
      <w:spacing w:after="0" w:line="240" w:lineRule="auto"/>
    </w:pPr>
    <w:rPr>
      <w:rFonts w:ascii="Calibri" w:eastAsia="Times New Roman" w:hAnsi="Calibri" w:cs="Calibri"/>
      <w:kern w:val="0"/>
      <w:lang w:eastAsia="ru-RU"/>
      <w14:ligatures w14:val="none"/>
    </w:rPr>
  </w:style>
  <w:style w:type="paragraph" w:styleId="a4">
    <w:name w:val="Normal (Web)"/>
    <w:basedOn w:val="a"/>
    <w:uiPriority w:val="99"/>
    <w:semiHidden/>
    <w:unhideWhenUsed/>
    <w:rsid w:val="00B34708"/>
    <w:pPr>
      <w:spacing w:before="100" w:beforeAutospacing="1" w:after="100" w:afterAutospacing="1" w:line="240" w:lineRule="auto"/>
    </w:pPr>
    <w:rPr>
      <w:rFonts w:ascii="Times New Roman" w:hAnsi="Times New Roman" w:cs="Times New Roman"/>
      <w:sz w:val="24"/>
      <w:szCs w:val="24"/>
    </w:rPr>
  </w:style>
  <w:style w:type="character" w:styleId="a5">
    <w:name w:val="Hyperlink"/>
    <w:basedOn w:val="a0"/>
    <w:uiPriority w:val="99"/>
    <w:semiHidden/>
    <w:unhideWhenUsed/>
    <w:rsid w:val="00B3470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250976">
      <w:bodyDiv w:val="1"/>
      <w:marLeft w:val="0"/>
      <w:marRight w:val="0"/>
      <w:marTop w:val="0"/>
      <w:marBottom w:val="0"/>
      <w:divBdr>
        <w:top w:val="none" w:sz="0" w:space="0" w:color="auto"/>
        <w:left w:val="none" w:sz="0" w:space="0" w:color="auto"/>
        <w:bottom w:val="none" w:sz="0" w:space="0" w:color="auto"/>
        <w:right w:val="none" w:sz="0" w:space="0" w:color="auto"/>
      </w:divBdr>
    </w:div>
    <w:div w:id="1631667710">
      <w:bodyDiv w:val="1"/>
      <w:marLeft w:val="0"/>
      <w:marRight w:val="0"/>
      <w:marTop w:val="0"/>
      <w:marBottom w:val="0"/>
      <w:divBdr>
        <w:top w:val="none" w:sz="0" w:space="0" w:color="auto"/>
        <w:left w:val="none" w:sz="0" w:space="0" w:color="auto"/>
        <w:bottom w:val="none" w:sz="0" w:space="0" w:color="auto"/>
        <w:right w:val="none" w:sz="0" w:space="0" w:color="auto"/>
      </w:divBdr>
    </w:div>
    <w:div w:id="1938513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o-goszakaz.ru/article/103267-raschet-nmtsk-po-223-fz" TargetMode="External"/><Relationship Id="rId3" Type="http://schemas.openxmlformats.org/officeDocument/2006/relationships/webSettings" Target="webSettings.xml"/><Relationship Id="rId7" Type="http://schemas.openxmlformats.org/officeDocument/2006/relationships/hyperlink" Target="https://www.pro-goszakaz.ru/article/103267-qqq-19-m11-raschet-nmtsk-po-223-f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theme" Target="theme/theme1.xml"/><Relationship Id="rId5" Type="http://schemas.openxmlformats.org/officeDocument/2006/relationships/image" Target="media/image2.wmf"/><Relationship Id="rId10" Type="http://schemas.openxmlformats.org/officeDocument/2006/relationships/fontTable" Target="fontTable.xml"/><Relationship Id="rId4" Type="http://schemas.openxmlformats.org/officeDocument/2006/relationships/image" Target="media/image1.wmf"/><Relationship Id="rId9" Type="http://schemas.openxmlformats.org/officeDocument/2006/relationships/hyperlink" Target="https://www.pro-goszakaz.ru/article/103267-raschet-nmtsk-po-223-f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4</Pages>
  <Words>1123</Words>
  <Characters>6403</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Лагуткина Юлия</dc:creator>
  <cp:keywords/>
  <dc:description/>
  <cp:lastModifiedBy>Лагуткина Юлия</cp:lastModifiedBy>
  <cp:revision>14</cp:revision>
  <cp:lastPrinted>2023-08-25T11:37:00Z</cp:lastPrinted>
  <dcterms:created xsi:type="dcterms:W3CDTF">2023-08-25T11:04:00Z</dcterms:created>
  <dcterms:modified xsi:type="dcterms:W3CDTF">2023-11-29T07:59:00Z</dcterms:modified>
</cp:coreProperties>
</file>