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jc w:val="center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Техническое задание </w:t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639"/>
        <w:jc w:val="center"/>
        <w:spacing w:before="0" w:beforeAutospacing="0" w:after="0" w:afterAutospacing="0"/>
      </w:pPr>
      <w:r>
        <w:rPr>
          <w:b/>
          <w:sz w:val="22"/>
          <w:szCs w:val="22"/>
        </w:rPr>
        <w:t xml:space="preserve">на </w:t>
      </w:r>
      <w:bookmarkStart w:id="0" w:name="_Hlk150874013"/>
      <w:r>
        <w:rPr>
          <w:b/>
          <w:bCs/>
          <w:color w:val="000000"/>
          <w:sz w:val="22"/>
          <w:szCs w:val="22"/>
        </w:rPr>
        <w:t xml:space="preserve">выполнение работ по устройство пола из керамогранитных плит</w:t>
      </w:r>
      <w:bookmarkEnd w:id="0"/>
      <w:r/>
    </w:p>
    <w:p>
      <w:pPr>
        <w:pStyle w:val="628"/>
        <w:spacing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628"/>
        <w:jc w:val="both"/>
        <w:spacing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1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.Наименование выполняемых работ: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выполнение работ по устройство пола из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керамогранитных плит</w:t>
      </w:r>
      <w:r>
        <w:rPr>
          <w:rFonts w:ascii="Times New Roman" w:hAnsi="Times New Roman"/>
          <w:color w:val="000000"/>
          <w:sz w:val="22"/>
          <w:szCs w:val="22"/>
        </w:rPr>
        <w:t xml:space="preserve">.</w:t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2.Виды выполняемых работ: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2.1.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Подрядчик своими силами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выполняет: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1. Устройство сухой стяжки. Работы выполняются из материалов Подрядчика.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2. И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з материалов Заказчика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, указанных в п. 2.3. Технического задания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 выполняет укладку  напольного покрытия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 из керамогранита</w:t>
      </w:r>
      <w:r>
        <w:t xml:space="preserve">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Размеры, площади помещения указаны в прилагаемом плане на нежилое строение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2.2. </w:t>
      </w:r>
      <w:r>
        <w:rPr>
          <w:rFonts w:ascii="Times New Roman" w:hAnsi="Times New Roman" w:eastAsia="SimSun"/>
          <w:bCs/>
          <w:sz w:val="22"/>
          <w:szCs w:val="22"/>
          <w:highlight w:val="yellow"/>
          <w:lang w:eastAsia="hi-IN" w:bidi="hi-IN"/>
        </w:rPr>
        <w:t xml:space="preserve">В НМЦД включены стоимость выполнения работ по устройству сухой стяжки ( с материалами ) и работа по укладке плитки ( без материала ).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spacing w:line="276" w:lineRule="auto"/>
        <w:rPr>
          <w:rFonts w:ascii="Times New Roman" w:hAnsi="Times New Roman" w:eastAsia="SimSun"/>
          <w:b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2.3. 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Материалы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, которые представляет 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 Заказчик: 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</w:r>
    </w:p>
    <w:p>
      <w:pPr>
        <w:pStyle w:val="628"/>
        <w:numPr>
          <w:ilvl w:val="0"/>
          <w:numId w:val="3"/>
        </w:num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Керамогранит DARIO 60х120 матовый (1,44 кв.м, NR201): 276.48 кв.м.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numPr>
          <w:ilvl w:val="0"/>
          <w:numId w:val="3"/>
        </w:num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плинтус МОНТЕ ТИБЕРИО обрезной 60х9,5: 135 шт.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numPr>
          <w:ilvl w:val="0"/>
          <w:numId w:val="3"/>
        </w:numPr>
        <w:spacing w:after="0"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плиточный клей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2.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4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. Перечень выполняемых работ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50"/>
        <w:gridCol w:w="716"/>
        <w:gridCol w:w="896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Наименование работ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Кол-во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Устройство стяжки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Выравнивание поверхностей бетонных и цементных оснований устройством сухой стяжки толщиной  до 9 см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кв.м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218,5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Укладка плитки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Очистка поверхности от мусора, грязи, пыли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Кв.м.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254,0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Заделка мелких трещин, сколов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кв.м.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35,5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Грунтование стяжки (обеспыливание)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кв.м.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254,0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Устройство покрытий из плит керамогранитных методом «шов в шов» размером: 120х60 см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Кв.м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254,0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widowControl/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Устройство плинтусов: из плит керамогранитных высотой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100 мм.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70,0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Затирка швов керамогранита затиркой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кв.м.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254,0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Очистка поверхности от остатков клея и затирки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dxa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Кв. м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254,0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628"/>
        <w:spacing w:after="0" w:line="276" w:lineRule="auto"/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  <w:t xml:space="preserve">2.</w:t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  <w:t xml:space="preserve">. Требования к выполняемым работам: </w:t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r>
    </w:p>
    <w:p>
      <w:pPr>
        <w:pStyle w:val="628"/>
        <w:spacing w:after="0"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Подрядчик должен соблюдать технологию укладки пола из керамогранитных плит.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Основание должно быть чистым;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Тип швов: с открытым швом;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выполнение разметки помещения;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Подрядчик осуществляет выравнивание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существующей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штрабы для укладки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лотков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сантехнических сетей и сетей электроснабжения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Подрядчик должен сообщить заказчику о наличии тональных, калибровочных и прочих дефектах керамики;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- обращать внимание на существующие или потенциальные проблемы структуры поверхности, подготовленной под укладку;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- работать в соответствии с установленными требованиями: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- укладывать согласно предусмотренному типу раскладки;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- вести укладку в едином направлении;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- соблюдать заданную ширину швов;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spacing w:after="0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Уровень пола по факту укладки плитки должен быть в один уровень на всей площади помещения;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628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поверхность после укладки плитки должна быть ровной,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плитки должны находится на одном уровне,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не допускается наличие вздутий, сколов, трещин.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3. Место выполнения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 работ</w:t>
      </w:r>
      <w:r>
        <w:rPr>
          <w:rFonts w:ascii="Times New Roman" w:hAnsi="Times New Roman"/>
          <w:b/>
          <w:sz w:val="22"/>
          <w:szCs w:val="22"/>
        </w:rPr>
        <w:t xml:space="preserve">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Style w:val="640"/>
          <w:rFonts w:ascii="Times New Roman" w:hAnsi="Times New Roman"/>
          <w:sz w:val="22"/>
          <w:szCs w:val="22"/>
        </w:rPr>
        <w:t xml:space="preserve">Республика Башкортостан, г. Уфа, пр. Октября, 132/3, Литера А7 (2-</w:t>
      </w:r>
      <w:r>
        <w:rPr>
          <w:rStyle w:val="640"/>
          <w:rFonts w:ascii="Times New Roman" w:hAnsi="Times New Roman"/>
          <w:sz w:val="22"/>
          <w:szCs w:val="22"/>
        </w:rPr>
        <w:t xml:space="preserve">й этаж)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4. Срок выполнения работ</w:t>
      </w:r>
      <w:r>
        <w:rPr>
          <w:rFonts w:ascii="Times New Roman" w:hAnsi="Times New Roman"/>
          <w:b/>
          <w:sz w:val="22"/>
          <w:szCs w:val="22"/>
        </w:rPr>
        <w:t xml:space="preserve">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с момента передачи объекта Заказчиком и выплаты аванса в размере 50%:</w:t>
      </w:r>
      <w:r>
        <w:rPr>
          <w:rFonts w:ascii="Times New Roman" w:hAnsi="Times New Roman"/>
          <w:bCs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- на устройство сухой стяжки: 3 (три) календарных дней;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на укладку плитки: 7 (семь) календарных дней </w:t>
      </w:r>
      <w:r>
        <w:rPr>
          <w:rFonts w:ascii="Times New Roman" w:hAnsi="Times New Roman"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Подрядчик приступает к работам после согласования и утверждения с Заказчиком плана </w:t>
      </w:r>
      <w:r>
        <w:rPr>
          <w:rFonts w:ascii="Times New Roman" w:hAnsi="Times New Roman"/>
          <w:sz w:val="22"/>
          <w:szCs w:val="22"/>
        </w:rPr>
        <w:t xml:space="preserve">графика </w:t>
      </w:r>
      <w:r>
        <w:rPr>
          <w:rFonts w:ascii="Times New Roman" w:hAnsi="Times New Roman"/>
          <w:sz w:val="22"/>
          <w:szCs w:val="22"/>
        </w:rPr>
        <w:t xml:space="preserve">выполнения работ.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 w:eastAsia="Times New Roman"/>
          <w:sz w:val="22"/>
          <w:szCs w:val="22"/>
          <w:lang w:eastAsia="ru-RU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4.1. Подрядчик не позднее</w:t>
      </w:r>
      <w:r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 xml:space="preserve">-х рабочих дней от даты заключения договора предоставляет Заказчику: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- утвержденный план график выполнения работ;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- копию приказа о назначении ответственного за проведение работ и соблюдение требований пожарной безопасности, охраны окружающей среды;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- список машин и оборудования необходимых в производстве работ;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список сотрудников необходимых для выполнения данных видов работ (</w:t>
      </w:r>
      <w:r>
        <w:rPr>
          <w:rFonts w:ascii="Times New Roman" w:hAnsi="Times New Roman" w:eastAsia="Times New Roman"/>
          <w:sz w:val="22"/>
          <w:szCs w:val="22"/>
        </w:rPr>
        <w:t xml:space="preserve">допуск работников Подрядчика на территорию учреждения).</w:t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 w:eastAsia="SimSun"/>
          <w:b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5. Общие требования к выполнению работ: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.1. В установленные сроки Подрядчик должен приступить к вып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олнению работ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согласно условиям Договора, настоящего Технического задания.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.2. Проводимые работы не должны наносить вред имуществу Заказчика. В ходе выполнения работ Подрядчик проводит ремонтно-восстановительные работы поврежденного имущества за счет собственных средств.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.3. Запрещается загромождать на объекте эвакуационные пути и выходы, в т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4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Выполнение работ Подрядчиком не должно подвергать угрозе здор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Привлекаемый к работе персонал должен иметь квалификацию для выполнения данных видов работ, ответственность за привлекаемый к работе персонал несет Подрядчик;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6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Ответственность за наличие, исправность и правильное применение на объектах необходимых средств защиты, инструмента, инвентаря и приспособлений несет Подрядчик;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7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В случае возникновения претензий к персоналу Подрядчика независимо от их характера, со стор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оны третьих лиц, Заказчик не несет по ним никакой ответственности. В случае возникновения обоснованной претензии к персоналу Подрядчика, Заказчик имеет право дать указание Подрядчику на отстранение от участия в работах по Договору такого лица (группы лиц).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8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</w:t>
      </w:r>
      <w:r>
        <w:rPr>
          <w:rFonts w:ascii="Times New Roman" w:hAnsi="Times New Roman"/>
          <w:sz w:val="22"/>
          <w:szCs w:val="22"/>
          <w:lang w:eastAsia="ru-RU"/>
        </w:rPr>
        <w:t xml:space="preserve">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</w:t>
      </w:r>
      <w:r>
        <w:rPr>
          <w:rFonts w:ascii="Times New Roman" w:hAnsi="Times New Roman"/>
          <w:sz w:val="22"/>
          <w:szCs w:val="22"/>
          <w:lang w:eastAsia="ru-RU"/>
        </w:rPr>
        <w:t xml:space="preserve">зации или лицо его заменяющее. Организация строительной площадки должна обеспечить безопасность труда работающих на всех этапах производства работ. Перед началом производства необходимо провести инструктаж о методах работ, последовательности их выполнения.</w:t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5</w:t>
      </w:r>
      <w:r>
        <w:rPr>
          <w:rFonts w:ascii="Times New Roman" w:hAnsi="Times New Roman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  <w:lang w:eastAsia="ru-RU"/>
        </w:rPr>
        <w:t xml:space="preserve">9</w:t>
      </w:r>
      <w:r>
        <w:rPr>
          <w:rFonts w:ascii="Times New Roman" w:hAnsi="Times New Roman"/>
          <w:sz w:val="22"/>
          <w:szCs w:val="22"/>
          <w:lang w:eastAsia="ru-RU"/>
        </w:rPr>
        <w:t xml:space="preserve">. Исполнитель должен немедленно извещать Заказчика и до получения соответствующих указаний приостановить работы при обнаружении:</w:t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- возможных неблагоприятных для Заказчика последствий выполнения его указаний о способе исполнения работ;</w:t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- иных, независящих от Исполнителя обстоятельств, угрожающих годность или прочности результатов выполняемой работы, либо создающих невозможность ее завершения в срок.</w:t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.1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0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До подписания акта о приемке выполненных работ вывезти за пределы территории, на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которой проводятся работы, принадлежащие Подрядчику строительные машины, оборудование, инвентарь, инструменты, строительные материалы и другое имущество, а также очистить территорию от строительного мусора, временных сооружений.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.1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1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(обязанность получения согласования этих мест лежит на Подрядчике).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.1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2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Транспортировка всех грузов, необходимых для выполнения работ, страхование перевозок, погрузо-разгрузочные работы, складирование и охрана грузов входят в обязанность Подрядчика и производятся за его счет.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</w:t>
      </w:r>
      <w:r>
        <w:rPr>
          <w:rFonts w:ascii="Times New Roman" w:hAnsi="Times New Roman"/>
          <w:sz w:val="22"/>
          <w:szCs w:val="22"/>
        </w:rPr>
        <w:t xml:space="preserve">.13. Заказчик имеет право:</w:t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осматривать и испытывать материалы и оборудование, применяемые Подрядчиком для выполнения работ;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сметной документацией и условиями договора;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осуществлять контроль качества поставляемых Подрядчиком оборудования, инвентаря и материалов, наличие необходимых сертификатов соответствия, технических паспортов и других документов, удостоверяющих их происхождение и качественные характеристики;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предъявить требования, связанные с ненадлежащим качеством результатов работ, также в случаях, если ненадлежащее качество результатов работ было выявлено после истечения сроков, указанных в договоре. 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 любое время проверять ход и качество работ, выполняемых Подрядчиком, не вмешиваясь в его хозяйственную деятельность;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отказать в оплате за выполненные работы, не предусмотренные настоящим Договором;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отказать от оплаты выполненных Подрядчиком работ в случае неисполнения/ ненадлежащего исполнения принятых на себя в соответствии с услови</w:t>
      </w:r>
      <w:r>
        <w:rPr>
          <w:rFonts w:ascii="Times New Roman" w:hAnsi="Times New Roman"/>
          <w:sz w:val="22"/>
          <w:szCs w:val="22"/>
        </w:rPr>
        <w:t xml:space="preserve">ями договора обязательств, до момента устранения Подрядчиком соответствующих нарушений.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работ.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Требования к качеству материалов (товаров):</w:t>
      </w:r>
      <w:r>
        <w:rPr>
          <w:rFonts w:ascii="Times New Roman" w:hAnsi="Times New Roman"/>
          <w:b/>
          <w:sz w:val="22"/>
          <w:szCs w:val="22"/>
        </w:rPr>
      </w:r>
    </w:p>
    <w:p>
      <w:pPr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 </w:t>
      </w:r>
      <w:r>
        <w:rPr>
          <w:rFonts w:ascii="Times New Roman" w:hAnsi="Times New Roman"/>
          <w:sz w:val="22"/>
          <w:szCs w:val="22"/>
        </w:rPr>
        <w:t xml:space="preserve">Материалы,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необходимые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выполнени</w:t>
      </w:r>
      <w:r>
        <w:rPr>
          <w:rFonts w:ascii="Times New Roman" w:hAnsi="Times New Roman"/>
          <w:sz w:val="22"/>
          <w:szCs w:val="22"/>
        </w:rPr>
        <w:t xml:space="preserve">я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работ,</w:t>
      </w:r>
      <w:r>
        <w:rPr>
          <w:rFonts w:ascii="Times New Roman" w:hAnsi="Times New Roman"/>
          <w:sz w:val="22"/>
          <w:szCs w:val="22"/>
        </w:rPr>
        <w:t xml:space="preserve"> предоставляются Заказчиком.</w:t>
      </w:r>
      <w:r>
        <w:rPr>
          <w:rFonts w:ascii="Times New Roman" w:hAnsi="Times New Roman"/>
          <w:sz w:val="22"/>
          <w:szCs w:val="22"/>
        </w:rPr>
        <w:t xml:space="preserve"> Материалы для укладки (плитка и клей для плитки) находятся на складе Заказчика по месту выполнения работ.</w:t>
      </w:r>
      <w:r>
        <w:rPr>
          <w:rFonts w:ascii="Times New Roman" w:hAnsi="Times New Roman"/>
          <w:sz w:val="22"/>
          <w:szCs w:val="22"/>
        </w:rPr>
        <w:t xml:space="preserve"> При этом, Подрядчик использует собственные строительные инструменты, инвентарь </w:t>
      </w:r>
      <w:r>
        <w:rPr>
          <w:rFonts w:ascii="Times New Roman" w:hAnsi="Times New Roman"/>
          <w:sz w:val="22"/>
          <w:szCs w:val="22"/>
        </w:rPr>
        <w:t xml:space="preserve">и иные </w:t>
      </w:r>
      <w:r>
        <w:rPr>
          <w:rFonts w:ascii="Times New Roman" w:hAnsi="Times New Roman"/>
          <w:sz w:val="22"/>
          <w:szCs w:val="22"/>
        </w:rPr>
        <w:t xml:space="preserve">расходные материалы используемые в ходе выполнения работ (к</w:t>
      </w:r>
      <w:r>
        <w:rPr>
          <w:rFonts w:ascii="Times New Roman" w:hAnsi="Times New Roman"/>
          <w:sz w:val="22"/>
          <w:szCs w:val="22"/>
        </w:rPr>
        <w:t xml:space="preserve">рестики</w:t>
      </w:r>
      <w:r>
        <w:rPr>
          <w:rFonts w:ascii="Times New Roman" w:hAnsi="Times New Roman"/>
          <w:sz w:val="22"/>
          <w:szCs w:val="22"/>
        </w:rPr>
        <w:t xml:space="preserve">, клинья</w:t>
      </w:r>
      <w:r>
        <w:rPr>
          <w:rFonts w:ascii="Times New Roman" w:hAnsi="Times New Roman"/>
          <w:sz w:val="22"/>
          <w:szCs w:val="22"/>
        </w:rPr>
        <w:t xml:space="preserve"> и СВП для плитки</w:t>
      </w:r>
      <w:r>
        <w:rPr>
          <w:rFonts w:ascii="Times New Roman" w:hAnsi="Times New Roman"/>
          <w:sz w:val="22"/>
          <w:szCs w:val="22"/>
        </w:rPr>
        <w:t xml:space="preserve">, материалы резки и т.д.)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7.</w:t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  <w:t xml:space="preserve"> Требования к качеству работ, в том числе технология производства выполнения работ, методы производства выполнения работ, методики выполнения работ.</w:t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7.1. Работы должны быть выполнены в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соответствии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 с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Техническим заданием,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 Договором,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/>
          <w:b/>
          <w:spacing w:val="2"/>
          <w:sz w:val="22"/>
          <w:szCs w:val="22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Федеральный закон №52-ФЗ от 30.03.99г. «</w:t>
      </w:r>
      <w:r>
        <w:rPr>
          <w:rFonts w:ascii="Times New Roman" w:hAnsi="Times New Roman"/>
          <w:spacing w:val="2"/>
          <w:sz w:val="22"/>
          <w:szCs w:val="22"/>
        </w:rPr>
        <w:t xml:space="preserve">О санитарно-эпидемиологическом благополучии населения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(с изменениями)</w:t>
      </w:r>
      <w:r>
        <w:rPr>
          <w:rFonts w:ascii="Times New Roman" w:hAnsi="Times New Roman"/>
          <w:spacing w:val="2"/>
          <w:sz w:val="22"/>
          <w:szCs w:val="22"/>
        </w:rPr>
        <w:t xml:space="preserve">»;</w:t>
      </w:r>
      <w:r>
        <w:rPr>
          <w:rFonts w:ascii="Times New Roman" w:hAnsi="Times New Roman"/>
          <w:b/>
          <w:spacing w:val="2"/>
          <w:sz w:val="22"/>
          <w:szCs w:val="22"/>
        </w:rPr>
      </w:r>
    </w:p>
    <w:p>
      <w:pPr>
        <w:pStyle w:val="624"/>
        <w:spacing w:before="0" w:beforeAutospacing="0" w:after="0" w:afterAutospacing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eastAsia="hi-IN" w:bidi="hi-IN"/>
        </w:rPr>
        <w:t xml:space="preserve">- </w:t>
      </w:r>
      <w:r>
        <w:rPr>
          <w:b w:val="0"/>
          <w:spacing w:val="2"/>
          <w:sz w:val="22"/>
          <w:szCs w:val="22"/>
        </w:rPr>
        <w:t xml:space="preserve">Градостроительный кодекс Российской Федерации</w:t>
      </w:r>
      <w:r>
        <w:rPr>
          <w:b w:val="0"/>
          <w:sz w:val="22"/>
          <w:szCs w:val="22"/>
          <w:shd w:val="clear" w:color="auto" w:fill="ffffff"/>
        </w:rPr>
        <w:t xml:space="preserve"> (с изменениями)</w:t>
      </w:r>
      <w:r>
        <w:rPr>
          <w:b w:val="0"/>
          <w:spacing w:val="2"/>
          <w:sz w:val="22"/>
          <w:szCs w:val="22"/>
        </w:rPr>
        <w:t xml:space="preserve">;</w:t>
      </w:r>
      <w:r>
        <w:rPr>
          <w:b w:val="0"/>
          <w:spacing w:val="2"/>
          <w:sz w:val="22"/>
          <w:szCs w:val="22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Организация и выполнение Работ должны соответствовать требованиям безопасности, установленным в следующих документах: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Федеральный закон от 22.07.2008 № 123-ФЗ «Технический регламент о требованиях пожарной безопасности (последняя редакция)»;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СНиП 12-03-2001 «Безопасность труда в строительстве Часть 1. Общие требования»;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СНиП 12-04-2002 «Безопасность труда в строительстве Часть 2. Строительное производство»;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Федеральный закон от 21.12.1994 № 69-ФЗ «О пожарной безопасности» (с Изменениями);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Федеральный закон от 27.12.2002 № 184-ФЗ «О техническом регулировании» (с Изменениями);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Федеральным законом от 30.12.2009 № 384</w:t>
      </w:r>
      <w:r>
        <w:rPr>
          <w:rFonts w:ascii="Times New Roman" w:hAnsi="Times New Roman"/>
          <w:sz w:val="22"/>
          <w:szCs w:val="22"/>
        </w:rPr>
        <w:t xml:space="preserve">-ФЗ «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Технический регламент о безопасности зданий и сооружений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(с изменениями)»;</w:t>
      </w:r>
      <w:r>
        <w:rPr>
          <w:rFonts w:ascii="Times New Roman" w:hAnsi="Times New Roman"/>
          <w:sz w:val="22"/>
          <w:szCs w:val="22"/>
          <w:shd w:val="clear" w:color="auto" w:fill="ffffff"/>
        </w:rPr>
      </w:r>
    </w:p>
    <w:p>
      <w:pPr>
        <w:pStyle w:val="641"/>
        <w:spacing w:before="0" w:beforeAutospacing="0" w:after="0" w:afterAutospacing="0" w:line="276" w:lineRule="auto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СП 29.13330.2011 «Свод правил. Полы. Актуализированная редакция СНиП 2.03.13-88»;</w:t>
      </w:r>
      <w:r>
        <w:rPr>
          <w:sz w:val="22"/>
          <w:szCs w:val="22"/>
        </w:rPr>
      </w:r>
    </w:p>
    <w:p>
      <w:pPr>
        <w:pStyle w:val="641"/>
        <w:spacing w:before="0" w:beforeAutospacing="0" w:after="0" w:afterAutospacing="0" w:line="276" w:lineRule="auto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СП 71.13330.2017 СНИП 3.04.01-87 «Изоляционные и отделочные покрытия».</w:t>
      </w:r>
      <w:r>
        <w:rPr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- И иные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государственные стандарты, действующие строительные нормы и правила, НПБ, технические регламенты, санитарные нормы и правила, предназначенные для данных видов работ.</w:t>
      </w:r>
      <w:r>
        <w:rPr>
          <w:rFonts w:ascii="Times New Roman" w:hAnsi="Times New Roman"/>
          <w:sz w:val="22"/>
          <w:szCs w:val="22"/>
          <w:shd w:val="clear" w:color="auto" w:fill="ffffff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7.2. Выполняемые работы, равно как и их результат, должны соответствовать тре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бованиям и актов законодательства РФ и действующих нормативно-техническим документам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tabs>
          <w:tab w:val="center" w:pos="567" w:leader="none"/>
        </w:tabs>
        <w:rPr>
          <w:rFonts w:ascii="Times New Roman" w:hAnsi="Times New Roman" w:eastAsia="Times New Roman"/>
          <w:b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</w:rPr>
        <w:t xml:space="preserve">8</w:t>
      </w:r>
      <w:r>
        <w:rPr>
          <w:rFonts w:ascii="Times New Roman" w:hAnsi="Times New Roman"/>
          <w:b/>
          <w:sz w:val="22"/>
          <w:szCs w:val="22"/>
        </w:rPr>
        <w:t xml:space="preserve">. Требования к результатам работ и иные показатели, связанные с определением соответствия выполняемых работ потребностям Заказчика (приемка работ).</w:t>
      </w: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</w:p>
    <w:p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</w:t>
      </w:r>
      <w:r>
        <w:rPr>
          <w:rFonts w:ascii="Times New Roman" w:hAnsi="Times New Roman"/>
          <w:sz w:val="22"/>
          <w:szCs w:val="22"/>
        </w:rPr>
        <w:t xml:space="preserve">.1. Результатом работы явля</w:t>
      </w:r>
      <w:r>
        <w:rPr>
          <w:rFonts w:ascii="Times New Roman" w:hAnsi="Times New Roman"/>
          <w:sz w:val="22"/>
          <w:szCs w:val="22"/>
        </w:rPr>
        <w:t xml:space="preserve">е</w:t>
      </w:r>
      <w:r>
        <w:rPr>
          <w:rFonts w:ascii="Times New Roman" w:hAnsi="Times New Roman"/>
          <w:sz w:val="22"/>
          <w:szCs w:val="22"/>
        </w:rPr>
        <w:t xml:space="preserve">тся</w:t>
      </w:r>
      <w:r>
        <w:rPr>
          <w:rFonts w:ascii="Times New Roman" w:hAnsi="Times New Roman"/>
          <w:sz w:val="22"/>
          <w:szCs w:val="22"/>
        </w:rPr>
        <w:t xml:space="preserve"> обустроенное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напольное покрытие из керамогранита, отвечающее установленным нормам</w:t>
      </w:r>
      <w:r>
        <w:rPr>
          <w:rFonts w:ascii="Times New Roman" w:hAnsi="Times New Roman"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</w:r>
    </w:p>
    <w:p>
      <w:pPr>
        <w:spacing w:line="276" w:lineRule="auto"/>
        <w:tabs>
          <w:tab w:val="center" w:pos="567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</w:t>
      </w:r>
      <w:r>
        <w:rPr>
          <w:rFonts w:ascii="Times New Roman" w:hAnsi="Times New Roman"/>
          <w:sz w:val="22"/>
          <w:szCs w:val="22"/>
        </w:rPr>
        <w:t xml:space="preserve">.2. Сдача результатов выполненных работ Подрядчиком и приемка их Заказчиком оформляется актом о приеме выполненных работ, подписанным обеими сторонами.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</w:t>
      </w:r>
      <w:r>
        <w:rPr>
          <w:rFonts w:ascii="Times New Roman" w:hAnsi="Times New Roman"/>
          <w:sz w:val="22"/>
          <w:szCs w:val="22"/>
        </w:rPr>
        <w:t xml:space="preserve">.3. По завершению работ Подрядчик должен предоставить Заказчику:</w:t>
      </w:r>
      <w:r>
        <w:rPr>
          <w:rFonts w:ascii="Times New Roman" w:hAnsi="Times New Roman"/>
          <w:sz w:val="22"/>
          <w:szCs w:val="22"/>
        </w:rPr>
      </w:r>
    </w:p>
    <w:p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акт скрытых работ с фотофиксацией (при обнаружения скр</w:t>
      </w:r>
      <w:r>
        <w:rPr>
          <w:rFonts w:ascii="Times New Roman" w:hAnsi="Times New Roman"/>
          <w:sz w:val="22"/>
          <w:szCs w:val="22"/>
        </w:rPr>
        <w:t xml:space="preserve">ытых работ) - на бумажном </w:t>
      </w:r>
      <w:r>
        <w:rPr>
          <w:rFonts w:ascii="Times New Roman" w:hAnsi="Times New Roman"/>
          <w:sz w:val="22"/>
          <w:szCs w:val="22"/>
        </w:rPr>
        <w:t xml:space="preserve">в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1 экземпляр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е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;</w:t>
      </w:r>
      <w:r>
        <w:rPr>
          <w:rFonts w:ascii="Times New Roman" w:hAnsi="Times New Roman"/>
          <w:sz w:val="22"/>
          <w:szCs w:val="22"/>
        </w:rPr>
      </w:r>
    </w:p>
    <w:p>
      <w:pPr>
        <w:pStyle w:val="63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акт выполненных работ  - на бумажном носителе в количестве 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-х экземпляров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</w:p>
    <w:p>
      <w:pPr>
        <w:pStyle w:val="630"/>
        <w:spacing w:line="276" w:lineRule="auto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9</w:t>
      </w:r>
      <w:r>
        <w:rPr>
          <w:rFonts w:eastAsia="SimSun"/>
          <w:b/>
          <w:sz w:val="22"/>
          <w:szCs w:val="22"/>
          <w:lang w:eastAsia="hi-IN" w:bidi="hi-IN"/>
        </w:rPr>
        <w:t xml:space="preserve">. Требования по объёму гарантий качества работ</w:t>
      </w:r>
      <w:r>
        <w:rPr>
          <w:rFonts w:eastAsia="SimSun"/>
          <w:b/>
          <w:sz w:val="22"/>
          <w:szCs w:val="22"/>
          <w:lang w:eastAsia="hi-IN" w:bidi="hi-IN"/>
        </w:rPr>
      </w:r>
    </w:p>
    <w:p>
      <w:pPr>
        <w:pStyle w:val="630"/>
        <w:spacing w:line="276" w:lineRule="auto"/>
        <w:rPr>
          <w:sz w:val="22"/>
          <w:szCs w:val="22"/>
        </w:rPr>
      </w:pPr>
      <w:r>
        <w:rPr>
          <w:rFonts w:eastAsia="SimSun"/>
          <w:sz w:val="22"/>
          <w:szCs w:val="22"/>
          <w:lang w:eastAsia="hi-IN" w:bidi="hi-IN"/>
        </w:rPr>
        <w:t xml:space="preserve">9</w:t>
      </w:r>
      <w:r>
        <w:rPr>
          <w:rFonts w:eastAsia="SimSun"/>
          <w:sz w:val="22"/>
          <w:szCs w:val="22"/>
          <w:lang w:eastAsia="hi-IN" w:bidi="hi-IN"/>
        </w:rPr>
        <w:t xml:space="preserve">.1. 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sz w:val="22"/>
          <w:szCs w:val="22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.2. Подрядчик несет ответственность за недостатки (дефекты), обнаруженные в пределах гарантийного срока, если н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е докажет, что они произошли вследствие нормального износа результата выполненных работ или его частей, неправильной его эксплуатации, ненадлежащего ремонта результата выполненных работ, произведенного самим Заказчиком или привлеченными им третьими лицами.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.3. При обнаружении в течение гарантийного срока недостатков (дефектов),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Заказчик должен заявить о них Подрядчику в разумный срок после их обнаружения.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.4. В течение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2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(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двух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) рабочих дней после получения Подрядчиком уведомления об обнаруженных Заказчиком недостатках (дефектах) результата выполненных работ Стороны составляют акт, в котором фиксируются обнаруженные недостатки (дефекты) и устанавливается срок на их устранение.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.5. Д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ля участия в составлении акта о недостатках, фиксирующего выявленные дефекты, согласования порядка и сроков их устранения Подрядчик обязан в течение 2 (двух) дней с момента получения извещения Заказчика о выявленных дефектах направить своего представителя.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.6. При отказе Подрядчика от составления или подписания акта о недостатках Заказчик составляет односторонний акт, копия которого направляется Подрядчику.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.7. Течение гарантийного срока прерывается на все время, на протяжении которого результат выполненных работ не мог эксплуатироваться вследствие недостатков (дефектов), Подрядчик обязан устранить с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оответствующие недостатки (дефекты), в срок, указанный в акте, в котором фиксируются данные недостатки (дефекты). При этом Подрядчик обязан безвозмездно устранять указанные в акте недостатки (дефекты) в разумный срок или возмещать расходы на их устранение.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.8. 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.9. Подрядчик несет ответственность перед Заказчиком за допущенные отступления от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требований настоящего Технического задания.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.10. Подрядчик не несет ответственности в период гарантийного срока за ущерб, причиненный результату работ третьими лицами или ненадлежащей эксплуатацией.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.11. В соответствии с условия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ми Договора гарантийный срок на выполненные работы – </w:t>
      </w:r>
      <w:r>
        <w:rPr>
          <w:rFonts w:ascii="Times New Roman" w:hAnsi="Times New Roman" w:eastAsia="SimSun"/>
          <w:sz w:val="22"/>
          <w:szCs w:val="22"/>
          <w:highlight w:val="yellow"/>
          <w:lang w:eastAsia="hi-IN" w:bidi="hi-IN"/>
        </w:rPr>
        <w:t xml:space="preserve">не менее </w:t>
      </w:r>
      <w:r>
        <w:rPr>
          <w:rFonts w:ascii="Times New Roman" w:hAnsi="Times New Roman" w:eastAsia="SimSun"/>
          <w:sz w:val="22"/>
          <w:szCs w:val="22"/>
          <w:highlight w:val="yellow"/>
          <w:lang w:eastAsia="hi-IN" w:bidi="hi-IN"/>
        </w:rPr>
        <w:t xml:space="preserve">36</w:t>
      </w:r>
      <w:r>
        <w:rPr>
          <w:rFonts w:ascii="Times New Roman" w:hAnsi="Times New Roman" w:eastAsia="SimSun"/>
          <w:sz w:val="22"/>
          <w:szCs w:val="22"/>
          <w:highlight w:val="yellow"/>
          <w:lang w:eastAsia="hi-IN" w:bidi="hi-IN"/>
        </w:rPr>
        <w:t xml:space="preserve"> </w:t>
      </w:r>
      <w:r>
        <w:rPr>
          <w:rFonts w:ascii="Times New Roman" w:hAnsi="Times New Roman" w:eastAsia="SimSun"/>
          <w:sz w:val="22"/>
          <w:szCs w:val="22"/>
          <w:highlight w:val="yellow"/>
          <w:lang w:eastAsia="hi-IN" w:bidi="hi-IN"/>
        </w:rPr>
        <w:t xml:space="preserve">(</w:t>
      </w:r>
      <w:r>
        <w:rPr>
          <w:rFonts w:ascii="Times New Roman" w:hAnsi="Times New Roman" w:eastAsia="SimSun"/>
          <w:sz w:val="22"/>
          <w:szCs w:val="22"/>
          <w:highlight w:val="yellow"/>
          <w:lang w:eastAsia="hi-IN" w:bidi="hi-IN"/>
        </w:rPr>
        <w:t xml:space="preserve">тридцать шесть</w:t>
      </w:r>
      <w:r>
        <w:rPr>
          <w:rFonts w:ascii="Times New Roman" w:hAnsi="Times New Roman" w:eastAsia="SimSun"/>
          <w:sz w:val="22"/>
          <w:szCs w:val="22"/>
          <w:highlight w:val="yellow"/>
          <w:lang w:eastAsia="hi-IN" w:bidi="hi-IN"/>
        </w:rPr>
        <w:t xml:space="preserve">) месяц</w:t>
      </w:r>
      <w:r>
        <w:rPr>
          <w:rFonts w:ascii="Times New Roman" w:hAnsi="Times New Roman" w:eastAsia="SimSun"/>
          <w:sz w:val="22"/>
          <w:szCs w:val="22"/>
          <w:highlight w:val="yellow"/>
          <w:lang w:eastAsia="hi-IN" w:bidi="hi-IN"/>
        </w:rPr>
        <w:t xml:space="preserve">ев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с даты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 подписания итогового Акта приёмки выполненных работ.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  <w:widowControl w:val="off"/>
    </w:pPr>
    <w:rPr>
      <w:rFonts w:ascii="Arial" w:hAnsi="Arial" w:eastAsia="Lucida Sans Unicode" w:cs="Times New Roman"/>
      <w:sz w:val="20"/>
      <w:szCs w:val="24"/>
      <w:lang w:eastAsia="ar-SA"/>
    </w:rPr>
  </w:style>
  <w:style w:type="paragraph" w:styleId="624">
    <w:name w:val="Heading 1"/>
    <w:basedOn w:val="623"/>
    <w:link w:val="636"/>
    <w:uiPriority w:val="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Body Text"/>
    <w:basedOn w:val="623"/>
    <w:link w:val="629"/>
    <w:pPr>
      <w:spacing w:after="120"/>
    </w:pPr>
  </w:style>
  <w:style w:type="character" w:styleId="629" w:customStyle="1">
    <w:name w:val="Основной текст Знак"/>
    <w:basedOn w:val="625"/>
    <w:link w:val="628"/>
    <w:rPr>
      <w:rFonts w:ascii="Arial" w:hAnsi="Arial" w:eastAsia="Lucida Sans Unicode" w:cs="Times New Roman"/>
      <w:sz w:val="20"/>
      <w:szCs w:val="24"/>
      <w:lang w:eastAsia="ar-SA"/>
    </w:rPr>
  </w:style>
  <w:style w:type="paragraph" w:styleId="630">
    <w:name w:val="No Spacing"/>
    <w:link w:val="638"/>
    <w:uiPriority w:val="1"/>
    <w:qFormat/>
    <w:pPr>
      <w:spacing w:after="0" w:line="240" w:lineRule="auto"/>
    </w:pPr>
    <w:rPr>
      <w:rFonts w:ascii="Times New Roman" w:hAnsi="Times New Roman" w:eastAsia="Arial" w:cs="Times New Roman"/>
      <w:sz w:val="24"/>
      <w:szCs w:val="24"/>
      <w:lang w:eastAsia="ar-SA"/>
    </w:rPr>
  </w:style>
  <w:style w:type="paragraph" w:styleId="631">
    <w:name w:val="List Paragraph"/>
    <w:basedOn w:val="623"/>
    <w:link w:val="632"/>
    <w:qFormat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character" w:styleId="632" w:customStyle="1">
    <w:name w:val="Абзац списка Знак"/>
    <w:basedOn w:val="625"/>
    <w:link w:val="631"/>
    <w:rPr>
      <w:rFonts w:ascii="Calibri" w:hAnsi="Calibri" w:eastAsia="Calibri" w:cs="Times New Roman"/>
    </w:rPr>
  </w:style>
  <w:style w:type="character" w:styleId="633">
    <w:name w:val="Hyperlink"/>
    <w:basedOn w:val="625"/>
    <w:uiPriority w:val="99"/>
    <w:semiHidden/>
    <w:unhideWhenUsed/>
    <w:rPr>
      <w:color w:val="0000ff"/>
      <w:u w:val="single"/>
    </w:rPr>
  </w:style>
  <w:style w:type="character" w:styleId="634" w:customStyle="1">
    <w:name w:val="upper"/>
    <w:basedOn w:val="625"/>
  </w:style>
  <w:style w:type="paragraph" w:styleId="635" w:customStyle="1">
    <w:name w:val="s_13"/>
    <w:basedOn w:val="623"/>
    <w:pPr>
      <w:ind w:firstLine="720"/>
      <w:widowControl/>
    </w:pPr>
    <w:rPr>
      <w:rFonts w:ascii="Times New Roman" w:hAnsi="Times New Roman" w:eastAsia="Times New Roman"/>
      <w:szCs w:val="20"/>
      <w:lang w:eastAsia="ru-RU"/>
    </w:rPr>
  </w:style>
  <w:style w:type="character" w:styleId="636" w:customStyle="1">
    <w:name w:val="Заголовок 1 Знак"/>
    <w:basedOn w:val="625"/>
    <w:link w:val="62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637">
    <w:name w:val="Table Grid"/>
    <w:basedOn w:val="6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38" w:customStyle="1">
    <w:name w:val="Без интервала Знак"/>
    <w:link w:val="630"/>
    <w:uiPriority w:val="1"/>
    <w:rPr>
      <w:rFonts w:ascii="Times New Roman" w:hAnsi="Times New Roman" w:eastAsia="Arial" w:cs="Times New Roman"/>
      <w:sz w:val="24"/>
      <w:szCs w:val="24"/>
      <w:lang w:eastAsia="ar-SA"/>
    </w:rPr>
  </w:style>
  <w:style w:type="paragraph" w:styleId="639" w:customStyle="1">
    <w:name w:val="docdata"/>
    <w:basedOn w:val="623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character" w:styleId="640" w:customStyle="1">
    <w:name w:val="1327"/>
    <w:basedOn w:val="625"/>
  </w:style>
  <w:style w:type="paragraph" w:styleId="641" w:customStyle="1">
    <w:name w:val="headertext"/>
    <w:basedOn w:val="623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F11E-9C5D-4831-84C9-A2FC7939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Тимур Салаватович</cp:lastModifiedBy>
  <cp:revision>19</cp:revision>
  <dcterms:created xsi:type="dcterms:W3CDTF">2023-11-14T13:54:00Z</dcterms:created>
  <dcterms:modified xsi:type="dcterms:W3CDTF">2024-03-20T13:04:43Z</dcterms:modified>
</cp:coreProperties>
</file>