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1"/>
        <w:ind w:right="-111" w:hanging="0"/>
        <w:jc w:val="right"/>
        <w:textAlignment w:val="auto"/>
        <w:rPr>
          <w:rFonts w:eastAsia="Calibri"/>
          <w:bCs/>
          <w:sz w:val="24"/>
          <w:szCs w:val="24"/>
          <w:lang w:eastAsia="zh-CN"/>
        </w:rPr>
      </w:pPr>
      <w:r>
        <w:rPr>
          <w:bCs/>
          <w:sz w:val="24"/>
          <w:szCs w:val="24"/>
        </w:rPr>
        <w:t>Приложение № 2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 Приложению №1 договора подряда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№                </w:t>
      </w:r>
      <w:r>
        <w:rPr>
          <w:rFonts w:cs="Times New Roman" w:ascii="Times New Roman" w:hAnsi="Times New Roman"/>
          <w:sz w:val="24"/>
          <w:szCs w:val="24"/>
        </w:rPr>
        <w:t xml:space="preserve">от «__»_________ 2024 г.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Требования к основному оборудованию для выполнения работ по установке приборов учёта</w:t>
      </w:r>
    </w:p>
    <w:p>
      <w:pPr>
        <w:pStyle w:val="Normal"/>
        <w:tabs>
          <w:tab w:val="clear" w:pos="708"/>
          <w:tab w:val="left" w:pos="8931" w:leader="none"/>
        </w:tabs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8931" w:leader="none"/>
        </w:tabs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Таблица 1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071"/>
        <w:gridCol w:w="6798"/>
      </w:tblGrid>
      <w:tr>
        <w:trPr>
          <w:trHeight w:val="1306" w:hRule="atLeast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bCs/>
                <w:shd w:fill="auto" w:val="clear"/>
              </w:rPr>
              <w:t>Типы интеллектуальных систем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bCs/>
                <w:shd w:fill="auto" w:val="clear"/>
              </w:rPr>
              <w:t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</w:t>
            </w:r>
          </w:p>
        </w:tc>
      </w:tr>
      <w:tr>
        <w:trPr>
          <w:trHeight w:val="528" w:hRule="atLeast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ФОБОС 1 230В 5(80)А </w:t>
            </w:r>
            <w:r>
              <w:rPr>
                <w:sz w:val="23"/>
                <w:szCs w:val="23"/>
                <w:lang w:val="en-US"/>
              </w:rPr>
              <w:t>IQOLM</w:t>
            </w:r>
            <w:r>
              <w:rPr>
                <w:sz w:val="23"/>
                <w:szCs w:val="23"/>
              </w:rPr>
              <w:t>(1)-</w:t>
            </w:r>
            <w:r>
              <w:rPr>
                <w:sz w:val="23"/>
                <w:szCs w:val="23"/>
                <w:lang w:val="en-US"/>
              </w:rPr>
              <w:t>C</w:t>
            </w:r>
            <w:r>
              <w:rPr>
                <w:sz w:val="23"/>
                <w:szCs w:val="23"/>
              </w:rPr>
              <w:t xml:space="preserve"> 4</w:t>
            </w:r>
            <w:r>
              <w:rPr>
                <w:sz w:val="23"/>
                <w:szCs w:val="23"/>
                <w:lang w:val="en-US"/>
              </w:rPr>
              <w:t>G</w:t>
            </w:r>
            <w:r>
              <w:rPr>
                <w:sz w:val="23"/>
                <w:szCs w:val="23"/>
              </w:rPr>
              <w:t xml:space="preserve"> (</w:t>
            </w:r>
            <w:r>
              <w:rPr>
                <w:sz w:val="23"/>
                <w:szCs w:val="23"/>
                <w:lang w:val="en-US"/>
              </w:rPr>
              <w:t>LTE</w:t>
            </w:r>
            <w:r>
              <w:rPr>
                <w:sz w:val="23"/>
                <w:szCs w:val="23"/>
              </w:rPr>
              <w:t>)</w:t>
            </w:r>
          </w:p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(или эквивалент)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Счетчик электрической энергии однофазный. 230 В. 5(80)А. Кл. точности 1/2. Оптопорт, импульсный выход, GSM, RS-485, </w:t>
            </w:r>
            <w:r>
              <w:rPr>
                <w:sz w:val="23"/>
                <w:szCs w:val="23"/>
                <w:lang w:val="en-US"/>
              </w:rPr>
              <w:t>NB</w:t>
            </w:r>
            <w:r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  <w:lang w:val="en-US"/>
              </w:rPr>
              <w:t>IoT</w:t>
            </w:r>
            <w:r>
              <w:rPr>
                <w:sz w:val="23"/>
                <w:szCs w:val="23"/>
              </w:rPr>
              <w:t>. Реле отключения нагрузки. Расширенный функционал</w:t>
            </w:r>
          </w:p>
        </w:tc>
      </w:tr>
      <w:tr>
        <w:trPr>
          <w:trHeight w:val="528" w:hRule="atLeast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Милур 107S.22-ZZ-3-DT (или эквивалент)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Счетчик электрической энергии однофазный. 230 В. 5(100)А. Кл. точности 1/2. Оптопорт, импульсный выход, RF433, RF433. Реле отключения нагрузки. Измерительный элемент в нулевом проводе. Расширенный функционал</w:t>
            </w:r>
          </w:p>
        </w:tc>
      </w:tr>
      <w:tr>
        <w:trPr>
          <w:trHeight w:val="528" w:hRule="atLeast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Милур 107S.22-</w:t>
            </w:r>
            <w:r>
              <w:rPr>
                <w:sz w:val="23"/>
                <w:szCs w:val="23"/>
                <w:lang w:val="en-US"/>
              </w:rPr>
              <w:t>R</w:t>
            </w:r>
            <w:r>
              <w:rPr>
                <w:sz w:val="23"/>
                <w:szCs w:val="23"/>
              </w:rPr>
              <w:t>Z-3-1</w:t>
            </w:r>
            <w:r>
              <w:rPr>
                <w:sz w:val="23"/>
                <w:szCs w:val="23"/>
                <w:lang w:val="en-US"/>
              </w:rPr>
              <w:t>L</w:t>
            </w:r>
            <w:r>
              <w:rPr>
                <w:sz w:val="23"/>
                <w:szCs w:val="23"/>
              </w:rPr>
              <w:t>-DT (или эквивалент)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Счетчик электрической энергии однофазный. 230 В. 5(100)А. Кл. точности 1/2. Оптопорт, импульсный выход, RS-485, </w:t>
            </w:r>
            <w:r>
              <w:rPr>
                <w:sz w:val="23"/>
                <w:szCs w:val="23"/>
                <w:lang w:val="en-US"/>
              </w:rPr>
              <w:t>RF</w:t>
            </w:r>
            <w:r>
              <w:rPr>
                <w:sz w:val="23"/>
                <w:szCs w:val="23"/>
              </w:rPr>
              <w:t>433. Реле отключения нагрузки. Измерительный элемент в нулевом проводе. Расширенный функционал.</w:t>
            </w:r>
          </w:p>
        </w:tc>
      </w:tr>
      <w:tr>
        <w:trPr>
          <w:trHeight w:val="528" w:hRule="atLeast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Милур 107S.22-</w:t>
            </w:r>
            <w:r>
              <w:rPr>
                <w:sz w:val="23"/>
                <w:szCs w:val="23"/>
                <w:lang w:val="en-US"/>
              </w:rPr>
              <w:t>GR</w:t>
            </w:r>
            <w:r>
              <w:rPr>
                <w:sz w:val="23"/>
                <w:szCs w:val="23"/>
              </w:rPr>
              <w:t>Z-3-1</w:t>
            </w:r>
            <w:r>
              <w:rPr>
                <w:sz w:val="23"/>
                <w:szCs w:val="23"/>
                <w:lang w:val="en-US"/>
              </w:rPr>
              <w:t>L</w:t>
            </w:r>
            <w:r>
              <w:rPr>
                <w:sz w:val="23"/>
                <w:szCs w:val="23"/>
              </w:rPr>
              <w:t>-DT (или эквивалент)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Счетчик электрической энергии однофазный. 230 В. 5(100)А. Кл. точности 1/2. Оптопорт, импульсный выход, GSM, RS-485, </w:t>
            </w:r>
            <w:r>
              <w:rPr>
                <w:sz w:val="23"/>
                <w:szCs w:val="23"/>
                <w:lang w:val="en-US"/>
              </w:rPr>
              <w:t>RF</w:t>
            </w:r>
            <w:r>
              <w:rPr>
                <w:sz w:val="23"/>
                <w:szCs w:val="23"/>
              </w:rPr>
              <w:t>433. Реле отключения нагрузки. Измерительный элемент в нулевом проводе. Расширенный функционал.</w:t>
            </w:r>
          </w:p>
        </w:tc>
      </w:tr>
      <w:tr>
        <w:trPr>
          <w:trHeight w:val="385" w:hRule="atLeast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Милур 307S.52-ZZ-3-D (или эквивалент)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Счетчик электрической энергии трехфазный. 3 х 230 / 400 В. 5(100)А. Кл. точности 0,5S/1. Оптопорт, импульсный выход, RF433, RF433. Реле отключения нагрузки. Расширенный функционал</w:t>
            </w:r>
          </w:p>
        </w:tc>
      </w:tr>
      <w:tr>
        <w:trPr>
          <w:trHeight w:val="385" w:hRule="atLeast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Милур 307S.52-</w:t>
            </w:r>
            <w:r>
              <w:rPr>
                <w:sz w:val="23"/>
                <w:szCs w:val="23"/>
                <w:lang w:val="en-US"/>
              </w:rPr>
              <w:t>GRR</w:t>
            </w:r>
            <w:r>
              <w:rPr>
                <w:sz w:val="23"/>
                <w:szCs w:val="23"/>
              </w:rPr>
              <w:t>-2-D (или эквивалент)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Счетчик электрической энергии трехфазный. 3 х 230 / 400 В. 5(100)А. Кл. точности 0,5S/1. Оптопорт, импульсный выход, GSM, RS-485, RS-485. Реле отключения нагрузки. Расширенный функционал. Без внешней антенны.</w:t>
            </w:r>
          </w:p>
        </w:tc>
      </w:tr>
      <w:tr>
        <w:trPr>
          <w:trHeight w:val="385" w:hRule="atLeast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Милур 307S.12-</w:t>
            </w:r>
            <w:r>
              <w:rPr>
                <w:sz w:val="23"/>
                <w:szCs w:val="23"/>
                <w:lang w:val="en-US"/>
              </w:rPr>
              <w:t>GRR</w:t>
            </w:r>
            <w:r>
              <w:rPr>
                <w:sz w:val="23"/>
                <w:szCs w:val="23"/>
              </w:rPr>
              <w:t>-2</w:t>
            </w:r>
          </w:p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(или эквивалент)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Счетчик электрической энергии трехфазный. 3 х 230 / 400 В. 5(10)А. Кл. точности 0,2S/0,5. Оптопорт, импульсный выход, GSM, RS-485, RS-485. Расширенный функционал. Без внешней антенны.</w:t>
            </w:r>
          </w:p>
        </w:tc>
      </w:tr>
      <w:tr>
        <w:trPr>
          <w:trHeight w:val="385" w:hRule="atLeast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Милур</w:t>
            </w:r>
            <w:r>
              <w:rPr>
                <w:sz w:val="23"/>
                <w:szCs w:val="23"/>
                <w:lang w:val="en-US"/>
              </w:rPr>
              <w:t xml:space="preserve"> IC UREG-Z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Преобразователь интерфейсов </w:t>
            </w:r>
            <w:r>
              <w:rPr>
                <w:sz w:val="23"/>
                <w:szCs w:val="23"/>
                <w:lang w:val="en-US"/>
              </w:rPr>
              <w:t>USB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  <w:lang w:val="en-US"/>
              </w:rPr>
              <w:t>RS</w:t>
            </w:r>
            <w:r>
              <w:rPr>
                <w:sz w:val="23"/>
                <w:szCs w:val="23"/>
              </w:rPr>
              <w:t xml:space="preserve">485, </w:t>
            </w:r>
            <w:r>
              <w:rPr>
                <w:sz w:val="23"/>
                <w:szCs w:val="23"/>
                <w:lang w:val="en-US"/>
              </w:rPr>
              <w:t>Ethernet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  <w:lang w:val="en-US"/>
              </w:rPr>
              <w:t>GSM</w:t>
            </w:r>
            <w:r>
              <w:rPr>
                <w:sz w:val="23"/>
                <w:szCs w:val="23"/>
              </w:rPr>
              <w:t xml:space="preserve"> в </w:t>
            </w:r>
            <w:r>
              <w:rPr>
                <w:sz w:val="23"/>
                <w:szCs w:val="23"/>
                <w:lang w:val="en-US"/>
              </w:rPr>
              <w:t>RF</w:t>
            </w:r>
            <w:r>
              <w:rPr>
                <w:sz w:val="23"/>
                <w:szCs w:val="23"/>
              </w:rPr>
              <w:t xml:space="preserve"> (433 </w:t>
            </w:r>
            <w:r>
              <w:rPr>
                <w:sz w:val="23"/>
                <w:szCs w:val="23"/>
                <w:lang w:val="en-US"/>
              </w:rPr>
              <w:t>MHz</w:t>
            </w:r>
            <w:r>
              <w:rPr>
                <w:sz w:val="23"/>
                <w:szCs w:val="23"/>
              </w:rPr>
              <w:t>)</w:t>
            </w:r>
          </w:p>
        </w:tc>
      </w:tr>
      <w:tr>
        <w:trPr>
          <w:trHeight w:val="385" w:hRule="atLeast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Комплект защиты от сетевых, импульсных, грозовых перенапряжений: УЗИП- </w:t>
            </w:r>
            <w:r>
              <w:rPr>
                <w:sz w:val="23"/>
                <w:szCs w:val="23"/>
                <w:lang w:val="en-US"/>
              </w:rPr>
              <w:t>I</w:t>
            </w:r>
            <w:r>
              <w:rPr>
                <w:sz w:val="23"/>
                <w:szCs w:val="23"/>
              </w:rPr>
              <w:t xml:space="preserve"> ступень, РКН-1ф</w:t>
            </w:r>
          </w:p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/>
              <w:t xml:space="preserve">Устройство защиты от импульсных перенапряжений УЗИП-ЭЛТА предназначен для защиты электрических сетей и электрооборудования при воздействии грозовых или иных переходных перенапряжений. Применяются в качестве встраиваемых комплектующих изделий в низковольтных комплектных устройствах с номинальным напряжением 230В и частотой 50Гц. Реле контроля напряжения РКН-1ф, модульная на дин рейку </w:t>
            </w:r>
            <w:r>
              <w:rPr>
                <w:lang w:val="en-US"/>
              </w:rPr>
              <w:t>D</w:t>
            </w:r>
            <w:r>
              <w:rPr/>
              <w:t xml:space="preserve"> 32, предназначено для выдачи команды управления при отклонении контролируемого напряжения от установленных пороговых значений.</w:t>
            </w:r>
          </w:p>
        </w:tc>
      </w:tr>
    </w:tbl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right="-142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  <w:r>
        <w:br w:type="page"/>
      </w:r>
    </w:p>
    <w:p>
      <w:pPr>
        <w:pStyle w:val="Normal"/>
        <w:widowControl w:val="false"/>
        <w:tabs>
          <w:tab w:val="clear" w:pos="708"/>
          <w:tab w:val="left" w:pos="426" w:leader="none"/>
        </w:tabs>
        <w:spacing w:lineRule="auto" w:line="240" w:before="0" w:after="0"/>
        <w:ind w:right="-142" w:hanging="0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Общие технические требования:</w:t>
      </w:r>
    </w:p>
    <w:p>
      <w:pPr>
        <w:pStyle w:val="Normal"/>
        <w:widowControl w:val="false"/>
        <w:tabs>
          <w:tab w:val="clear" w:pos="708"/>
          <w:tab w:val="left" w:pos="426" w:leader="none"/>
        </w:tabs>
        <w:spacing w:lineRule="auto" w:line="240" w:before="0" w:after="0"/>
        <w:ind w:right="-142" w:hanging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120"/>
        <w:ind w:firstLine="56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1. Продукция должна быть новой, ранее не использованной приборы учета электроэнергии с датой поверки не более 6 месяцев на дату установки.</w:t>
      </w:r>
    </w:p>
    <w:p>
      <w:pPr>
        <w:pStyle w:val="Normal"/>
        <w:spacing w:lineRule="auto" w:line="240" w:before="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Типы применяемых компонентов систем учета (приборы учета электрической энергии, измерительные трансформаторы и т.д.) электроэнергии должны быть утверждены федеральным органом исполнительной власти по техническому регулированию и метрологии, внесены в Федеральный информационный фонд по обеспечению единства измерений.</w:t>
      </w:r>
    </w:p>
    <w:p>
      <w:pPr>
        <w:pStyle w:val="Normal"/>
        <w:spacing w:lineRule="auto" w:line="240" w:before="0"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На каждую единицу измерительного оборудования должен быть предоставлен паспорт, комплектность по спецификации, руководство по эксплуатации. На поставляемое оборудование должны быть представлены сертификаты качества, либо декларации о соответствии.</w:t>
      </w:r>
    </w:p>
    <w:p>
      <w:pPr>
        <w:pStyle w:val="Normal"/>
        <w:spacing w:lineRule="auto" w:line="240" w:before="0"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Поставляемое оборудование должно быть рассчитано на эксплуатацию в непрерывном режиме круглосуточно в заданных условиях в течение установленного срока службы.</w:t>
      </w:r>
    </w:p>
    <w:p>
      <w:pPr>
        <w:pStyle w:val="Normal"/>
        <w:spacing w:lineRule="auto" w:line="240" w:before="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Технические параметры и метрологические характеристики приборов учета должны соответствовать требованиям ГОСТ Р 52320-2005 Часть 11 «Счетчики электрической энергии», ГОСТ Р 52323-2005 Часть 22 «Статические счетчики активной энергии классов точности 0,2S и 0,5S», ГОСТ Р 52322-2005 Часть 21 «Статические счетчики активной энергии классов точности 1 и 2» (для реактивной энергии - ГОСТ Р 52425−2005 «Статические счетчики реактивной энергии»), IEC61107 или ГОСТ 31818.11-2012 «Аппаратура для измерения электрической энергии переменного тока. Общие требования. Испытания и условия испытаний. Счетчики электрической энергии», ГОСТ 31819.21-2012 «Аппаратура для измерения электрической энергии переменного тока. Частные требования. Статические счетчики активной энергии классов точности 1 и 2», ГОСТ 31819.22-2012 «Аппаратура для измерения электрической энергии переменного тока. Частные требования. Статические счетчики активной энергии классов точности 0,2s и 0,5s», ГОСТ 31819.23-2012 «Аппаратура для измерения электрической энергии переменного тока. Частные требования. Счетчики статические реактивной энергии»</w:t>
      </w:r>
    </w:p>
    <w:p>
      <w:pPr>
        <w:pStyle w:val="Normal"/>
        <w:spacing w:lineRule="auto" w:line="240" w:before="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Гарантийный срок эксплуатации счетчиков – 60 месяцев со дня ввода их в эксплуатацию.</w:t>
      </w:r>
    </w:p>
    <w:p>
      <w:pPr>
        <w:pStyle w:val="Normal"/>
        <w:spacing w:lineRule="auto" w:line="240" w:before="0" w:after="12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7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Технические требования к оборудованию:</w:t>
      </w:r>
    </w:p>
    <w:p>
      <w:pPr>
        <w:pStyle w:val="Default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целях совместимости с уже действующими системами учёта электроэнергии АО «Региональная сетевая компания», все закупаемые приборы учета электроэнергии должны быть совместимы по протоколу обмена данных </w:t>
      </w:r>
      <w:r>
        <w:rPr/>
        <w:t>МИ107</w:t>
      </w:r>
      <w:r>
        <w:rPr>
          <w:rFonts w:eastAsia="Times New Roman"/>
          <w:lang w:eastAsia="ru-RU"/>
        </w:rPr>
        <w:t xml:space="preserve">, </w:t>
      </w:r>
      <w:r>
        <w:rPr/>
        <w:t>МИ307 и DLMS/COSEM IEC 62056; через</w:t>
      </w:r>
      <w:r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bCs/>
          <w:lang w:val="en-US" w:eastAsia="ru-RU"/>
        </w:rPr>
        <w:t>RF</w:t>
      </w:r>
      <w:r>
        <w:rPr>
          <w:rFonts w:eastAsia="Times New Roman"/>
          <w:bCs/>
          <w:lang w:eastAsia="ru-RU"/>
        </w:rPr>
        <w:t xml:space="preserve">, </w:t>
      </w:r>
      <w:r>
        <w:rPr>
          <w:rFonts w:eastAsia="Times New Roman"/>
          <w:bCs/>
          <w:lang w:val="en-US" w:eastAsia="ru-RU"/>
        </w:rPr>
        <w:t>GSM</w:t>
      </w:r>
      <w:r>
        <w:rPr>
          <w:rFonts w:eastAsia="Times New Roman"/>
          <w:bCs/>
          <w:lang w:eastAsia="ru-RU"/>
        </w:rPr>
        <w:t>/</w:t>
      </w:r>
      <w:r>
        <w:rPr>
          <w:rFonts w:eastAsia="Times New Roman"/>
          <w:bCs/>
          <w:lang w:val="en-US" w:eastAsia="ru-RU"/>
        </w:rPr>
        <w:t>GPRS</w:t>
      </w:r>
      <w:r>
        <w:rPr>
          <w:rFonts w:eastAsia="Times New Roman"/>
          <w:bCs/>
          <w:lang w:eastAsia="ru-RU"/>
        </w:rPr>
        <w:t xml:space="preserve">, </w:t>
      </w:r>
      <w:r>
        <w:rPr>
          <w:rFonts w:eastAsia="Times New Roman"/>
          <w:bCs/>
          <w:lang w:val="en-US" w:eastAsia="ru-RU"/>
        </w:rPr>
        <w:t>PLC</w:t>
      </w:r>
      <w:r>
        <w:rPr>
          <w:rFonts w:eastAsia="Times New Roman"/>
          <w:lang w:eastAsia="ru-RU"/>
        </w:rPr>
        <w:t xml:space="preserve"> с системой верхнего уровня на базе ПО МиниАМР, а также с системами нижнего уровня, УСПД и счетчиками марки Милур, для возможности дооснащения приборами в существующих системах учета электроэнергии с удаленным сбором данных.</w:t>
      </w:r>
    </w:p>
    <w:p>
      <w:pPr>
        <w:pStyle w:val="Default"/>
        <w:ind w:firstLine="567"/>
        <w:jc w:val="both"/>
        <w:rPr>
          <w:rFonts w:eastAsia="Times New Roman"/>
          <w:lang w:eastAsia="ru-RU"/>
        </w:rPr>
      </w:pPr>
      <w:r>
        <w:rPr/>
      </w:r>
    </w:p>
    <w:sectPr>
      <w:type w:val="nextPage"/>
      <w:pgSz w:w="11906" w:h="16838"/>
      <w:pgMar w:left="1276" w:right="760" w:gutter="0" w:header="0" w:top="567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 Unicode M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uiPriority w:val="99"/>
    <w:semiHidden/>
    <w:qFormat/>
    <w:rsid w:val="004918d2"/>
    <w:rPr/>
  </w:style>
  <w:style w:type="character" w:styleId="Style15" w:customStyle="1">
    <w:name w:val="Название Знак"/>
    <w:basedOn w:val="DefaultParagraphFont"/>
    <w:qFormat/>
    <w:rsid w:val="004918d2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uiPriority w:val="99"/>
    <w:semiHidden/>
    <w:unhideWhenUsed/>
    <w:rsid w:val="004918d2"/>
    <w:pPr>
      <w:spacing w:before="0" w:after="12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905b3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Style21">
    <w:name w:val="Title"/>
    <w:basedOn w:val="Normal"/>
    <w:next w:val="Style17"/>
    <w:qFormat/>
    <w:rsid w:val="004918d2"/>
    <w:pPr>
      <w:spacing w:lineRule="auto" w:line="240" w:before="0" w:after="0"/>
      <w:jc w:val="center"/>
      <w:textAlignment w:val="baseli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Style71" w:customStyle="1">
    <w:name w:val="Style7"/>
    <w:basedOn w:val="Normal"/>
    <w:qFormat/>
    <w:pPr>
      <w:widowControl w:val="false"/>
      <w:spacing w:lineRule="auto" w:line="240" w:before="0" w:after="0"/>
    </w:pPr>
    <w:rPr>
      <w:rFonts w:ascii="Arial Unicode MS" w:hAnsi="Arial Unicode MS" w:eastAsia="Arial Unicode MS" w:cs="Arial Unicode MS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CE416-3961-4D2D-8FBB-2AB87D05C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Application>LibreOffice/7.5.1.2$Windows_X86_64 LibreOffice_project/fcbaee479e84c6cd81291587d2ee68cba099e129</Application>
  <AppVersion>15.0000</AppVersion>
  <Pages>2</Pages>
  <Words>664</Words>
  <Characters>4733</Characters>
  <CharactersWithSpaces>5381</CharactersWithSpaces>
  <Paragraphs>36</Paragraphs>
  <Company>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2022-01-31T10:42:00Z</dcterms:created>
  <dc:creator>Петухов Алексей Александрович</dc:creator>
  <dc:description/>
  <dc:language>ru-RU</dc:language>
  <cp:lastModifiedBy/>
  <cp:lastPrinted>2022-01-28T09:34:00Z</cp:lastPrinted>
  <dcterms:modified xsi:type="dcterms:W3CDTF">2024-04-10T16:11:08Z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