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0"/>
        <w:jc w:val="center"/>
        <w:spacing w:line="240" w:lineRule="auto"/>
        <w:rPr>
          <w:rFonts w:ascii="Liberation Serif" w:hAnsi="Liberation Serif" w:eastAsia="Liberation Serif" w:cs="Liberation Serif"/>
          <w:b/>
          <w:bCs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b/>
          <w:sz w:val="20"/>
          <w:szCs w:val="20"/>
        </w:rPr>
        <w:t xml:space="preserve">ТЕХНИЧЕСКОЕ ЗАДАНИЕ</w:t>
      </w:r>
      <w:r>
        <w:rPr>
          <w:rFonts w:ascii="Liberation Serif" w:hAnsi="Liberation Serif" w:eastAsia="Liberation Serif" w:cs="Liberation Serif"/>
          <w:b/>
          <w:bCs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b/>
          <w:bCs/>
          <w:sz w:val="20"/>
          <w:szCs w:val="20"/>
          <w:highlight w:val="none"/>
        </w:rPr>
      </w:r>
    </w:p>
    <w:p>
      <w:pPr>
        <w:contextualSpacing/>
        <w:ind w:firstLine="0"/>
        <w:jc w:val="center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0"/>
          <w:szCs w:val="20"/>
        </w:rPr>
        <w:t xml:space="preserve">1. 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</w:rPr>
        <w:t xml:space="preserve"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</w:rPr>
      </w:r>
    </w:p>
    <w:p>
      <w:pPr>
        <w:contextualSpacing/>
        <w:ind w:left="0" w:right="-115" w:firstLine="0"/>
        <w:spacing w:line="240" w:lineRule="auto"/>
        <w:shd w:val="clear" w:color="auto" w:fill="ffffff"/>
        <w:widowControl w:val="off"/>
        <w:rPr>
          <w:rFonts w:ascii="Liberation Serif" w:hAnsi="Liberation Serif" w:cs="Liberation Serif"/>
          <w:b/>
          <w:color w:val="000000"/>
          <w:sz w:val="20"/>
          <w:szCs w:val="20"/>
        </w:rPr>
      </w:pPr>
      <w:r>
        <w:rPr>
          <w:rFonts w:ascii="Liberation Serif" w:hAnsi="Liberation Serif" w:cs="Liberation Serif"/>
          <w:b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color w:val="000000"/>
          <w:sz w:val="20"/>
          <w:szCs w:val="20"/>
        </w:rPr>
      </w:r>
    </w:p>
    <w:tbl>
      <w:tblPr>
        <w:tblStyle w:val="858"/>
        <w:tblW w:w="0" w:type="auto"/>
        <w:jc w:val="center"/>
        <w:tblInd w:w="314" w:type="dxa"/>
        <w:tblLayout w:type="fixed"/>
        <w:tblLook w:val="04A0" w:firstRow="1" w:lastRow="0" w:firstColumn="1" w:lastColumn="0" w:noHBand="0" w:noVBand="1"/>
      </w:tblPr>
      <w:tblGrid>
        <w:gridCol w:w="1779"/>
        <w:gridCol w:w="1559"/>
        <w:gridCol w:w="5039"/>
        <w:gridCol w:w="890"/>
        <w:gridCol w:w="1047"/>
      </w:tblGrid>
      <w:tr>
        <w:tblPrEx/>
        <w:trPr>
          <w:trHeight w:val="588"/>
        </w:trPr>
        <w:tc>
          <w:tcPr>
            <w:tcW w:w="177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83" w:firstLine="0"/>
              <w:jc w:val="center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iCs/>
                <w:color w:val="000000"/>
                <w:sz w:val="18"/>
                <w:szCs w:val="18"/>
                <w:lang w:eastAsia="zh-CN" w:bidi="hi-IN"/>
              </w:rPr>
              <w:t xml:space="preserve">Наименование</w:t>
            </w:r>
            <w:r>
              <w:rPr>
                <w:rFonts w:ascii="Liberation Serif" w:hAnsi="Liberation Serif" w:eastAsia="Liberation Serif" w:cs="Liberation Serif"/>
                <w:b/>
                <w:bCs/>
                <w:iCs/>
                <w:color w:val="000000"/>
                <w:sz w:val="18"/>
                <w:szCs w:val="18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iCs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line="240" w:lineRule="auto"/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  <w:lang w:val="en-US" w:eastAsia="zh-CN" w:bidi="hi-IN"/>
              </w:rPr>
              <w:t xml:space="preserve">Код по ОКПД 2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503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right="-115" w:firstLine="0"/>
              <w:jc w:val="center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  <w:lang w:val="en-US" w:eastAsia="zh-CN" w:bidi="hi-IN"/>
              </w:rPr>
              <w:t xml:space="preserve">Характеристики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89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-115" w:firstLine="0"/>
              <w:jc w:val="left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  <w:highlight w:val="none"/>
                <w:lang w:eastAsia="zh-CN" w:bidi="hi-IN"/>
              </w:rPr>
              <w:t xml:space="preserve">Ед. изм.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  <w:highlight w:val="yellow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  <w:highlight w:val="yellow"/>
                <w:lang w:eastAsia="zh-CN" w:bidi="hi-IN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  <w:highlight w:val="none"/>
                <w:lang w:eastAsia="zh-CN" w:bidi="hi-IN"/>
              </w:rPr>
              <w:t xml:space="preserve">Кол-во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  <w:highlight w:val="yellow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18"/>
                <w:szCs w:val="18"/>
                <w:highlight w:val="yellow"/>
                <w:lang w:eastAsia="zh-CN" w:bidi="hi-IN"/>
              </w:rPr>
            </w:r>
          </w:p>
        </w:tc>
      </w:tr>
      <w:tr>
        <w:tblPrEx/>
        <w:trPr>
          <w:trHeight w:val="5931"/>
        </w:trPr>
        <w:tc>
          <w:tcPr>
            <w:tcW w:w="177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83" w:firstLine="0"/>
              <w:jc w:val="center"/>
              <w:spacing w:line="240" w:lineRule="auto"/>
              <w:shd w:val="clear" w:color="auto" w:fill="ffffff"/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1. Снежная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пушка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0"/>
                <w:szCs w:val="20"/>
              </w:rPr>
            </w:r>
          </w:p>
          <w:p>
            <w:pPr>
              <w:contextualSpacing/>
              <w:ind w:left="0" w:right="83" w:firstLine="0"/>
              <w:jc w:val="center"/>
              <w:spacing w:line="240" w:lineRule="auto"/>
              <w:shd w:val="clear" w:color="auto" w:fill="ffffff"/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lang w:val="en-US" w:eastAsia="ru-RU"/>
              </w:rPr>
              <w:t xml:space="preserve">SMI Super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lang w:val="en-US" w:eastAsia="ru-RU"/>
              </w:rPr>
              <w:t xml:space="preserve">PoleCat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val="en-US" w:eastAsia="zh-CN" w:bidi="hi-IN"/>
              </w:rPr>
              <w:t xml:space="preserve">28.99.39.190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</w:rPr>
            </w:r>
          </w:p>
        </w:tc>
        <w:tc>
          <w:tcPr>
            <w:tcW w:w="503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 w:themeColor="text1"/>
                <w:sz w:val="18"/>
                <w:szCs w:val="18"/>
                <w:lang w:val="en-US" w:eastAsia="zh-CN" w:bidi="hi-IN"/>
              </w:rPr>
              <w:t xml:space="preserve">Назначение: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для производства снега для горнолыжных склонов или лыжных трасс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18"/>
                <w:szCs w:val="18"/>
                <w:highlight w:val="none"/>
              </w:rPr>
              <w:t xml:space="preserve">.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18"/>
                <w:szCs w:val="18"/>
                <w:highlight w:val="none"/>
              </w:rPr>
            </w:r>
          </w:p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  <w:lang w:eastAsia="zh-CN" w:bidi="hi-IN"/>
              </w:rPr>
              <w:t xml:space="preserve">Тип управления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 w:bidi="hi-IN"/>
              </w:rPr>
              <w:t xml:space="preserve">: ручное;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18"/>
                <w:szCs w:val="1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18"/>
                <w:szCs w:val="18"/>
                <w:highlight w:val="none"/>
              </w:rPr>
            </w:r>
          </w:p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  <w:lang w:eastAsia="zh-CN" w:bidi="hi-IN"/>
              </w:rPr>
              <w:t xml:space="preserve">Рама: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  <w:lang w:eastAsia="zh-CN" w:bidi="hi-IN"/>
              </w:rPr>
              <w:t xml:space="preserve">трехколесная, оцинкованная;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</w:rPr>
            </w:r>
          </w:p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  <w:lang w:eastAsia="zh-CN" w:bidi="hi-IN"/>
              </w:rPr>
              <w:t xml:space="preserve">Скобы для транспортировки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  <w:lang w:eastAsia="zh-CN" w:bidi="hi-IN"/>
              </w:rPr>
              <w:t xml:space="preserve">ратраком: наличие;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</w:rPr>
            </w:r>
          </w:p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  <w:lang w:eastAsia="zh-CN" w:bidi="hi-IN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  <w:lang w:eastAsia="zh-CN" w:bidi="hi-IN"/>
              </w:rPr>
              <w:t xml:space="preserve">Домкраты горизонтальной фиксации пушки: наличие;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18"/>
                <w:szCs w:val="18"/>
                <w:lang w:eastAsia="zh-CN" w:bidi="hi-IN"/>
              </w:rPr>
            </w:r>
          </w:p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Вентилятор/ материал: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10-и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лопастной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/ алюминий;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</w:p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Корпус барабана: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металлический;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</w:p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Домкрат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ручной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 для вертикальной регулировки направления работы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снегогенератора: наличие;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</w:p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Центральный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нуклеатор: наличие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;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</w:p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Материал водяного коллектора: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нержавеющая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с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таль;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</w:p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Материал водяных форсунок: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нержавеющая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с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таль;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</w:p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Тип компрессора: м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асляный;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</w:p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Мощность компрессора: не менее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4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кВт;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</w:p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Обогрев распределительного водяного коллектора: не менее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3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00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Вт;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</w:p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Обогрев питающих водяной и воздушной трубок,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нуклеаторной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 форсунки: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обогревательные кожуха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 или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тены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, мощность не менее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10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0 Вт каждый;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</w:p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Обогрев изоляционного чехла на регуляторе давления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воды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: н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аличие, мощность не менее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20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 Вт.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</w:p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u w:val="singl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u w:val="single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u w:val="single"/>
                <w:lang w:eastAsia="zh-CN" w:bidi="hi-IN"/>
              </w:rPr>
              <w:t xml:space="preserve">3-х ходовые клапаны: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u w:val="single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u w:val="single"/>
              </w:rPr>
            </w:r>
          </w:p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Тип: самодренирующиеся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обогреваемые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(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обогрев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не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мен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ее 25Вт);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</w:p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Количество клапанов: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не менее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4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 –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х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 шт.;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</w:p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highlight w:val="none"/>
                <w:lang w:eastAsia="zh-CN" w:bidi="hi-IN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Материал клапанов: нержавеющая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с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таль;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highlight w:val="none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highlight w:val="none"/>
                <w:lang w:eastAsia="zh-CN" w:bidi="hi-IN"/>
              </w:rPr>
            </w:r>
          </w:p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Наличие автоматического осциллятора с углом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колебания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не менее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5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0 градусов: да;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</w:p>
          <w:p>
            <w:pPr>
              <w:contextualSpacing/>
              <w:ind w:left="0" w:right="4" w:firstLine="0"/>
              <w:jc w:val="both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Кабель электрический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с силовой вилкой: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не менее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10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  <w:t xml:space="preserve">0 м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eastAsia="zh-CN" w:bidi="hi-IN"/>
              </w:rPr>
            </w:r>
          </w:p>
        </w:tc>
        <w:tc>
          <w:tcPr>
            <w:tcW w:w="89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right="-115" w:firstLine="0"/>
              <w:jc w:val="center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highlight w:val="none"/>
                <w:lang w:eastAsia="zh-CN" w:bidi="hi-IN"/>
              </w:rPr>
              <w:t xml:space="preserve">комп.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highlight w:val="yellow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4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highlight w:val="yellow"/>
                <w:lang w:eastAsia="zh-CN" w:bidi="hi-IN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highlight w:val="none"/>
                <w:lang w:eastAsia="zh-CN" w:bidi="hi-IN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highlight w:val="yellow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highlight w:val="yellow"/>
                <w:lang w:eastAsia="zh-CN" w:bidi="hi-IN"/>
              </w:rPr>
            </w:r>
          </w:p>
        </w:tc>
      </w:tr>
      <w:tr>
        <w:tblPrEx/>
        <w:trPr>
          <w:trHeight w:val="2683"/>
        </w:trPr>
        <w:tc>
          <w:tcPr>
            <w:tcW w:w="177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83" w:firstLine="0"/>
              <w:jc w:val="center"/>
              <w:spacing w:line="240" w:lineRule="auto"/>
              <w:shd w:val="clear" w:color="auto" w:fill="ffffff"/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lang w:eastAsia="ru-RU"/>
              </w:rPr>
              <w:t xml:space="preserve">2. Рукав высокого давления с соединением Camlock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val="en-US" w:eastAsia="zh-CN" w:bidi="hi-IN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val="en-US" w:eastAsia="zh-CN" w:bidi="hi-IN"/>
              </w:rPr>
              <w:t xml:space="preserve">22.19.30.133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val="en-US"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lang w:val="en-US" w:eastAsia="zh-CN" w:bidi="hi-IN"/>
              </w:rPr>
            </w:r>
          </w:p>
        </w:tc>
        <w:tc>
          <w:tcPr>
            <w:tcW w:w="503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spacing w:before="0" w:after="0" w:line="57" w:lineRule="atLeast"/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Толщина стенки: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  <w:t xml:space="preserve">от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</w:rPr>
              <w:t xml:space="preserve">3,8 до 4,0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 мм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  <w:t xml:space="preserve">;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whit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white"/>
              </w:rPr>
            </w:r>
          </w:p>
          <w:p>
            <w:pPr>
              <w:contextualSpacing/>
              <w:ind w:left="0" w:right="0" w:firstLine="0"/>
              <w:spacing w:before="0" w:after="0" w:line="57" w:lineRule="atLeast"/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whit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Длина рукава: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  <w:t xml:space="preserve">от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</w:rPr>
              <w:t xml:space="preserve">20 до 30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м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  <w:t xml:space="preserve">;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r>
          </w:p>
          <w:p>
            <w:pPr>
              <w:contextualSpacing/>
              <w:ind w:left="0" w:right="0" w:firstLine="0"/>
              <w:spacing w:before="0" w:after="0" w:line="57" w:lineRule="atLeast"/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Диаметр рукава: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</w:rPr>
              <w:t xml:space="preserve">2” (дюйма) - DN50 (50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 мм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  <w:t xml:space="preserve">);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r>
          </w:p>
          <w:p>
            <w:pPr>
              <w:contextualSpacing/>
              <w:ind w:left="0" w:right="0" w:firstLine="0"/>
              <w:spacing w:before="0" w:after="0" w:line="57" w:lineRule="atLeast"/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Рабочее давление: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</w:rPr>
              <w:t xml:space="preserve">40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бар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  <w:t xml:space="preserve">;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r>
          </w:p>
          <w:p>
            <w:pPr>
              <w:contextualSpacing/>
              <w:ind w:left="0" w:right="0" w:firstLine="0"/>
              <w:spacing w:before="0" w:after="0" w:line="57" w:lineRule="atLeast"/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Испытательное давление: 60 бар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  <w:t xml:space="preserve">;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r>
          </w:p>
          <w:p>
            <w:pPr>
              <w:contextualSpacing/>
              <w:ind w:left="0" w:right="0" w:firstLine="0"/>
              <w:spacing w:before="0" w:after="0" w:line="57" w:lineRule="atLeast"/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Давление разрыва: 120 бар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  <w:t xml:space="preserve">;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r>
          </w:p>
          <w:p>
            <w:pPr>
              <w:contextualSpacing/>
              <w:ind w:left="0" w:right="0" w:firstLine="0"/>
              <w:spacing w:before="0" w:after="0" w:line="57" w:lineRule="atLeast"/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Вес: 630 г/м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  <w:t xml:space="preserve">;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r>
          </w:p>
          <w:p>
            <w:pPr>
              <w:contextualSpacing/>
              <w:ind w:left="0" w:right="0" w:firstLine="0"/>
              <w:spacing w:before="0" w:after="0" w:line="57" w:lineRule="atLeast"/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Внутренний шланг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  <w:t xml:space="preserve">: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</w:rPr>
              <w:t xml:space="preserve">полиэтиленовая ткань с футировкой из EPDM-резины;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</w:rPr>
            </w:r>
          </w:p>
          <w:p>
            <w:pPr>
              <w:contextualSpacing/>
              <w:ind w:left="0" w:right="0" w:firstLine="0"/>
              <w:spacing w:before="0" w:after="0" w:line="57" w:lineRule="atLeast"/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Наружный шланг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  <w:t xml:space="preserve">: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</w:rPr>
              <w:t xml:space="preserve">полиэтиленовая ткань с полиуретановым покрытием;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18"/>
                <w:szCs w:val="18"/>
                <w:highlight w:val="none"/>
              </w:rPr>
            </w:r>
          </w:p>
          <w:p>
            <w:pPr>
              <w:contextualSpacing/>
              <w:ind w:left="0" w:right="0" w:firstLine="0"/>
              <w:spacing w:line="240" w:lineRule="auto"/>
              <w:rPr>
                <w:rFonts w:ascii="Liberation Serif" w:hAnsi="Liberation Serif" w:cs="Liberation Serif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1a1a1a"/>
                <w:sz w:val="18"/>
                <w:szCs w:val="18"/>
              </w:rPr>
              <w:t xml:space="preserve">Быстроразъемное соединение </w:t>
            </w:r>
            <w:r>
              <w:rPr>
                <w:rFonts w:ascii="Liberation Serif" w:hAnsi="Liberation Serif" w:eastAsia="Liberation Serif" w:cs="Liberation Serif"/>
                <w:color w:val="1a1a1a"/>
                <w:sz w:val="18"/>
                <w:szCs w:val="18"/>
              </w:rPr>
              <w:t xml:space="preserve">Camlock E с одной стороны и Camlock С с другой стороны</w:t>
            </w: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</w:r>
          </w:p>
        </w:tc>
        <w:tc>
          <w:tcPr>
            <w:tcW w:w="89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right="-115" w:firstLine="0"/>
              <w:jc w:val="center"/>
              <w:spacing w:line="240" w:lineRule="auto"/>
              <w:shd w:val="clear" w:color="auto" w:fill="ffffff"/>
              <w:widowControl w:val="off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highlight w:val="yellow"/>
                <w:lang w:eastAsia="zh-CN" w:bidi="hi-IN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highlight w:val="none"/>
                <w:lang w:eastAsia="zh-CN" w:bidi="hi-IN"/>
              </w:rPr>
              <w:t xml:space="preserve">шт.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highlight w:val="yellow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highlight w:val="yellow"/>
                <w:lang w:eastAsia="zh-CN" w:bidi="hi-IN"/>
              </w:rPr>
            </w:r>
          </w:p>
        </w:tc>
        <w:tc>
          <w:tcPr>
            <w:tcW w:w="104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highlight w:val="yellow"/>
                <w:lang w:eastAsia="zh-CN" w:bidi="hi-IN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highlight w:val="none"/>
                <w:lang w:eastAsia="zh-CN" w:bidi="hi-IN"/>
              </w:rPr>
              <w:t xml:space="preserve">10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highlight w:val="yellow"/>
                <w:lang w:eastAsia="zh-CN" w:bidi="hi-IN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  <w:szCs w:val="18"/>
                <w:highlight w:val="yellow"/>
                <w:lang w:eastAsia="zh-CN" w:bidi="hi-IN"/>
              </w:rPr>
            </w:r>
          </w:p>
        </w:tc>
      </w:tr>
    </w:tbl>
    <w:p>
      <w:pPr>
        <w:contextualSpacing/>
        <w:ind w:right="-115"/>
        <w:spacing w:line="240" w:lineRule="auto"/>
        <w:shd w:val="clear" w:color="auto" w:fill="ffffff"/>
        <w:widowControl w:val="off"/>
        <w:rPr>
          <w:rFonts w:ascii="Liberation Serif" w:hAnsi="Liberation Serif" w:cs="Liberation Serif"/>
          <w:b/>
          <w:bCs/>
          <w:color w:val="000000"/>
          <w:sz w:val="20"/>
          <w:szCs w:val="20"/>
        </w:rPr>
      </w:pPr>
      <w:r>
        <w:rPr>
          <w:rFonts w:ascii="Liberation Serif" w:hAnsi="Liberation Serif" w:cs="Liberation Serif"/>
          <w:b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</w:p>
    <w:p>
      <w:pPr>
        <w:pStyle w:val="861"/>
        <w:contextualSpacing/>
        <w:ind w:left="0" w:right="0" w:firstLine="709"/>
        <w:jc w:val="both"/>
        <w:spacing w:before="0" w:beforeAutospacing="0" w:after="0" w:afterAutospacing="0" w:line="240" w:lineRule="auto"/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  <w:t xml:space="preserve">2. Место 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поставки товара</w:t>
      </w:r>
      <w:r>
        <w:rPr>
          <w:rFonts w:ascii="Liberation Serif" w:hAnsi="Liberation Serif" w:eastAsia="Liberation Serif" w:cs="Liberation Serif"/>
          <w:sz w:val="20"/>
          <w:szCs w:val="20"/>
        </w:rPr>
        <w:t xml:space="preserve">:</w:t>
      </w:r>
      <w:r>
        <w:rPr>
          <w:rFonts w:ascii="Liberation Serif" w:hAnsi="Liberation Serif" w:eastAsia="Liberation Serif" w:cs="Liberation Serif"/>
          <w:b w:val="0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 xml:space="preserve">ЯНАО, городской округ город Лабытнанги, город Лабытнанги, мкр. Октябрьский, д. 1, 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в рабочие дни с 9.00 -12.00, 14.00 – 17.00 часов местного времени (МСК +2).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</w:r>
    </w:p>
    <w:p>
      <w:pPr>
        <w:pStyle w:val="861"/>
        <w:contextualSpacing/>
        <w:ind w:left="0" w:right="0" w:firstLine="709"/>
        <w:jc w:val="both"/>
        <w:spacing w:before="0" w:beforeAutospacing="0" w:after="0" w:afterAutospacing="0" w:line="240" w:lineRule="auto"/>
        <w:rPr>
          <w:rFonts w:ascii="Liberation Serif" w:hAnsi="Liberation Serif" w:eastAsia="Liberation Serif" w:cs="Liberation Serif"/>
          <w:b w:val="0"/>
          <w:bCs w:val="0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sz w:val="20"/>
          <w:szCs w:val="20"/>
          <w:highlight w:val="none"/>
        </w:rPr>
      </w:r>
    </w:p>
    <w:p>
      <w:pPr>
        <w:pStyle w:val="861"/>
        <w:contextualSpacing/>
        <w:ind w:left="0" w:right="0" w:firstLine="709"/>
        <w:jc w:val="both"/>
        <w:spacing w:before="0" w:beforeAutospacing="0" w:after="0" w:afterAutospacing="0" w:line="240" w:lineRule="auto"/>
        <w:rPr>
          <w:rFonts w:ascii="Liberation Serif" w:hAnsi="Liberation Serif" w:eastAsia="Liberation Serif" w:cs="Liberation Serif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3. </w:t>
      </w:r>
      <w:r>
        <w:rPr>
          <w:rFonts w:ascii="Liberation Serif" w:hAnsi="Liberation Serif" w:eastAsia="Liberation Serif" w:cs="Liberation Serif"/>
          <w:b/>
          <w:color w:val="000000" w:themeColor="text1"/>
          <w:sz w:val="20"/>
          <w:szCs w:val="20"/>
        </w:rPr>
        <w:t xml:space="preserve">Срок поставки </w:t>
      </w:r>
      <w:r>
        <w:rPr>
          <w:rFonts w:ascii="Liberation Serif" w:hAnsi="Liberation Serif" w:eastAsia="Liberation Serif" w:cs="Liberation Serif"/>
          <w:b/>
          <w:color w:val="000000" w:themeColor="text1"/>
          <w:sz w:val="20"/>
          <w:szCs w:val="20"/>
        </w:rPr>
        <w:t xml:space="preserve">товара :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 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не позднее 30.11.2024 г.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.</w:t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  <w:r>
        <w:rPr>
          <w:rFonts w:ascii="Liberation Serif" w:hAnsi="Liberation Serif" w:eastAsia="Liberation Serif" w:cs="Liberation Serif"/>
          <w:sz w:val="20"/>
          <w:szCs w:val="20"/>
          <w:highlight w:val="none"/>
        </w:rPr>
      </w:r>
    </w:p>
    <w:p>
      <w:pPr>
        <w:pStyle w:val="861"/>
        <w:contextualSpacing/>
        <w:ind w:left="0"/>
        <w:spacing w:before="0" w:beforeAutospacing="0" w:after="0" w:afterAutospacing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-425" w:leader="none"/>
          <w:tab w:val="left" w:pos="0" w:leader="none"/>
        </w:tabs>
        <w:rPr>
          <w:rFonts w:ascii="Liberation Serif" w:hAnsi="Liberation Serif" w:cs="Liberation Serif"/>
          <w:color w:val="000000" w:themeColor="text1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eastAsia="Liberation Serif" w:cs="Liberation Serif"/>
          <w:b/>
          <w:color w:val="000000" w:themeColor="text1"/>
          <w:sz w:val="20"/>
          <w:szCs w:val="20"/>
        </w:rPr>
        <w:t xml:space="preserve">4.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  <w:lang w:bidi="ru-RU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0"/>
          <w:szCs w:val="20"/>
          <w:lang w:bidi="ru-RU"/>
        </w:rPr>
        <w:t xml:space="preserve">Условия поставки: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  <w:lang w:bidi="ru-RU"/>
        </w:rPr>
        <w:t xml:space="preserve"> 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единовременно одной партией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  <w:lang w:bidi="ru-RU"/>
        </w:rPr>
        <w:t xml:space="preserve">.</w:t>
      </w:r>
      <w:r>
        <w:rPr>
          <w:rFonts w:ascii="Liberation Serif" w:hAnsi="Liberation Serif" w:cs="Liberation Serif"/>
          <w:color w:val="000000" w:themeColor="text1"/>
          <w:sz w:val="20"/>
          <w:szCs w:val="20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-425" w:leader="none"/>
          <w:tab w:val="left" w:pos="0" w:leader="none"/>
        </w:tabs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color w:val="000000" w:themeColor="text1"/>
          <w:sz w:val="20"/>
          <w:szCs w:val="20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-425" w:leader="none"/>
          <w:tab w:val="left" w:pos="0" w:leader="none"/>
        </w:tabs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  <w:lang w:bidi="ru-RU"/>
        </w:rPr>
      </w:r>
      <w:r>
        <w:rPr>
          <w:rFonts w:ascii="Liberation Serif" w:hAnsi="Liberation Serif" w:eastAsia="Liberation Serif" w:cs="Liberation Serif"/>
          <w:b/>
          <w:color w:val="000000" w:themeColor="text1"/>
          <w:sz w:val="20"/>
          <w:szCs w:val="20"/>
        </w:rPr>
        <w:t xml:space="preserve">5. Требования к качеству, безопасности поставляемого товара:</w:t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-425" w:leader="none"/>
          <w:tab w:val="left" w:pos="0" w:leader="none"/>
        </w:tabs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  <w:lang w:bidi="ru-RU"/>
        </w:rPr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5.1. Поставляемый товар должен соответствовать заданным функциональным и качественным характеристикам;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-425" w:leader="none"/>
          <w:tab w:val="left" w:pos="0" w:leader="none"/>
        </w:tabs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5.2.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-425" w:leader="none"/>
          <w:tab w:val="left" w:pos="0" w:leader="none"/>
        </w:tabs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5.3.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-425" w:leader="none"/>
          <w:tab w:val="left" w:pos="0" w:leader="none"/>
        </w:tabs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5.4.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-425" w:leader="none"/>
          <w:tab w:val="left" w:pos="0" w:leader="none"/>
        </w:tabs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5.5.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-425" w:leader="none"/>
          <w:tab w:val="left" w:pos="0" w:leader="none"/>
        </w:tabs>
        <w:rPr>
          <w:rFonts w:ascii="Liberation Serif" w:hAnsi="Liberation Serif" w:cs="Liberation Serif"/>
          <w:color w:val="000000" w:themeColor="text1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b/>
          <w:color w:val="000000" w:themeColor="text1"/>
          <w:sz w:val="20"/>
          <w:szCs w:val="20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-425" w:leader="none"/>
          <w:tab w:val="left" w:pos="0" w:leader="none"/>
        </w:tabs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eastAsia="Liberation Serif" w:cs="Liberation Serif"/>
          <w:b/>
          <w:color w:val="000000" w:themeColor="text1"/>
          <w:sz w:val="20"/>
          <w:szCs w:val="20"/>
        </w:rPr>
        <w:t xml:space="preserve">6. Требования к упаковке и маркировке поставляемого товара:</w:t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-425" w:leader="none"/>
          <w:tab w:val="left" w:pos="0" w:leader="none"/>
        </w:tabs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color w:val="000000" w:themeColor="text1"/>
          <w:sz w:val="20"/>
          <w:szCs w:val="20"/>
        </w:rPr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6.1. 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Упаковка поставляемого товара должна соответствовать требованиям Технического регламента Таможенного союза 005/2011 «О безопасности упаковки»</w:t>
      </w:r>
      <w:r>
        <w:rPr>
          <w:rStyle w:val="862"/>
          <w:rFonts w:ascii="Liberation Serif" w:hAnsi="Liberation Serif" w:eastAsia="Liberation Serif" w:cs="Liberation Serif"/>
          <w:bCs/>
          <w:color w:val="000000" w:themeColor="text1"/>
          <w:sz w:val="20"/>
          <w:szCs w:val="20"/>
        </w:rPr>
        <w:t xml:space="preserve">. 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Упаковка и маркировка должны отвечать требованиям стандартов, технических условий, других нормативно-технических документов и обеспечивать сохранность продукции при перевозке различными видами транспорта с учетом возможности ее перевозок 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и хранения, а также климатических условий, в которых осуществляется перевозка. Весь товар должен быть упакован таким образом, чтобы упаковка позволяла сохранять потребительские свойства товара на протяжении всего срока хранения (при условии соблюдения темп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ературно-влажностного режима хранения)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;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-425" w:leader="none"/>
          <w:tab w:val="left" w:pos="0" w:leader="none"/>
        </w:tabs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6.3. Поставщик несет ответственность за ненадлежащую упаковку, не обеспечивающую сохранность товара при его хранении и транспортировании;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-425" w:leader="none"/>
          <w:tab w:val="left" w:pos="0" w:leader="none"/>
        </w:tabs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6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.4. Упаковка и маркировка товара должна соответствовать требованиям ГОСТ, и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-425" w:leader="none"/>
          <w:tab w:val="left" w:pos="0" w:leader="none"/>
        </w:tabs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b/>
          <w:color w:val="000000" w:themeColor="text1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-425" w:leader="none"/>
          <w:tab w:val="left" w:pos="0" w:leader="none"/>
        </w:tabs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eastAsia="Liberation Serif" w:cs="Liberation Serif"/>
          <w:b/>
          <w:color w:val="000000" w:themeColor="text1"/>
          <w:sz w:val="20"/>
          <w:szCs w:val="20"/>
        </w:rPr>
        <w:t xml:space="preserve">7. Требования к гарантийному сроку товара и (или) объему предоставления гарантий качества товара:</w:t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-425" w:leader="none"/>
          <w:tab w:val="left" w:pos="0" w:leader="none"/>
        </w:tabs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color w:val="000000" w:themeColor="text1"/>
          <w:sz w:val="20"/>
          <w:szCs w:val="20"/>
        </w:rPr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7.1. </w:t>
      </w:r>
      <w:r>
        <w:rPr>
          <w:rFonts w:ascii="Liberation Serif" w:hAnsi="Liberation Serif" w:eastAsia="Liberation Serif" w:cs="Liberation Serif"/>
          <w:b w:val="0"/>
          <w:bCs w:val="0"/>
          <w:sz w:val="20"/>
          <w:szCs w:val="20"/>
          <w:highlight w:val="white"/>
          <w:lang w:eastAsia="de-DE"/>
        </w:rPr>
        <w:t xml:space="preserve">Срок гарантии качества</w:t>
      </w:r>
      <w:r>
        <w:rPr>
          <w:rFonts w:ascii="Liberation Serif" w:hAnsi="Liberation Serif" w:eastAsia="Liberation Serif" w:cs="Liberation Serif"/>
          <w:b w:val="0"/>
          <w:bCs w:val="0"/>
          <w:sz w:val="20"/>
          <w:szCs w:val="20"/>
          <w:highlight w:val="white"/>
          <w:lang w:eastAsia="de-DE"/>
        </w:rPr>
        <w:t xml:space="preserve"> на товар должен быть не менее срока, установленного производителем товара, оп</w:t>
      </w:r>
      <w:r>
        <w:rPr>
          <w:rFonts w:ascii="Liberation Serif" w:hAnsi="Liberation Serif" w:eastAsia="Liberation Serif" w:cs="Liberation Serif"/>
          <w:b w:val="0"/>
          <w:bCs w:val="0"/>
          <w:sz w:val="20"/>
          <w:szCs w:val="20"/>
          <w:highlight w:val="white"/>
          <w:lang w:eastAsia="de-DE"/>
        </w:rPr>
        <w:t xml:space="preserve">ределенного в руководстве (инструкции) по эксплуатации товара или в соответствии с гарантийным талоном производителя. В случае если производитель не установил срок гарантии качества товара, то Поставщик предоставляет свои гарантийные обязательства на срок </w:t>
      </w:r>
      <w:r>
        <w:rPr>
          <w:rFonts w:ascii="Liberation Serif" w:hAnsi="Liberation Serif" w:eastAsia="Liberation Serif" w:cs="Liberation Serif"/>
          <w:b w:val="0"/>
          <w:bCs w:val="0"/>
          <w:sz w:val="20"/>
          <w:szCs w:val="20"/>
          <w:highlight w:val="white"/>
          <w:lang w:eastAsia="de-DE"/>
        </w:rPr>
        <w:t xml:space="preserve">не менее 12 (двенадцати) месяцев</w:t>
      </w:r>
      <w:r>
        <w:rPr>
          <w:rFonts w:ascii="Liberation Serif" w:hAnsi="Liberation Serif" w:eastAsia="Liberation Serif" w:cs="Liberation Serif"/>
          <w:b w:val="0"/>
          <w:bCs w:val="0"/>
          <w:sz w:val="20"/>
          <w:szCs w:val="20"/>
          <w:highlight w:val="white"/>
          <w:lang w:eastAsia="de-DE"/>
        </w:rPr>
        <w:t xml:space="preserve"> с момента подписания уполномоченными представителями Сторон документа о приемке.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-425" w:leader="none"/>
          <w:tab w:val="left" w:pos="0" w:leader="none"/>
        </w:tabs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7.2. Гарантийные обязательства должны распространяться на каждую единицу товара с момента приемки товара Заказчиком.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tabs>
          <w:tab w:val="left" w:pos="-425" w:leader="none"/>
          <w:tab w:val="left" w:pos="0" w:leader="none"/>
        </w:tabs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7.3. Поставщик обязан при обнаружении недостатков у поставляемого товара заменить товар ненадлежащ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</w:rPr>
        <w:t xml:space="preserve">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0"/>
          <w:szCs w:val="20"/>
          <w:highlight w:val="none"/>
        </w:rPr>
      </w:r>
    </w:p>
    <w:p>
      <w:pPr>
        <w:contextualSpacing/>
        <w:ind w:right="-115"/>
        <w:spacing w:line="240" w:lineRule="auto"/>
        <w:shd w:val="clear" w:color="auto" w:fill="ffffff"/>
        <w:widowControl w:val="off"/>
        <w:rPr>
          <w:rFonts w:ascii="Liberation Serif" w:hAnsi="Liberation Serif" w:cs="Liberation Serif"/>
          <w:b/>
          <w:bCs/>
          <w:color w:val="000000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</w:p>
    <w:p>
      <w:pPr>
        <w:contextualSpacing/>
        <w:ind w:right="-115"/>
        <w:spacing w:line="240" w:lineRule="auto"/>
        <w:shd w:val="clear" w:color="auto" w:fill="ffffff"/>
        <w:widowControl w:val="off"/>
        <w:rPr>
          <w:rFonts w:ascii="Liberation Serif" w:hAnsi="Liberation Serif" w:cs="Liberation Serif"/>
          <w:b/>
          <w:bCs/>
          <w:color w:val="000000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</w:p>
    <w:p>
      <w:pPr>
        <w:contextualSpacing/>
        <w:ind w:right="-115"/>
        <w:spacing w:line="240" w:lineRule="auto"/>
        <w:shd w:val="clear" w:color="auto" w:fill="ffffff"/>
        <w:widowControl w:val="off"/>
        <w:rPr>
          <w:rFonts w:ascii="Liberation Serif" w:hAnsi="Liberation Serif" w:cs="Liberation Serif"/>
          <w:b/>
          <w:bCs/>
          <w:color w:val="000000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</w:p>
    <w:p>
      <w:pPr>
        <w:contextualSpacing/>
        <w:ind w:right="-115"/>
        <w:spacing w:line="240" w:lineRule="auto"/>
        <w:shd w:val="clear" w:color="auto" w:fill="ffffff"/>
        <w:widowControl w:val="off"/>
        <w:rPr>
          <w:rFonts w:ascii="Liberation Serif" w:hAnsi="Liberation Serif" w:cs="Liberation Serif"/>
          <w:b/>
          <w:bCs/>
          <w:color w:val="000000"/>
          <w:sz w:val="20"/>
          <w:szCs w:val="20"/>
        </w:rPr>
      </w:pP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  <w:r>
        <w:rPr>
          <w:rFonts w:ascii="Liberation Serif" w:hAnsi="Liberation Serif" w:cs="Liberation Serif"/>
          <w:b/>
          <w:bCs/>
          <w:color w:val="000000"/>
          <w:sz w:val="20"/>
          <w:szCs w:val="20"/>
        </w:rPr>
      </w:r>
    </w:p>
    <w:p>
      <w:pPr>
        <w:contextualSpacing/>
        <w:ind w:firstLine="0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eastAsia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  <w:r>
        <w:rPr>
          <w:rFonts w:ascii="Liberation Serif" w:hAnsi="Liberation Serif" w:cs="Liberation Serif"/>
          <w:sz w:val="20"/>
          <w:szCs w:val="20"/>
        </w:rPr>
      </w:r>
    </w:p>
    <w:sectPr>
      <w:footerReference w:type="default" r:id="rId9"/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rPr>
        <w:rStyle w:val="856"/>
      </w:rPr>
      <w:framePr w:wrap="around" w:vAnchor="text" w:hAnchor="margin" w:xAlign="right" w:y="1"/>
    </w:pPr>
    <w:r>
      <w:rPr>
        <w:rStyle w:val="856"/>
      </w:rPr>
      <w:fldChar w:fldCharType="begin"/>
    </w:r>
    <w:r>
      <w:rPr>
        <w:rStyle w:val="856"/>
      </w:rPr>
      <w:instrText xml:space="preserve">PAGE  </w:instrText>
    </w:r>
    <w:r>
      <w:rPr>
        <w:rStyle w:val="856"/>
      </w:rPr>
      <w:fldChar w:fldCharType="separate"/>
    </w:r>
    <w:r>
      <w:rPr>
        <w:rStyle w:val="856"/>
      </w:rPr>
      <w:t xml:space="preserve">1</w:t>
    </w:r>
    <w:r>
      <w:rPr>
        <w:rStyle w:val="856"/>
      </w:rPr>
      <w:fldChar w:fldCharType="end"/>
    </w:r>
    <w:r>
      <w:rPr>
        <w:rStyle w:val="856"/>
      </w:rPr>
    </w:r>
    <w:r>
      <w:rPr>
        <w:rStyle w:val="856"/>
      </w:rPr>
    </w:r>
  </w:p>
  <w:p>
    <w:pPr>
      <w:pStyle w:val="85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0"/>
    <w:next w:val="850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1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0"/>
    <w:next w:val="850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1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1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1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1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1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1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0"/>
    <w:next w:val="850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1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0"/>
    <w:next w:val="850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1"/>
    <w:link w:val="695"/>
    <w:uiPriority w:val="10"/>
    <w:rPr>
      <w:sz w:val="48"/>
      <w:szCs w:val="48"/>
    </w:rPr>
  </w:style>
  <w:style w:type="paragraph" w:styleId="697">
    <w:name w:val="Subtitle"/>
    <w:basedOn w:val="850"/>
    <w:next w:val="850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1"/>
    <w:link w:val="697"/>
    <w:uiPriority w:val="11"/>
    <w:rPr>
      <w:sz w:val="24"/>
      <w:szCs w:val="24"/>
    </w:rPr>
  </w:style>
  <w:style w:type="paragraph" w:styleId="699">
    <w:name w:val="Quote"/>
    <w:basedOn w:val="850"/>
    <w:next w:val="850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0"/>
    <w:next w:val="850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1"/>
    <w:link w:val="859"/>
    <w:uiPriority w:val="99"/>
  </w:style>
  <w:style w:type="character" w:styleId="704">
    <w:name w:val="Footer Char"/>
    <w:basedOn w:val="851"/>
    <w:link w:val="854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54"/>
    <w:uiPriority w:val="99"/>
  </w:style>
  <w:style w:type="table" w:styleId="707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ind w:firstLine="709"/>
      <w:jc w:val="both"/>
      <w:spacing w:after="0" w:line="360" w:lineRule="auto"/>
    </w:pPr>
    <w:rPr>
      <w:rFonts w:ascii="Times New Roman" w:hAnsi="Times New Roman"/>
      <w:sz w:val="28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Footer"/>
    <w:basedOn w:val="850"/>
    <w:link w:val="855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51"/>
    <w:link w:val="854"/>
    <w:uiPriority w:val="99"/>
    <w:rPr>
      <w:rFonts w:ascii="Times New Roman" w:hAnsi="Times New Roman"/>
      <w:sz w:val="28"/>
    </w:rPr>
  </w:style>
  <w:style w:type="character" w:styleId="856">
    <w:name w:val="page number"/>
    <w:basedOn w:val="851"/>
    <w:uiPriority w:val="99"/>
    <w:rPr>
      <w:rFonts w:cs="Times New Roman"/>
    </w:rPr>
  </w:style>
  <w:style w:type="paragraph" w:styleId="857">
    <w:name w:val="List Paragraph"/>
    <w:basedOn w:val="850"/>
    <w:uiPriority w:val="34"/>
    <w:qFormat/>
    <w:pPr>
      <w:contextualSpacing/>
      <w:ind w:left="720"/>
    </w:pPr>
  </w:style>
  <w:style w:type="table" w:styleId="858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9">
    <w:name w:val="Header"/>
    <w:basedOn w:val="850"/>
    <w:link w:val="860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Верхний колонтитул Знак"/>
    <w:basedOn w:val="851"/>
    <w:link w:val="859"/>
    <w:uiPriority w:val="99"/>
    <w:rPr>
      <w:rFonts w:ascii="Times New Roman" w:hAnsi="Times New Roman"/>
      <w:sz w:val="28"/>
    </w:rPr>
  </w:style>
  <w:style w:type="paragraph" w:styleId="861" w:customStyle="1">
    <w:name w:val="Основной текст с отступом 21"/>
    <w:basedOn w:val="834"/>
    <w:next w:val="840"/>
    <w:link w:val="834"/>
    <w:pPr>
      <w:contextualSpacing w:val="0"/>
      <w:ind w:left="36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2" w:customStyle="1">
    <w:name w:val="Heading 1 Char1"/>
    <w:uiPriority w:val="99"/>
    <w:qFormat/>
    <w:rPr>
      <w:rFonts w:ascii="Arial" w:hAnsi="Arial"/>
      <w:b/>
      <w:sz w:val="24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17</cp:revision>
  <dcterms:created xsi:type="dcterms:W3CDTF">2020-03-12T10:34:00Z</dcterms:created>
  <dcterms:modified xsi:type="dcterms:W3CDTF">2024-07-01T14:35:58Z</dcterms:modified>
</cp:coreProperties>
</file>