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240" w:before="0" w:after="0"/>
        <w:ind w:right="124" w:hanging="0"/>
        <w:jc w:val="center"/>
        <w:rPr>
          <w:rFonts w:ascii="Times New Roman" w:hAnsi="Times New Roman"/>
          <w:b/>
          <w:bCs/>
          <w:sz w:val="24"/>
          <w:szCs w:val="24"/>
        </w:rPr>
      </w:pPr>
      <w:r>
        <w:rPr>
          <w:b/>
          <w:bCs/>
          <w:sz w:val="24"/>
          <w:szCs w:val="24"/>
        </w:rPr>
        <w:t xml:space="preserve">РАЗДЕЛ </w:t>
      </w:r>
      <w:r>
        <w:rPr>
          <w:b/>
          <w:bCs/>
          <w:sz w:val="24"/>
          <w:szCs w:val="24"/>
          <w:lang w:val="en-US"/>
        </w:rPr>
        <w:t>IV</w:t>
      </w:r>
      <w:r>
        <w:rPr>
          <w:b/>
          <w:bCs/>
          <w:sz w:val="24"/>
          <w:szCs w:val="24"/>
        </w:rPr>
        <w:t>. ТЕХНИЧЕСКОЕ ЗАДАНИЕ</w:t>
      </w:r>
    </w:p>
    <w:p>
      <w:pPr>
        <w:pStyle w:val="14"/>
        <w:jc w:val="center"/>
        <w:rPr>
          <w:b/>
        </w:rPr>
      </w:pPr>
      <w:r>
        <w:rPr/>
      </w:r>
    </w:p>
    <w:p>
      <w:pPr>
        <w:pStyle w:val="Normal"/>
        <w:widowControl/>
        <w:numPr>
          <w:ilvl w:val="0"/>
          <w:numId w:val="0"/>
        </w:numPr>
        <w:spacing w:before="0" w:after="0"/>
        <w:ind w:left="-108" w:hanging="0"/>
        <w:jc w:val="right"/>
        <w:outlineLvl w:val="0"/>
        <w:rPr>
          <w:rFonts w:ascii="Times New Roman" w:hAnsi="Times New Roman" w:eastAsia="Times New Roman" w:cs="Times New Roman"/>
          <w:b w:val="false"/>
          <w:bCs w:val="false"/>
          <w:kern w:val="0"/>
          <w:sz w:val="24"/>
          <w:szCs w:val="24"/>
          <w:lang w:val="ru-RU" w:eastAsia="ru-RU" w:bidi="ar-SA"/>
        </w:rPr>
      </w:pPr>
      <w:r>
        <w:rPr>
          <w:rFonts w:eastAsia="Times New Roman" w:cs="Times New Roman"/>
          <w:b w:val="false"/>
          <w:bCs w:val="false"/>
          <w:i/>
          <w:kern w:val="0"/>
          <w:sz w:val="24"/>
          <w:szCs w:val="24"/>
          <w:lang w:val="ru-RU" w:eastAsia="ru-RU" w:bidi="ar-SA"/>
        </w:rPr>
        <w:t>Приложение №1 к  ДОГОВОР</w:t>
      </w:r>
      <w:r>
        <w:rPr>
          <w:rFonts w:eastAsia="Times New Roman" w:cs="Times New Roman"/>
          <w:b w:val="false"/>
          <w:bCs w:val="false"/>
          <w:i/>
          <w:kern w:val="0"/>
          <w:sz w:val="24"/>
          <w:szCs w:val="24"/>
          <w:lang w:val="ru-RU" w:eastAsia="ru-RU" w:bidi="ar-SA"/>
        </w:rPr>
        <w:t>У</w:t>
      </w:r>
      <w:r>
        <w:rPr>
          <w:rFonts w:eastAsia="Times New Roman" w:cs="Times New Roman"/>
          <w:b w:val="false"/>
          <w:bCs w:val="false"/>
          <w:i/>
          <w:kern w:val="0"/>
          <w:sz w:val="24"/>
          <w:szCs w:val="24"/>
          <w:lang w:val="ru-RU" w:eastAsia="ru-RU" w:bidi="ar-SA"/>
        </w:rPr>
        <w:t xml:space="preserve"> № З/РС- - 2024</w:t>
      </w:r>
    </w:p>
    <w:p>
      <w:pPr>
        <w:pStyle w:val="Normal"/>
        <w:widowControl/>
        <w:numPr>
          <w:ilvl w:val="0"/>
          <w:numId w:val="0"/>
        </w:numPr>
        <w:spacing w:before="0" w:after="0"/>
        <w:ind w:left="-108" w:hanging="0"/>
        <w:jc w:val="right"/>
        <w:outlineLvl w:val="0"/>
        <w:rPr>
          <w:rFonts w:ascii="Times New Roman" w:hAnsi="Times New Roman" w:eastAsia="Times New Roman" w:cs="Times New Roman"/>
          <w:b w:val="false"/>
          <w:bCs w:val="false"/>
          <w:kern w:val="0"/>
          <w:sz w:val="24"/>
          <w:szCs w:val="24"/>
          <w:lang w:val="ru-RU" w:eastAsia="ru-RU" w:bidi="ar-SA"/>
        </w:rPr>
      </w:pPr>
      <w:r>
        <w:rPr>
          <w:rFonts w:eastAsia="Times New Roman" w:cs="Times New Roman"/>
          <w:b w:val="false"/>
          <w:bCs w:val="false"/>
          <w:i/>
          <w:kern w:val="0"/>
          <w:sz w:val="24"/>
          <w:szCs w:val="24"/>
          <w:lang w:val="ru-RU" w:eastAsia="ru-RU" w:bidi="ar-SA"/>
        </w:rPr>
        <w:t xml:space="preserve">на выполнение подрядных работ от </w:t>
      </w:r>
      <w:r>
        <w:rPr>
          <w:rFonts w:eastAsia="Times New Roman" w:cs="Times New Roman"/>
          <w:b w:val="false"/>
          <w:bCs w:val="false"/>
          <w:i/>
          <w:kern w:val="0"/>
          <w:sz w:val="24"/>
          <w:szCs w:val="24"/>
          <w:lang w:val="ru-RU" w:eastAsia="ru-RU" w:bidi="ar-SA"/>
        </w:rPr>
        <w:t>«___» __________2024  г.</w:t>
      </w:r>
    </w:p>
    <w:p>
      <w:pPr>
        <w:pStyle w:val="14"/>
        <w:jc w:val="center"/>
        <w:rPr>
          <w:b/>
        </w:rPr>
      </w:pPr>
      <w:r>
        <w:rPr/>
      </w:r>
    </w:p>
    <w:p>
      <w:pPr>
        <w:pStyle w:val="14"/>
        <w:jc w:val="center"/>
        <w:rPr>
          <w:b/>
        </w:rPr>
      </w:pPr>
      <w:r>
        <w:rPr/>
      </w:r>
    </w:p>
    <w:p>
      <w:pPr>
        <w:pStyle w:val="14"/>
        <w:jc w:val="center"/>
        <w:rPr>
          <w:b/>
        </w:rPr>
      </w:pPr>
      <w:r>
        <w:rPr/>
      </w:r>
    </w:p>
    <w:p>
      <w:pPr>
        <w:pStyle w:val="14"/>
        <w:jc w:val="center"/>
        <w:rPr>
          <w:b/>
        </w:rPr>
      </w:pPr>
      <w:r>
        <w:rPr>
          <w:b/>
        </w:rPr>
        <w:t xml:space="preserve">Техническое задание </w:t>
      </w:r>
    </w:p>
    <w:p>
      <w:pPr>
        <w:pStyle w:val="Normal"/>
        <w:jc w:val="center"/>
        <w:rPr/>
      </w:pPr>
      <w:r>
        <w:rPr>
          <w:b/>
        </w:rPr>
        <w:t>на монтаж систем пожарной сигнализации и системы оповещения и эвакуации людей при пожаре для нужд АО «Региональная сетевая компания»</w:t>
      </w:r>
    </w:p>
    <w:p>
      <w:pPr>
        <w:pStyle w:val="Normal"/>
        <w:jc w:val="center"/>
        <w:rPr>
          <w:b/>
        </w:rPr>
      </w:pPr>
      <w:r>
        <w:rPr>
          <w:b/>
        </w:rPr>
      </w:r>
    </w:p>
    <w:p>
      <w:pPr>
        <w:pStyle w:val="ListParagraph"/>
        <w:numPr>
          <w:ilvl w:val="0"/>
          <w:numId w:val="0"/>
        </w:numPr>
        <w:ind w:left="0" w:hanging="0"/>
        <w:jc w:val="both"/>
        <w:outlineLvl w:val="0"/>
        <w:rPr>
          <w:b/>
          <w:bCs/>
        </w:rPr>
      </w:pPr>
      <w:r>
        <w:rPr>
          <w:b/>
          <w:bCs/>
        </w:rPr>
        <w:t xml:space="preserve">1. Наименование выполняемых работ: </w:t>
      </w:r>
      <w:r>
        <w:rPr/>
        <w:t>монтаж систем пожарной сигнализации и системы оповещения и эвакуации людей при пожаре</w:t>
      </w:r>
    </w:p>
    <w:p>
      <w:pPr>
        <w:pStyle w:val="ListParagraph"/>
        <w:numPr>
          <w:ilvl w:val="0"/>
          <w:numId w:val="0"/>
        </w:numPr>
        <w:ind w:left="0" w:hanging="0"/>
        <w:jc w:val="both"/>
        <w:outlineLvl w:val="0"/>
        <w:rPr>
          <w:b/>
          <w:bCs/>
        </w:rPr>
      </w:pPr>
      <w:r>
        <w:rPr>
          <w:b/>
          <w:bCs/>
        </w:rPr>
        <w:t>Назначение и цели создания систем АПС и СОУЭ:</w:t>
      </w:r>
    </w:p>
    <w:p>
      <w:pPr>
        <w:pStyle w:val="ListParagraph"/>
        <w:numPr>
          <w:ilvl w:val="0"/>
          <w:numId w:val="0"/>
        </w:numPr>
        <w:ind w:left="0" w:hanging="0"/>
        <w:jc w:val="both"/>
        <w:outlineLvl w:val="0"/>
        <w:rPr/>
      </w:pPr>
      <w:r>
        <w:rPr/>
        <w:t>Целью создания системы пожарной сигнализации и системы оповещения и управления людьми при пожаре является создание интегрированной автоматизированной системы, соответствующей требованиям законодательства, действующего на территории Российской Федерации для обеспечения защиты людей и имущества от пожаров.</w:t>
      </w:r>
    </w:p>
    <w:p>
      <w:pPr>
        <w:pStyle w:val="ListParagraph"/>
        <w:numPr>
          <w:ilvl w:val="0"/>
          <w:numId w:val="0"/>
        </w:numPr>
        <w:ind w:left="0" w:hanging="0"/>
        <w:jc w:val="both"/>
        <w:outlineLvl w:val="0"/>
        <w:rPr>
          <w:b/>
          <w:bCs/>
        </w:rPr>
      </w:pPr>
      <w:r>
        <w:rPr>
          <w:b/>
          <w:bCs/>
        </w:rPr>
        <w:t>2. Виды выполняемых работ:</w:t>
      </w:r>
    </w:p>
    <w:p>
      <w:pPr>
        <w:pStyle w:val="ListParagraph"/>
        <w:numPr>
          <w:ilvl w:val="0"/>
          <w:numId w:val="0"/>
        </w:numPr>
        <w:ind w:left="0" w:hanging="0"/>
        <w:jc w:val="both"/>
        <w:outlineLvl w:val="0"/>
        <w:rPr/>
      </w:pPr>
      <w:r>
        <w:rPr/>
        <w:t>2.1. Выполняемые работы, используемые материалы, оборудования, изделия, иные предметы должны соответствовать документации (проектная документация, приложенная отдельным файлом) и данного технического задания.</w:t>
      </w:r>
    </w:p>
    <w:p>
      <w:pPr>
        <w:pStyle w:val="ListParagraph"/>
        <w:numPr>
          <w:ilvl w:val="0"/>
          <w:numId w:val="0"/>
        </w:numPr>
        <w:ind w:left="0" w:hanging="0"/>
        <w:jc w:val="both"/>
        <w:outlineLvl w:val="0"/>
        <w:rPr>
          <w:highlight w:val="none"/>
          <w:shd w:fill="auto" w:val="clear"/>
        </w:rPr>
      </w:pPr>
      <w:r>
        <w:rPr>
          <w:shd w:fill="auto" w:val="clear"/>
        </w:rPr>
        <w:t>2.2. В случае если в проектно-сметной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проектно-сметной документации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проектно-сметной документации установлены требования к участнику закупки – считать их недействительными.</w:t>
      </w:r>
    </w:p>
    <w:p>
      <w:pPr>
        <w:pStyle w:val="Normal"/>
        <w:numPr>
          <w:ilvl w:val="0"/>
          <w:numId w:val="0"/>
        </w:numPr>
        <w:jc w:val="both"/>
        <w:outlineLvl w:val="0"/>
        <w:rPr>
          <w:highlight w:val="none"/>
          <w:shd w:fill="auto" w:val="clear"/>
        </w:rPr>
      </w:pPr>
      <w:r>
        <w:rPr>
          <w:b/>
          <w:bCs/>
          <w:shd w:fill="auto" w:val="clear"/>
        </w:rPr>
        <w:t xml:space="preserve">3. Место выполнения работ: </w:t>
      </w:r>
      <w:r>
        <w:rPr>
          <w:shd w:fill="auto" w:val="clear"/>
        </w:rPr>
        <w:t>624481, Свердловская обл., г. Североуральск, ул. Ленина, д.7</w:t>
      </w:r>
    </w:p>
    <w:p>
      <w:pPr>
        <w:pStyle w:val="Normal"/>
        <w:numPr>
          <w:ilvl w:val="0"/>
          <w:numId w:val="0"/>
        </w:numPr>
        <w:jc w:val="both"/>
        <w:outlineLvl w:val="0"/>
        <w:rPr>
          <w:highlight w:val="none"/>
          <w:shd w:fill="auto" w:val="clear"/>
        </w:rPr>
      </w:pPr>
      <w:r>
        <w:rPr>
          <w:shd w:fill="auto" w:val="clear"/>
        </w:rPr>
        <w:t>Характеристики помещений:</w:t>
      </w:r>
    </w:p>
    <w:p>
      <w:pPr>
        <w:pStyle w:val="Normal"/>
        <w:numPr>
          <w:ilvl w:val="0"/>
          <w:numId w:val="0"/>
        </w:numPr>
        <w:jc w:val="both"/>
        <w:outlineLvl w:val="0"/>
        <w:rPr>
          <w:highlight w:val="none"/>
          <w:shd w:fill="auto" w:val="clear"/>
        </w:rPr>
      </w:pPr>
      <w:r>
        <w:rPr>
          <w:shd w:fill="auto" w:val="clear"/>
        </w:rPr>
        <w:t>Административное бытовой комплекс. Помещения объекта включают в себя бытовые, технические, вспомогательные, административные помещения.</w:t>
      </w:r>
    </w:p>
    <w:p>
      <w:pPr>
        <w:pStyle w:val="Normal"/>
        <w:numPr>
          <w:ilvl w:val="0"/>
          <w:numId w:val="0"/>
        </w:numPr>
        <w:jc w:val="both"/>
        <w:outlineLvl w:val="0"/>
        <w:rPr>
          <w:highlight w:val="none"/>
          <w:shd w:fill="auto" w:val="clear"/>
        </w:rPr>
      </w:pPr>
      <w:r>
        <w:rPr>
          <w:shd w:fill="auto" w:val="clear"/>
        </w:rPr>
        <w:t>Технические помещения - подвал. Вспомогательные помещения – чердак.</w:t>
      </w:r>
    </w:p>
    <w:p>
      <w:pPr>
        <w:pStyle w:val="Normal"/>
        <w:numPr>
          <w:ilvl w:val="0"/>
          <w:numId w:val="0"/>
        </w:numPr>
        <w:jc w:val="both"/>
        <w:outlineLvl w:val="0"/>
        <w:rPr>
          <w:highlight w:val="none"/>
          <w:shd w:fill="auto" w:val="clear"/>
        </w:rPr>
      </w:pPr>
      <w:r>
        <w:rPr>
          <w:shd w:fill="auto" w:val="clear"/>
        </w:rPr>
        <w:t>Температура воздуха – от +10 до + 40 °С.</w:t>
      </w:r>
    </w:p>
    <w:p>
      <w:pPr>
        <w:pStyle w:val="Normal"/>
        <w:numPr>
          <w:ilvl w:val="0"/>
          <w:numId w:val="0"/>
        </w:numPr>
        <w:jc w:val="both"/>
        <w:outlineLvl w:val="0"/>
        <w:rPr>
          <w:highlight w:val="none"/>
          <w:shd w:fill="auto" w:val="clear"/>
        </w:rPr>
      </w:pPr>
      <w:r>
        <w:rPr>
          <w:shd w:fill="auto" w:val="clear"/>
        </w:rPr>
        <w:t>Относительная влажность воздуха – не более 75%.</w:t>
      </w:r>
    </w:p>
    <w:p>
      <w:pPr>
        <w:pStyle w:val="Normal"/>
        <w:numPr>
          <w:ilvl w:val="0"/>
          <w:numId w:val="0"/>
        </w:numPr>
        <w:jc w:val="both"/>
        <w:outlineLvl w:val="0"/>
        <w:rPr>
          <w:highlight w:val="none"/>
          <w:shd w:fill="auto" w:val="clear"/>
        </w:rPr>
      </w:pPr>
      <w:r>
        <w:rPr>
          <w:shd w:fill="auto" w:val="clear"/>
        </w:rPr>
        <w:t>Защите системой ПС и СОУЭ подлежат все помещения.</w:t>
      </w:r>
    </w:p>
    <w:p>
      <w:pPr>
        <w:pStyle w:val="Normal"/>
        <w:numPr>
          <w:ilvl w:val="0"/>
          <w:numId w:val="0"/>
        </w:numPr>
        <w:jc w:val="both"/>
        <w:outlineLvl w:val="0"/>
        <w:rPr>
          <w:highlight w:val="yellow"/>
        </w:rPr>
      </w:pPr>
      <w:r>
        <w:rPr>
          <w:b/>
          <w:bCs/>
          <w:shd w:fill="auto" w:val="clear"/>
        </w:rPr>
        <w:t>4. Сроки выполнения работ</w:t>
      </w:r>
      <w:r>
        <w:rPr>
          <w:shd w:fill="auto" w:val="clear"/>
        </w:rPr>
        <w:t xml:space="preserve">: </w:t>
      </w:r>
      <w:r>
        <w:rPr>
          <w:b/>
          <w:bCs/>
          <w:shd w:fill="auto" w:val="clear"/>
        </w:rPr>
        <w:t>60 (шестьдесят) рабочих дней с момента подписания договора</w:t>
      </w:r>
      <w:r>
        <w:rPr/>
        <w:t xml:space="preserve"> сторонами. </w:t>
      </w:r>
      <w:r>
        <w:rPr>
          <w:shd w:fill="auto" w:val="clear"/>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pPr>
        <w:pStyle w:val="Normal"/>
        <w:numPr>
          <w:ilvl w:val="0"/>
          <w:numId w:val="0"/>
        </w:numPr>
        <w:jc w:val="both"/>
        <w:outlineLvl w:val="0"/>
        <w:rPr>
          <w:highlight w:val="none"/>
          <w:shd w:fill="auto" w:val="clear"/>
        </w:rPr>
      </w:pPr>
      <w:r>
        <w:rPr>
          <w:shd w:fill="auto" w:val="clear"/>
        </w:rPr>
        <w:t>4.1. Подрядчик до начала выполнения работ предоставляет Заказчику:</w:t>
      </w:r>
    </w:p>
    <w:p>
      <w:pPr>
        <w:pStyle w:val="Normal"/>
        <w:numPr>
          <w:ilvl w:val="0"/>
          <w:numId w:val="0"/>
        </w:numPr>
        <w:jc w:val="both"/>
        <w:outlineLvl w:val="0"/>
        <w:rPr>
          <w:highlight w:val="none"/>
          <w:shd w:fill="auto" w:val="clear"/>
        </w:rPr>
      </w:pPr>
      <w:r>
        <w:rPr>
          <w:shd w:fill="auto" w:val="clear"/>
        </w:rPr>
        <w:t>- утвержденный план график выполнения работ;</w:t>
      </w:r>
    </w:p>
    <w:p>
      <w:pPr>
        <w:pStyle w:val="Normal"/>
        <w:numPr>
          <w:ilvl w:val="0"/>
          <w:numId w:val="0"/>
        </w:numPr>
        <w:jc w:val="both"/>
        <w:outlineLvl w:val="0"/>
        <w:rPr>
          <w:highlight w:val="none"/>
          <w:shd w:fill="auto" w:val="clear"/>
        </w:rPr>
      </w:pPr>
      <w:r>
        <w:rPr>
          <w:shd w:fill="auto" w:val="clear"/>
        </w:rPr>
        <w:t>- копию приказа о назначении ответственного за проведение работ и соблюдение требований пожарной безопасности, охраны окружающей среды;</w:t>
      </w:r>
    </w:p>
    <w:p>
      <w:pPr>
        <w:pStyle w:val="Normal"/>
        <w:numPr>
          <w:ilvl w:val="0"/>
          <w:numId w:val="0"/>
        </w:numPr>
        <w:jc w:val="both"/>
        <w:outlineLvl w:val="0"/>
        <w:rPr>
          <w:highlight w:val="none"/>
          <w:shd w:fill="auto" w:val="clear"/>
        </w:rPr>
      </w:pPr>
      <w:r>
        <w:rPr>
          <w:shd w:fill="auto" w:val="clear"/>
        </w:rPr>
        <w:t>- список машин и оборудования необходимых в производстве работ;</w:t>
      </w:r>
    </w:p>
    <w:p>
      <w:pPr>
        <w:pStyle w:val="Normal"/>
        <w:numPr>
          <w:ilvl w:val="0"/>
          <w:numId w:val="0"/>
        </w:numPr>
        <w:jc w:val="both"/>
        <w:outlineLvl w:val="0"/>
        <w:rPr>
          <w:highlight w:val="none"/>
          <w:shd w:fill="auto" w:val="clear"/>
        </w:rPr>
      </w:pPr>
      <w:r>
        <w:rPr>
          <w:shd w:fill="auto" w:val="clear"/>
        </w:rPr>
        <w:t>- список сотрудников необходимых для выполнения данных видов работ (допуск работников Подрядчика на территорию учреждения).</w:t>
      </w:r>
    </w:p>
    <w:p>
      <w:pPr>
        <w:pStyle w:val="ListParagraph"/>
        <w:numPr>
          <w:ilvl w:val="0"/>
          <w:numId w:val="0"/>
        </w:numPr>
        <w:ind w:left="0" w:hanging="0"/>
        <w:jc w:val="both"/>
        <w:outlineLvl w:val="0"/>
        <w:rPr>
          <w:b/>
          <w:bCs/>
        </w:rPr>
      </w:pPr>
      <w:r>
        <w:rPr>
          <w:b/>
          <w:bCs/>
        </w:rPr>
        <w:t>5. Общие требования к выполнению работ:</w:t>
      </w:r>
    </w:p>
    <w:p>
      <w:pPr>
        <w:pStyle w:val="ListParagraph"/>
        <w:numPr>
          <w:ilvl w:val="0"/>
          <w:numId w:val="0"/>
        </w:numPr>
        <w:ind w:left="0" w:hanging="0"/>
        <w:jc w:val="both"/>
        <w:outlineLvl w:val="0"/>
        <w:rPr/>
      </w:pPr>
      <w:r>
        <w:rPr/>
        <w:t>5.1. Состав и содержание работ по созданию системы ПС и СОУЭ:</w:t>
      </w:r>
    </w:p>
    <w:p>
      <w:pPr>
        <w:pStyle w:val="ListParagraph"/>
        <w:numPr>
          <w:ilvl w:val="0"/>
          <w:numId w:val="0"/>
        </w:numPr>
        <w:ind w:left="0" w:hanging="0"/>
        <w:jc w:val="both"/>
        <w:outlineLvl w:val="0"/>
        <w:rPr/>
      </w:pPr>
      <w:r>
        <w:rPr/>
        <w:t xml:space="preserve">Интегрированная автоматизированная система объекта должна состоять из следующих взаимоувязанных систем: </w:t>
      </w:r>
    </w:p>
    <w:p>
      <w:pPr>
        <w:pStyle w:val="ListParagraph"/>
        <w:numPr>
          <w:ilvl w:val="0"/>
          <w:numId w:val="0"/>
        </w:numPr>
        <w:ind w:left="0" w:hanging="0"/>
        <w:jc w:val="both"/>
        <w:outlineLvl w:val="0"/>
        <w:rPr/>
      </w:pPr>
      <w:r>
        <w:rPr/>
        <w:t xml:space="preserve">- система автоматической пожарной сигнализации (АПС); </w:t>
      </w:r>
    </w:p>
    <w:p>
      <w:pPr>
        <w:pStyle w:val="ListParagraph"/>
        <w:numPr>
          <w:ilvl w:val="0"/>
          <w:numId w:val="0"/>
        </w:numPr>
        <w:ind w:left="0" w:hanging="0"/>
        <w:jc w:val="both"/>
        <w:outlineLvl w:val="0"/>
        <w:rPr/>
      </w:pPr>
      <w:r>
        <w:rPr/>
        <w:t>- система оповещения и управления эвакуацией людей при пожаре (СОУЭ).</w:t>
      </w:r>
    </w:p>
    <w:p>
      <w:pPr>
        <w:pStyle w:val="ListParagraph"/>
        <w:numPr>
          <w:ilvl w:val="0"/>
          <w:numId w:val="0"/>
        </w:numPr>
        <w:ind w:left="0" w:hanging="0"/>
        <w:jc w:val="both"/>
        <w:outlineLvl w:val="0"/>
        <w:rPr/>
      </w:pPr>
      <w:r>
        <w:rPr/>
        <w:t>Содержание работ по монтажу системы:</w:t>
      </w:r>
    </w:p>
    <w:p>
      <w:pPr>
        <w:pStyle w:val="ListParagraph"/>
        <w:numPr>
          <w:ilvl w:val="0"/>
          <w:numId w:val="0"/>
        </w:numPr>
        <w:ind w:left="0" w:hanging="0"/>
        <w:jc w:val="both"/>
        <w:outlineLvl w:val="0"/>
        <w:rPr/>
      </w:pPr>
      <w:r>
        <w:rPr/>
        <w:t>- разработка и согласование с Заказчиком плана производства работ;</w:t>
      </w:r>
    </w:p>
    <w:p>
      <w:pPr>
        <w:pStyle w:val="ListParagraph"/>
        <w:numPr>
          <w:ilvl w:val="0"/>
          <w:numId w:val="0"/>
        </w:numPr>
        <w:ind w:left="0" w:hanging="0"/>
        <w:jc w:val="both"/>
        <w:outlineLvl w:val="0"/>
        <w:rPr/>
      </w:pPr>
      <w:r>
        <w:rPr/>
        <w:t>- выполнение монтажных работ в соответствии с проектной рабочей документацией:</w:t>
      </w:r>
    </w:p>
    <w:p>
      <w:pPr>
        <w:pStyle w:val="ListParagraph"/>
        <w:numPr>
          <w:ilvl w:val="0"/>
          <w:numId w:val="0"/>
        </w:numPr>
        <w:ind w:left="0" w:hanging="0"/>
        <w:jc w:val="both"/>
        <w:outlineLvl w:val="0"/>
        <w:rPr/>
      </w:pPr>
      <w:r>
        <w:rPr/>
        <w:t>- монтаж кабельных линий системы пожарной сигнализации;</w:t>
      </w:r>
    </w:p>
    <w:p>
      <w:pPr>
        <w:pStyle w:val="ListParagraph"/>
        <w:numPr>
          <w:ilvl w:val="0"/>
          <w:numId w:val="0"/>
        </w:numPr>
        <w:ind w:left="0" w:hanging="0"/>
        <w:jc w:val="both"/>
        <w:outlineLvl w:val="0"/>
        <w:rPr/>
      </w:pPr>
      <w:r>
        <w:rPr/>
        <w:t>- монтаж оборудования системы пожарной сигнализации;</w:t>
      </w:r>
    </w:p>
    <w:p>
      <w:pPr>
        <w:pStyle w:val="ListParagraph"/>
        <w:numPr>
          <w:ilvl w:val="0"/>
          <w:numId w:val="0"/>
        </w:numPr>
        <w:ind w:left="0" w:hanging="0"/>
        <w:jc w:val="both"/>
        <w:outlineLvl w:val="0"/>
        <w:rPr/>
      </w:pPr>
      <w:r>
        <w:rPr/>
        <w:t>- монтаж кабельных линий системы оповещения и управления эвакуацией людей при пожаре;</w:t>
      </w:r>
    </w:p>
    <w:p>
      <w:pPr>
        <w:pStyle w:val="ListParagraph"/>
        <w:numPr>
          <w:ilvl w:val="0"/>
          <w:numId w:val="0"/>
        </w:numPr>
        <w:ind w:left="0" w:hanging="0"/>
        <w:jc w:val="both"/>
        <w:outlineLvl w:val="0"/>
        <w:rPr/>
      </w:pPr>
      <w:r>
        <w:rPr/>
        <w:t>- монтаж оборудования системы оповещения и управления эвакуацией людей при пожаре;</w:t>
      </w:r>
    </w:p>
    <w:p>
      <w:pPr>
        <w:pStyle w:val="ListParagraph"/>
        <w:numPr>
          <w:ilvl w:val="0"/>
          <w:numId w:val="0"/>
        </w:numPr>
        <w:ind w:left="0" w:hanging="0"/>
        <w:jc w:val="both"/>
        <w:outlineLvl w:val="0"/>
        <w:rPr/>
      </w:pPr>
      <w:r>
        <w:rPr/>
        <w:t>- установка специализированного программного обеспечения;</w:t>
      </w:r>
    </w:p>
    <w:p>
      <w:pPr>
        <w:pStyle w:val="ListParagraph"/>
        <w:numPr>
          <w:ilvl w:val="0"/>
          <w:numId w:val="0"/>
        </w:numPr>
        <w:ind w:left="0" w:hanging="0"/>
        <w:jc w:val="both"/>
        <w:outlineLvl w:val="0"/>
        <w:rPr/>
      </w:pPr>
      <w:r>
        <w:rPr/>
        <w:t>- программирование, настройка систем;</w:t>
      </w:r>
    </w:p>
    <w:p>
      <w:pPr>
        <w:pStyle w:val="ListParagraph"/>
        <w:numPr>
          <w:ilvl w:val="0"/>
          <w:numId w:val="0"/>
        </w:numPr>
        <w:ind w:left="0" w:hanging="0"/>
        <w:jc w:val="both"/>
        <w:outlineLvl w:val="0"/>
        <w:rPr/>
      </w:pPr>
      <w:r>
        <w:rPr/>
        <w:t>- пусконаладочные работы;</w:t>
      </w:r>
    </w:p>
    <w:p>
      <w:pPr>
        <w:pStyle w:val="ListParagraph"/>
        <w:numPr>
          <w:ilvl w:val="0"/>
          <w:numId w:val="0"/>
        </w:numPr>
        <w:ind w:left="0" w:hanging="0"/>
        <w:jc w:val="both"/>
        <w:outlineLvl w:val="0"/>
        <w:rPr/>
      </w:pPr>
      <w:r>
        <w:rPr/>
        <w:t>- тестирование систем;</w:t>
      </w:r>
    </w:p>
    <w:p>
      <w:pPr>
        <w:pStyle w:val="ListParagraph"/>
        <w:numPr>
          <w:ilvl w:val="0"/>
          <w:numId w:val="0"/>
        </w:numPr>
        <w:ind w:left="0" w:hanging="0"/>
        <w:jc w:val="both"/>
        <w:outlineLvl w:val="0"/>
        <w:rPr/>
      </w:pPr>
      <w:r>
        <w:rPr/>
        <w:t>- оформление исполнительной документации;</w:t>
      </w:r>
    </w:p>
    <w:p>
      <w:pPr>
        <w:pStyle w:val="ListParagraph"/>
        <w:numPr>
          <w:ilvl w:val="0"/>
          <w:numId w:val="0"/>
        </w:numPr>
        <w:ind w:left="0" w:hanging="0"/>
        <w:jc w:val="both"/>
        <w:outlineLvl w:val="0"/>
        <w:rPr/>
      </w:pPr>
      <w:r>
        <w:rPr/>
        <w:t>- сдача систем в эксплуатацию.</w:t>
      </w:r>
    </w:p>
    <w:p>
      <w:pPr>
        <w:pStyle w:val="Normal"/>
        <w:numPr>
          <w:ilvl w:val="0"/>
          <w:numId w:val="0"/>
        </w:numPr>
        <w:jc w:val="both"/>
        <w:outlineLvl w:val="0"/>
        <w:rPr/>
      </w:pPr>
      <w:r>
        <w:rPr>
          <w:color w:val="000000"/>
        </w:rPr>
        <w:t>Требования к системе пожарной сигнализации:</w:t>
      </w:r>
    </w:p>
    <w:p>
      <w:pPr>
        <w:pStyle w:val="Normal"/>
        <w:numPr>
          <w:ilvl w:val="0"/>
          <w:numId w:val="0"/>
        </w:numPr>
        <w:jc w:val="both"/>
        <w:outlineLvl w:val="0"/>
        <w:rPr/>
      </w:pPr>
      <w:r>
        <w:rPr>
          <w:color w:val="000000"/>
        </w:rPr>
        <w:t>5.2. Назначение системы пожарной сигнализации</w:t>
      </w:r>
    </w:p>
    <w:p>
      <w:pPr>
        <w:pStyle w:val="Default"/>
        <w:numPr>
          <w:ilvl w:val="0"/>
          <w:numId w:val="0"/>
        </w:numPr>
        <w:jc w:val="both"/>
        <w:outlineLvl w:val="0"/>
        <w:rPr>
          <w:rFonts w:cs="Times New Roman"/>
          <w:b/>
        </w:rPr>
      </w:pPr>
      <w:r>
        <w:rPr>
          <w:rFonts w:cs="Times New Roman"/>
        </w:rPr>
        <w:t>. Система пожарной сигнализации объекта должна обеспечивать противопожарную охрану объекта, материальных ценностей, размещенных в защищаемых помещениях, своевременное оповещение персонала и посетителей о возникновении пожара.</w:t>
      </w:r>
    </w:p>
    <w:p>
      <w:pPr>
        <w:pStyle w:val="Normal"/>
        <w:numPr>
          <w:ilvl w:val="0"/>
          <w:numId w:val="0"/>
        </w:numPr>
        <w:jc w:val="both"/>
        <w:outlineLvl w:val="0"/>
        <w:rPr/>
      </w:pPr>
      <w:r>
        <w:rPr>
          <w:color w:val="000000"/>
        </w:rPr>
        <w:t>5.3. Общие требования к системе пожарной сигнализации</w:t>
      </w:r>
    </w:p>
    <w:p>
      <w:pPr>
        <w:pStyle w:val="Default"/>
        <w:jc w:val="both"/>
        <w:rPr>
          <w:rFonts w:cs="Times New Roman"/>
        </w:rPr>
      </w:pPr>
      <w:r>
        <w:rPr>
          <w:rFonts w:cs="Times New Roman"/>
        </w:rPr>
        <w:t>Система пожарной сигнализации объекта должна представлять собой комплекс взаимодействующих систем, обеспечивающих сбор, обработку, отображение, хранение и передачу тревожных извещений, а также формирования управляющих сигналов для включения исполнительных устройств.</w:t>
      </w:r>
    </w:p>
    <w:p>
      <w:pPr>
        <w:pStyle w:val="Default"/>
        <w:jc w:val="both"/>
        <w:rPr>
          <w:rFonts w:cs="Times New Roman"/>
        </w:rPr>
      </w:pPr>
      <w:r>
        <w:rPr>
          <w:rFonts w:cs="Times New Roman"/>
        </w:rPr>
        <w:t>Система ПС должна быть построена по блочно-модульному принципу, предполагающему модернизацию системы объекта.</w:t>
      </w:r>
    </w:p>
    <w:p>
      <w:pPr>
        <w:pStyle w:val="Default"/>
        <w:jc w:val="both"/>
        <w:rPr>
          <w:rFonts w:cs="Times New Roman"/>
        </w:rPr>
      </w:pPr>
      <w:r>
        <w:rPr>
          <w:rFonts w:cs="Times New Roman"/>
        </w:rPr>
        <w:t>Система пожарной сигнализации должна иметь возможность наращивания за счет расширения программной и аппаратной части без изменения состава коммутационного оборудования и нарушения работоспособности.</w:t>
      </w:r>
    </w:p>
    <w:p>
      <w:pPr>
        <w:pStyle w:val="Default"/>
        <w:jc w:val="both"/>
        <w:rPr>
          <w:rFonts w:cs="Times New Roman"/>
        </w:rPr>
      </w:pPr>
      <w:r>
        <w:rPr>
          <w:rFonts w:cs="Times New Roman"/>
        </w:rPr>
        <w:t>Система должна иметь возможность для резервного управления приборами при неисправности или отключении оборудования системы. ПС должна включать устройство контроля и управления.</w:t>
      </w:r>
    </w:p>
    <w:p>
      <w:pPr>
        <w:pStyle w:val="Default"/>
        <w:numPr>
          <w:ilvl w:val="0"/>
          <w:numId w:val="0"/>
        </w:numPr>
        <w:jc w:val="both"/>
        <w:outlineLvl w:val="0"/>
        <w:rPr>
          <w:rFonts w:cs="Times New Roman"/>
        </w:rPr>
      </w:pPr>
      <w:r>
        <w:rPr>
          <w:rFonts w:cs="Times New Roman"/>
        </w:rPr>
        <w:t>Система автоматической пожарной сигнализации должна быть защищена от несанкционированного доступа к управлению программными средствами кодом.</w:t>
      </w:r>
    </w:p>
    <w:p>
      <w:pPr>
        <w:pStyle w:val="Default"/>
        <w:jc w:val="both"/>
        <w:rPr>
          <w:rFonts w:cs="Times New Roman"/>
        </w:rPr>
      </w:pPr>
      <w:r>
        <w:rPr>
          <w:rFonts w:cs="Times New Roman"/>
        </w:rPr>
        <w:t>- выдавать извещение о неисправности при отказе технических средств пожарной сигнализации;</w:t>
      </w:r>
    </w:p>
    <w:p>
      <w:pPr>
        <w:pStyle w:val="Default"/>
        <w:jc w:val="both"/>
        <w:rPr>
          <w:rFonts w:cs="Times New Roman"/>
        </w:rPr>
      </w:pPr>
      <w:r>
        <w:rPr>
          <w:rFonts w:cs="Times New Roman"/>
        </w:rPr>
        <w:t>- сохранять исправное состояние при воздействии влияющих факторов окружающей среды;</w:t>
      </w:r>
    </w:p>
    <w:p>
      <w:pPr>
        <w:pStyle w:val="Default"/>
        <w:jc w:val="both"/>
        <w:rPr>
          <w:rFonts w:cs="Times New Roman"/>
        </w:rPr>
      </w:pPr>
      <w:r>
        <w:rPr>
          <w:rFonts w:cs="Times New Roman"/>
        </w:rPr>
        <w:t>- быть устойчивым к любым, установленным в стандартах на системы конкретного вида повреждениям какой-либо своей части;</w:t>
      </w:r>
    </w:p>
    <w:p>
      <w:pPr>
        <w:pStyle w:val="Default"/>
        <w:jc w:val="both"/>
        <w:rPr>
          <w:rFonts w:cs="Times New Roman"/>
        </w:rPr>
      </w:pPr>
      <w:r>
        <w:rPr>
          <w:rFonts w:cs="Times New Roman"/>
        </w:rPr>
        <w:t>- сохранять работоспособное состояние при отключении сетевого источника электропитания или другого основного источника электропитания в течение времени прерывания электропитания;</w:t>
      </w:r>
    </w:p>
    <w:p>
      <w:pPr>
        <w:pStyle w:val="Default"/>
        <w:jc w:val="both"/>
        <w:rPr>
          <w:rFonts w:cs="Times New Roman"/>
        </w:rPr>
      </w:pPr>
      <w:r>
        <w:rPr>
          <w:rFonts w:cs="Times New Roman"/>
        </w:rPr>
        <w:t>- по устойчивости к механическим и климатическим воздействиям соответствовать исполнению О3 по ОСТ 25 1099-83, для работы в диапазоне температур от +1 до 40 °С;</w:t>
      </w:r>
    </w:p>
    <w:p>
      <w:pPr>
        <w:pStyle w:val="Default"/>
        <w:jc w:val="both"/>
        <w:rPr>
          <w:rFonts w:cs="Times New Roman"/>
        </w:rPr>
      </w:pPr>
      <w:r>
        <w:rPr>
          <w:rFonts w:cs="Times New Roman"/>
        </w:rPr>
        <w:t>- сохранять работоспособность при воздействии повышенной температуры окружающей среды, значение которой устанавливают в технических данных на конкретный тип в соответствии с ГОСТ 28200;</w:t>
      </w:r>
    </w:p>
    <w:p>
      <w:pPr>
        <w:pStyle w:val="Default"/>
        <w:jc w:val="both"/>
        <w:rPr>
          <w:rFonts w:cs="Times New Roman"/>
        </w:rPr>
      </w:pPr>
      <w:r>
        <w:rPr>
          <w:rFonts w:cs="Times New Roman"/>
        </w:rPr>
        <w:t>- сохранять работоспособность при воздействии на них повышенной влажности воздуха 85% при температуре +40 °С;</w:t>
      </w:r>
    </w:p>
    <w:p>
      <w:pPr>
        <w:pStyle w:val="Default"/>
        <w:jc w:val="both"/>
        <w:rPr>
          <w:rFonts w:cs="Times New Roman"/>
        </w:rPr>
      </w:pPr>
      <w:r>
        <w:rPr>
          <w:rFonts w:cs="Times New Roman"/>
        </w:rPr>
        <w:t>- сохранять работоспособность при конденсации влаги на них в результате понижения температуры при относительной влажности воздуха не менее 85%;</w:t>
      </w:r>
    </w:p>
    <w:p>
      <w:pPr>
        <w:pStyle w:val="Default"/>
        <w:jc w:val="both"/>
        <w:rPr>
          <w:rFonts w:cs="Times New Roman"/>
        </w:rPr>
      </w:pPr>
      <w:r>
        <w:rPr>
          <w:rFonts w:cs="Times New Roman"/>
        </w:rPr>
        <w:t>- быть безвредными для здоровья лиц, имеющих доступ на территорию объекта;</w:t>
      </w:r>
    </w:p>
    <w:p>
      <w:pPr>
        <w:pStyle w:val="Default"/>
        <w:jc w:val="both"/>
        <w:rPr>
          <w:rFonts w:cs="Times New Roman"/>
        </w:rPr>
      </w:pPr>
      <w:r>
        <w:rPr>
          <w:rFonts w:cs="Times New Roman"/>
        </w:rPr>
        <w:t>- применяемые технические средства, их расположение и условия эксплуатации должны отвечать требованиям действующих санитарных правил и норм;</w:t>
      </w:r>
    </w:p>
    <w:p>
      <w:pPr>
        <w:pStyle w:val="Default"/>
        <w:jc w:val="both"/>
        <w:rPr>
          <w:rFonts w:cs="Times New Roman"/>
        </w:rPr>
      </w:pPr>
      <w:r>
        <w:rPr>
          <w:rFonts w:cs="Times New Roman"/>
        </w:rPr>
        <w:t>5.4. На технические средства системы ПС должны быть установлены следующие показатели надежности:</w:t>
      </w:r>
    </w:p>
    <w:p>
      <w:pPr>
        <w:pStyle w:val="Default"/>
        <w:jc w:val="both"/>
        <w:rPr>
          <w:rFonts w:cs="Times New Roman"/>
        </w:rPr>
      </w:pPr>
      <w:r>
        <w:rPr>
          <w:rFonts w:cs="Times New Roman"/>
        </w:rPr>
        <w:t>- средняя наработка на отказ, не менее 1000 ч;</w:t>
      </w:r>
    </w:p>
    <w:p>
      <w:pPr>
        <w:pStyle w:val="Default"/>
        <w:jc w:val="both"/>
        <w:rPr>
          <w:rFonts w:cs="Times New Roman"/>
          <w:bCs/>
        </w:rPr>
      </w:pPr>
      <w:r>
        <w:rPr>
          <w:rFonts w:cs="Times New Roman"/>
          <w:bCs/>
        </w:rPr>
        <w:t>- средний срок службы не менее 10 лет;</w:t>
      </w:r>
    </w:p>
    <w:p>
      <w:pPr>
        <w:pStyle w:val="Default"/>
        <w:jc w:val="both"/>
        <w:rPr>
          <w:rFonts w:cs="Times New Roman"/>
        </w:rPr>
      </w:pPr>
      <w:r>
        <w:rPr>
          <w:rFonts w:cs="Times New Roman"/>
        </w:rPr>
        <w:t>- должны обеспечивать возможность как круглосуточной, так и сменной работы.</w:t>
      </w:r>
    </w:p>
    <w:p>
      <w:pPr>
        <w:pStyle w:val="Default"/>
        <w:jc w:val="both"/>
        <w:rPr>
          <w:rFonts w:cs="Times New Roman"/>
        </w:rPr>
      </w:pPr>
      <w:r>
        <w:rPr>
          <w:rFonts w:cs="Times New Roman"/>
        </w:rPr>
        <w:t>Требования к электропитанию:</w:t>
      </w:r>
    </w:p>
    <w:p>
      <w:pPr>
        <w:pStyle w:val="Default"/>
        <w:jc w:val="both"/>
        <w:rPr>
          <w:rFonts w:cs="Times New Roman"/>
        </w:rPr>
      </w:pPr>
      <w:r>
        <w:rPr>
          <w:rFonts w:cs="Times New Roman"/>
        </w:rPr>
        <w:t>- основное электропитание технических средств системы ПС должно осуществляться от сети переменного тока с номинальным напряжением 220 В, частотой 50 Гц;</w:t>
      </w:r>
    </w:p>
    <w:p>
      <w:pPr>
        <w:pStyle w:val="Default"/>
        <w:jc w:val="both"/>
        <w:rPr>
          <w:rFonts w:cs="Times New Roman"/>
        </w:rPr>
      </w:pPr>
      <w:r>
        <w:rPr>
          <w:rFonts w:cs="Times New Roman"/>
        </w:rPr>
        <w:t>- технические средства системы ПС должны быть работоспособны при допустимых отклонениях напряжения сети от минус 15 до плюс 10 % от номинального значения и частоты (50±1) Гц;</w:t>
      </w:r>
    </w:p>
    <w:p>
      <w:pPr>
        <w:pStyle w:val="Default"/>
        <w:jc w:val="both"/>
        <w:rPr>
          <w:rFonts w:cs="Times New Roman"/>
        </w:rPr>
      </w:pPr>
      <w:r>
        <w:rPr>
          <w:rFonts w:cs="Times New Roman"/>
        </w:rPr>
        <w:t>- электропитание отдельных технических средств системы ПС допускается осуществлять от источников с иными параметрами выходных напряжений, требования к которым устанавливают в нормативных документах на технические средства конкретного типа;</w:t>
      </w:r>
    </w:p>
    <w:p>
      <w:pPr>
        <w:pStyle w:val="Default"/>
        <w:jc w:val="both"/>
        <w:rPr>
          <w:rFonts w:cs="Times New Roman"/>
        </w:rPr>
      </w:pPr>
      <w:r>
        <w:rPr>
          <w:rFonts w:cs="Times New Roman"/>
        </w:rPr>
        <w:t>- электропитание АПС и СОУЭ являющейся потребителем 1-й категории, осуществить от независимого источника питания;</w:t>
      </w:r>
    </w:p>
    <w:p>
      <w:pPr>
        <w:pStyle w:val="Normal"/>
        <w:shd w:val="clear" w:color="auto" w:fill="FFFFFF"/>
        <w:jc w:val="both"/>
        <w:rPr/>
      </w:pPr>
      <w:r>
        <w:rPr/>
        <w:t>электропитание АПС и СОУЭ в соответствии с требованиями:</w:t>
      </w:r>
    </w:p>
    <w:p>
      <w:pPr>
        <w:pStyle w:val="Default"/>
        <w:jc w:val="both"/>
        <w:rPr>
          <w:rFonts w:cs="Times New Roman"/>
        </w:rPr>
      </w:pPr>
      <w:r>
        <w:rPr>
          <w:rFonts w:cs="Times New Roman"/>
        </w:rPr>
        <w:t>- должно обеспечивать работу систем при пропадании основного питания в течение не менее 1-го часа в режиме тревоги и 24-х часов в дежурном режиме;</w:t>
      </w:r>
    </w:p>
    <w:p>
      <w:pPr>
        <w:pStyle w:val="Default"/>
        <w:jc w:val="both"/>
        <w:rPr>
          <w:rFonts w:cs="Times New Roman"/>
        </w:rPr>
      </w:pPr>
      <w:r>
        <w:rPr>
          <w:rFonts w:cs="Times New Roman"/>
        </w:rPr>
        <w:t>- в качестве источников резервного питания допускается использовать блоки бесперебойного питания, укомплектованные аккумуляторными батареями соответствующей ёмкости;</w:t>
      </w:r>
    </w:p>
    <w:p>
      <w:pPr>
        <w:pStyle w:val="Default"/>
        <w:jc w:val="both"/>
        <w:rPr>
          <w:rFonts w:cs="Times New Roman"/>
        </w:rPr>
      </w:pPr>
      <w:r>
        <w:rPr>
          <w:rFonts w:cs="Times New Roman"/>
        </w:rPr>
        <w:t>- номинальное выходное напряжением источника резервного питания должно быть 12В постоянного тока;</w:t>
      </w:r>
    </w:p>
    <w:p>
      <w:pPr>
        <w:pStyle w:val="Default"/>
        <w:jc w:val="both"/>
        <w:rPr>
          <w:rFonts w:cs="Times New Roman"/>
        </w:rPr>
      </w:pPr>
      <w:r>
        <w:rPr>
          <w:rFonts w:cs="Times New Roman"/>
        </w:rPr>
        <w:t>- переход на резервное питание должен происходить автоматически без нарушения установленных режимов работы и функционального состояния системы;</w:t>
      </w:r>
    </w:p>
    <w:p>
      <w:pPr>
        <w:pStyle w:val="Default"/>
        <w:jc w:val="both"/>
        <w:rPr>
          <w:rFonts w:cs="Times New Roman"/>
        </w:rPr>
      </w:pPr>
      <w:r>
        <w:rPr>
          <w:rFonts w:cs="Times New Roman"/>
        </w:rPr>
        <w:t>- технические средства системы ПС должны быть работоспособны при допустимых отклонениях напряжения резервного источника от минус 15 до плюс 10 % от номинального значения;</w:t>
      </w:r>
    </w:p>
    <w:p>
      <w:pPr>
        <w:pStyle w:val="Default"/>
        <w:jc w:val="both"/>
        <w:rPr>
          <w:rFonts w:cs="Times New Roman"/>
        </w:rPr>
      </w:pPr>
      <w:r>
        <w:rPr>
          <w:rFonts w:cs="Times New Roman"/>
        </w:rPr>
        <w:t>- при использовании в качестве источника резервного питания аккумуляторных батарей должен выполняться их автоматический заряд;</w:t>
      </w:r>
    </w:p>
    <w:p>
      <w:pPr>
        <w:pStyle w:val="Default"/>
        <w:jc w:val="both"/>
        <w:rPr>
          <w:rFonts w:cs="Times New Roman"/>
        </w:rPr>
      </w:pPr>
      <w:r>
        <w:rPr>
          <w:rFonts w:cs="Times New Roman"/>
        </w:rPr>
        <w:t>- электрическое сопротивление изоляции технических средств системы ПС между цепями сетевого питания и корпусом, а также между цепями сетевого питания и входными/выходными цепями должно быть не менее 4 МОм.</w:t>
      </w:r>
    </w:p>
    <w:p>
      <w:pPr>
        <w:pStyle w:val="Default"/>
        <w:numPr>
          <w:ilvl w:val="0"/>
          <w:numId w:val="0"/>
        </w:numPr>
        <w:jc w:val="both"/>
        <w:outlineLvl w:val="0"/>
        <w:rPr>
          <w:rFonts w:cs="Times New Roman"/>
        </w:rPr>
      </w:pPr>
      <w:r>
        <w:rPr>
          <w:rFonts w:cs="Times New Roman"/>
        </w:rPr>
        <w:t>. Исполнитель при выполнении работ может использовать по письменному согласованию с Заказчиком аналогичные материалы и оборудование, которые соответствуют или превосходят по своим техническим характеристикам оборудование и материалы в проектной составляющей.</w:t>
      </w:r>
    </w:p>
    <w:p>
      <w:pPr>
        <w:pStyle w:val="Default"/>
        <w:numPr>
          <w:ilvl w:val="0"/>
          <w:numId w:val="0"/>
        </w:numPr>
        <w:jc w:val="both"/>
        <w:outlineLvl w:val="0"/>
        <w:rPr>
          <w:rFonts w:cs="Times New Roman"/>
        </w:rPr>
      </w:pPr>
      <w:r>
        <w:rPr>
          <w:rFonts w:cs="Times New Roman"/>
        </w:rPr>
        <w:t>5.5. Требования к системе автоматической пожарной сигнализации</w:t>
      </w:r>
    </w:p>
    <w:p>
      <w:pPr>
        <w:pStyle w:val="Default"/>
        <w:jc w:val="both"/>
        <w:rPr>
          <w:rFonts w:cs="Times New Roman"/>
        </w:rPr>
      </w:pPr>
      <w:r>
        <w:rPr>
          <w:rFonts w:cs="Times New Roman"/>
        </w:rPr>
        <w:t>Система автоматической пожарной сигнализации должна обеспечивать своевременное определение места возгорания и формирование управляющих сигналов для системы оповещения и управления эвакуацией людей при пожаре.</w:t>
      </w:r>
    </w:p>
    <w:p>
      <w:pPr>
        <w:pStyle w:val="Default"/>
        <w:jc w:val="both"/>
        <w:rPr>
          <w:rFonts w:cs="Times New Roman"/>
        </w:rPr>
      </w:pPr>
      <w:r>
        <w:rPr>
          <w:rFonts w:cs="Times New Roman"/>
        </w:rPr>
        <w:t xml:space="preserve"> </w:t>
      </w:r>
      <w:r>
        <w:rPr>
          <w:rFonts w:cs="Times New Roman"/>
        </w:rPr>
        <w:t>АПС должна обеспечивать реализацию следующих функций:</w:t>
      </w:r>
    </w:p>
    <w:p>
      <w:pPr>
        <w:pStyle w:val="Default"/>
        <w:jc w:val="both"/>
        <w:rPr>
          <w:rFonts w:cs="Times New Roman"/>
        </w:rPr>
      </w:pPr>
      <w:r>
        <w:rPr>
          <w:rFonts w:cs="Times New Roman"/>
        </w:rPr>
        <w:t>- обнаружение очага пожара на ранней стадии;</w:t>
      </w:r>
    </w:p>
    <w:p>
      <w:pPr>
        <w:pStyle w:val="Default"/>
        <w:jc w:val="both"/>
        <w:rPr>
          <w:rFonts w:cs="Times New Roman"/>
        </w:rPr>
      </w:pPr>
      <w:r>
        <w:rPr>
          <w:rFonts w:cs="Times New Roman"/>
        </w:rPr>
        <w:t>- возможность доведения информации о возникновении пожара на объекте до дежурного;</w:t>
      </w:r>
    </w:p>
    <w:p>
      <w:pPr>
        <w:pStyle w:val="Default"/>
        <w:jc w:val="both"/>
        <w:rPr>
          <w:rFonts w:cs="Times New Roman"/>
        </w:rPr>
      </w:pPr>
      <w:r>
        <w:rPr>
          <w:rFonts w:cs="Times New Roman"/>
        </w:rPr>
        <w:t>- формировать на приемно-контрольном приборе сигнал «Пожар»;</w:t>
      </w:r>
    </w:p>
    <w:p>
      <w:pPr>
        <w:pStyle w:val="Default"/>
        <w:jc w:val="both"/>
        <w:rPr>
          <w:rFonts w:cs="Times New Roman"/>
        </w:rPr>
      </w:pPr>
      <w:r>
        <w:rPr>
          <w:rFonts w:cs="Times New Roman"/>
        </w:rPr>
        <w:t>- возможность осуществить запуск системы оповещения;</w:t>
      </w:r>
    </w:p>
    <w:p>
      <w:pPr>
        <w:pStyle w:val="Default"/>
        <w:jc w:val="both"/>
        <w:rPr>
          <w:rFonts w:cs="Times New Roman"/>
        </w:rPr>
      </w:pPr>
      <w:r>
        <w:rPr>
          <w:rFonts w:cs="Times New Roman"/>
        </w:rPr>
        <w:t>- обеспечивать работу светоуказателей «Выход» в непрерывном режиме;</w:t>
      </w:r>
    </w:p>
    <w:p>
      <w:pPr>
        <w:pStyle w:val="Default"/>
        <w:jc w:val="both"/>
        <w:rPr>
          <w:rFonts w:cs="Times New Roman"/>
        </w:rPr>
      </w:pPr>
      <w:r>
        <w:rPr>
          <w:rFonts w:cs="Times New Roman"/>
        </w:rPr>
        <w:t>- обеспечивать работоспособность при пропадании основного питания в течение не менее 1-го часа в режиме тревога и 24-х часов в дежурном режиме;</w:t>
      </w:r>
    </w:p>
    <w:p>
      <w:pPr>
        <w:pStyle w:val="Default"/>
        <w:jc w:val="both"/>
        <w:rPr>
          <w:rFonts w:cs="Times New Roman"/>
        </w:rPr>
      </w:pPr>
      <w:r>
        <w:rPr>
          <w:rFonts w:cs="Times New Roman"/>
        </w:rPr>
        <w:t xml:space="preserve">- прием электрических сигналов от ручных и автоматических пожарных извещателей со световой индикацией номера шлейфа, в котором произошло срабатывание пожарного извещателя; </w:t>
      </w:r>
    </w:p>
    <w:p>
      <w:pPr>
        <w:pStyle w:val="Default"/>
        <w:jc w:val="both"/>
        <w:rPr>
          <w:rFonts w:cs="Times New Roman"/>
        </w:rPr>
      </w:pPr>
      <w:r>
        <w:rPr>
          <w:rFonts w:cs="Times New Roman"/>
        </w:rPr>
        <w:t>- контроль исправности шлейфов пожарной сигнализации по всей их длине с автоматическим выявлением обрыва или короткого замыкания в них, а также световую и звуковую сигнализацию о возникшей неисправности;</w:t>
      </w:r>
    </w:p>
    <w:p>
      <w:pPr>
        <w:pStyle w:val="Default"/>
        <w:jc w:val="both"/>
        <w:rPr>
          <w:rFonts w:cs="Times New Roman"/>
        </w:rPr>
      </w:pPr>
      <w:r>
        <w:rPr>
          <w:rFonts w:cs="Times New Roman"/>
        </w:rPr>
        <w:t>- ручной или автоматический контроль работоспособности и состояния узлов и блоков приемно-контрольного прибора (ППКП) с возможностью выдачи извещения об их неисправности;</w:t>
      </w:r>
    </w:p>
    <w:p>
      <w:pPr>
        <w:pStyle w:val="Default"/>
        <w:jc w:val="both"/>
        <w:rPr>
          <w:rFonts w:cs="Times New Roman"/>
        </w:rPr>
      </w:pPr>
      <w:r>
        <w:rPr>
          <w:rFonts w:cs="Times New Roman"/>
        </w:rPr>
        <w:t>- ручное выключение звуковой сигнализации о принятом извещении с сохранением световой индикации, при этом выключение звуковой сигнализации не должно влиять на прием извещений с других шлейфов сигнализации и на ее последующее включение при поступлении нового тревожного извещения;</w:t>
      </w:r>
    </w:p>
    <w:p>
      <w:pPr>
        <w:pStyle w:val="Default"/>
        <w:jc w:val="both"/>
        <w:rPr>
          <w:rFonts w:cs="Times New Roman"/>
        </w:rPr>
      </w:pPr>
      <w:r>
        <w:rPr>
          <w:rFonts w:cs="Times New Roman"/>
        </w:rPr>
        <w:t>- защиту органов управления от несанкционированного доступа посторонних лиц;</w:t>
      </w:r>
    </w:p>
    <w:p>
      <w:pPr>
        <w:pStyle w:val="Default"/>
        <w:jc w:val="both"/>
        <w:rPr>
          <w:rFonts w:cs="Times New Roman"/>
        </w:rPr>
      </w:pPr>
      <w:r>
        <w:rPr>
          <w:rFonts w:cs="Times New Roman"/>
        </w:rPr>
        <w:t>- автоматическую передачу раздельных извещений о пожаре, неисправности ППКП и несанкционированном проникновении посторонних лиц к органам управления ППКП.</w:t>
      </w:r>
    </w:p>
    <w:p>
      <w:pPr>
        <w:pStyle w:val="Normal"/>
        <w:shd w:val="clear" w:color="auto" w:fill="FFFFFF"/>
        <w:jc w:val="both"/>
        <w:rPr>
          <w:color w:val="303B3F"/>
        </w:rPr>
      </w:pPr>
      <w:r>
        <w:rPr/>
        <w:t>Размещение и количество элементов САПС определяется в соответствии с требованиями:</w:t>
      </w:r>
    </w:p>
    <w:p>
      <w:pPr>
        <w:pStyle w:val="Default"/>
        <w:jc w:val="both"/>
        <w:rPr>
          <w:rFonts w:cs="Times New Roman"/>
        </w:rPr>
      </w:pPr>
      <w:r>
        <w:rPr>
          <w:rFonts w:cs="Times New Roman"/>
        </w:rPr>
        <w:t>Работоспособность кабельных линий и электропроводок пожарной сигнализации в условиях пожара обеспечивается выбором вида исполнения кабелей и проводов, согласно ГОСТ Р31565-2012, и способом их прокладки. Время работоспособности кабельных линий и электропроводок в условиях воздействия пожара определяется в соответствии с ГОСТ Р 53316-2021.</w:t>
      </w:r>
    </w:p>
    <w:p>
      <w:pPr>
        <w:pStyle w:val="Default"/>
        <w:numPr>
          <w:ilvl w:val="0"/>
          <w:numId w:val="0"/>
        </w:numPr>
        <w:jc w:val="both"/>
        <w:outlineLvl w:val="0"/>
        <w:rPr>
          <w:rFonts w:cs="Times New Roman"/>
        </w:rPr>
      </w:pPr>
      <w:r>
        <w:rPr>
          <w:rFonts w:cs="Times New Roman"/>
        </w:rPr>
        <w:t>Технические средства САПС должны иметь соответствующие сертификаты, удостоверяющие их качество.</w:t>
      </w:r>
    </w:p>
    <w:p>
      <w:pPr>
        <w:pStyle w:val="Default"/>
        <w:numPr>
          <w:ilvl w:val="0"/>
          <w:numId w:val="0"/>
        </w:numPr>
        <w:jc w:val="both"/>
        <w:outlineLvl w:val="0"/>
        <w:rPr>
          <w:rFonts w:cs="Times New Roman"/>
        </w:rPr>
      </w:pPr>
      <w:r>
        <w:rPr>
          <w:rFonts w:cs="Times New Roman"/>
        </w:rPr>
        <w:t>5.6. Требования к системе оповещения и управления эвакуацией</w:t>
      </w:r>
    </w:p>
    <w:p>
      <w:pPr>
        <w:pStyle w:val="Default"/>
        <w:jc w:val="both"/>
        <w:rPr>
          <w:rFonts w:cs="Times New Roman"/>
        </w:rPr>
      </w:pPr>
      <w:r>
        <w:rPr>
          <w:rFonts w:cs="Times New Roman"/>
        </w:rPr>
        <w:t xml:space="preserve"> </w:t>
      </w:r>
      <w:r>
        <w:rPr>
          <w:rFonts w:cs="Times New Roman"/>
        </w:rPr>
        <w:t>СОУЭ должна обеспечить безопасную эвакуацию людей при пожаре.</w:t>
      </w:r>
    </w:p>
    <w:p>
      <w:pPr>
        <w:pStyle w:val="Default"/>
        <w:jc w:val="both"/>
        <w:rPr>
          <w:rFonts w:cs="Times New Roman"/>
        </w:rPr>
      </w:pPr>
      <w:r>
        <w:rPr>
          <w:rFonts w:cs="Times New Roman"/>
        </w:rPr>
        <w:t>Объект оборудуется системой оповещения второго типа (по СП 3.13130.2020).</w:t>
      </w:r>
    </w:p>
    <w:p>
      <w:pPr>
        <w:pStyle w:val="Default"/>
        <w:jc w:val="both"/>
        <w:rPr>
          <w:rFonts w:cs="Times New Roman"/>
        </w:rPr>
      </w:pPr>
      <w:r>
        <w:rPr>
          <w:rFonts w:cs="Times New Roman"/>
        </w:rPr>
        <w:t>Звуковые сигналы ПОУЭ должны обеспечивать общий уровень звука (уровень звука постоянного шума вместе со всеми сигналами, производимыми извещателями) не менее 75 дБА на расстоянии 3 м от извещателя, но не более 120 дБА в любой точке защищаемого помещения.</w:t>
      </w:r>
    </w:p>
    <w:p>
      <w:pPr>
        <w:pStyle w:val="Default"/>
        <w:jc w:val="both"/>
        <w:rPr>
          <w:rFonts w:cs="Times New Roman"/>
        </w:rPr>
      </w:pPr>
      <w:r>
        <w:rPr>
          <w:rFonts w:cs="Times New Roman"/>
        </w:rPr>
        <w:t>СОУЭ должна включаться от командного импульса, формируемого автоматической установкой пожарной сигнализации.</w:t>
      </w:r>
    </w:p>
    <w:p>
      <w:pPr>
        <w:pStyle w:val="Default"/>
        <w:jc w:val="both"/>
        <w:rPr>
          <w:rFonts w:cs="Times New Roman"/>
        </w:rPr>
      </w:pPr>
      <w:r>
        <w:rPr>
          <w:rFonts w:cs="Times New Roman"/>
        </w:rPr>
        <w:t>Световые извещатели предназначены для регулирования поведения людей при пожаре в целях обеспечения их безопасной эвакуации. Управление световыми извещателями и контроль целостности цепей оповещения должно осуществляться релейным исполнительным устройством.</w:t>
      </w:r>
    </w:p>
    <w:p>
      <w:pPr>
        <w:pStyle w:val="Default"/>
        <w:jc w:val="both"/>
        <w:rPr>
          <w:rFonts w:cs="Times New Roman"/>
        </w:rPr>
      </w:pPr>
      <w:r>
        <w:rPr>
          <w:rFonts w:cs="Times New Roman"/>
        </w:rPr>
        <w:t xml:space="preserve">Для своевременного сообщения людям информации о возникновении пожара, необходимости эвакуироваться предназначены извещатели. Линии оповещения должны подключаться к модулю оповещения с занесенными в память звуковыми сигналами. Модуль оповещения должен обеспечивать контроль исправности линии оповещения. </w:t>
      </w:r>
    </w:p>
    <w:p>
      <w:pPr>
        <w:pStyle w:val="Default"/>
        <w:jc w:val="both"/>
        <w:rPr>
          <w:rFonts w:cs="Times New Roman"/>
        </w:rPr>
      </w:pPr>
      <w:r>
        <w:rPr>
          <w:rFonts w:cs="Times New Roman"/>
        </w:rPr>
        <w:t>Модуль оповещения должен быть совместим с оборудованием САПС на программном и аппаратном уровне.</w:t>
      </w:r>
    </w:p>
    <w:p>
      <w:pPr>
        <w:pStyle w:val="Default"/>
        <w:jc w:val="both"/>
        <w:rPr>
          <w:rFonts w:cs="Times New Roman"/>
        </w:rPr>
      </w:pPr>
      <w:r>
        <w:rPr>
          <w:rFonts w:cs="Times New Roman"/>
        </w:rPr>
        <w:t>Кабели, провода СОУЭ и способы их прокладки должны обеспечивать работоспособность соединительных линий в условиях пожара в течение времени для полной эвакуации людей в безопасную зону.</w:t>
      </w:r>
    </w:p>
    <w:p>
      <w:pPr>
        <w:pStyle w:val="Default"/>
        <w:numPr>
          <w:ilvl w:val="0"/>
          <w:numId w:val="0"/>
        </w:numPr>
        <w:jc w:val="both"/>
        <w:outlineLvl w:val="0"/>
        <w:rPr>
          <w:rFonts w:cs="Times New Roman"/>
        </w:rPr>
      </w:pPr>
      <w:r>
        <w:rPr>
          <w:rFonts w:cs="Times New Roman"/>
        </w:rPr>
        <w:t>Работоспособность кабельных линий и электропроводок ПОУЭ в условиях пожара обеспечивается выбором вида исполнения кабелей и проводов, согласно ГОСТ Р31565-2012, и способом их прокладки. Время работоспособности кабельных линий и электропроводок в условиях воздействия пожара определяется в соответствии с ГОСТ Р 53316-2021.</w:t>
      </w:r>
    </w:p>
    <w:p>
      <w:pPr>
        <w:pStyle w:val="Default"/>
        <w:jc w:val="both"/>
        <w:rPr>
          <w:rFonts w:cs="Times New Roman"/>
        </w:rPr>
      </w:pPr>
      <w:r>
        <w:rPr>
          <w:rFonts w:cs="Times New Roman"/>
        </w:rPr>
        <w:t>5.7. Требования к монтажу:</w:t>
      </w:r>
    </w:p>
    <w:p>
      <w:pPr>
        <w:pStyle w:val="Normal"/>
        <w:widowControl w:val="false"/>
        <w:jc w:val="both"/>
        <w:rPr>
          <w:color w:val="000000"/>
        </w:rPr>
      </w:pPr>
      <w:r>
        <w:rPr>
          <w:color w:val="000000"/>
        </w:rPr>
        <w:t>Требования к системе автоматической пожарной сигнализации</w:t>
      </w:r>
    </w:p>
    <w:p>
      <w:pPr>
        <w:pStyle w:val="Normal"/>
        <w:jc w:val="both"/>
        <w:rPr>
          <w:color w:val="000000"/>
        </w:rPr>
      </w:pPr>
      <w:r>
        <w:rPr>
          <w:color w:val="000000"/>
        </w:rPr>
        <w:t>Выполнить в соответствии с разработанным проектом.</w:t>
      </w:r>
    </w:p>
    <w:p>
      <w:pPr>
        <w:pStyle w:val="Default"/>
        <w:jc w:val="both"/>
        <w:rPr>
          <w:rFonts w:cs="Times New Roman"/>
        </w:rPr>
      </w:pPr>
      <w:r>
        <w:rPr>
          <w:rFonts w:cs="Times New Roman"/>
        </w:rPr>
        <w:t>Для подключения пожарных извещателей тип 1 и 2, к ППКП использовать кабель тип 1.</w:t>
      </w:r>
    </w:p>
    <w:p>
      <w:pPr>
        <w:pStyle w:val="Default"/>
        <w:jc w:val="both"/>
        <w:rPr>
          <w:rFonts w:cs="Times New Roman"/>
        </w:rPr>
      </w:pPr>
      <w:r>
        <w:rPr>
          <w:rFonts w:cs="Times New Roman"/>
        </w:rPr>
        <w:t>Место установки блока индикации, релейных исполнительных устройств – в зоне поста охраны.</w:t>
      </w:r>
    </w:p>
    <w:p>
      <w:pPr>
        <w:pStyle w:val="Default"/>
        <w:jc w:val="both"/>
        <w:rPr>
          <w:rFonts w:cs="Times New Roman"/>
        </w:rPr>
      </w:pPr>
      <w:r>
        <w:rPr>
          <w:rFonts w:cs="Times New Roman"/>
        </w:rPr>
        <w:t>Для подключения ППКП, блока индикации к источнику вторичного электропитания резервированному, использовать кабель тип 2.</w:t>
      </w:r>
    </w:p>
    <w:p>
      <w:pPr>
        <w:pStyle w:val="Normal"/>
        <w:jc w:val="both"/>
        <w:rPr>
          <w:color w:val="000000"/>
        </w:rPr>
      </w:pPr>
      <w:r>
        <w:rPr>
          <w:color w:val="000000"/>
        </w:rPr>
        <w:t>Прокладку кабеля выполнить по стенам и потолкам. Кабельные линии АПС прокладывать на расстоянии не менее 0,5 м от силовых, осветительных кабелей и проводов.</w:t>
      </w:r>
    </w:p>
    <w:p>
      <w:pPr>
        <w:pStyle w:val="Normal"/>
        <w:widowControl w:val="false"/>
        <w:jc w:val="both"/>
        <w:rPr>
          <w:color w:val="000000"/>
        </w:rPr>
      </w:pPr>
      <w:r>
        <w:rPr>
          <w:color w:val="000000"/>
        </w:rPr>
        <w:t>5.8. Требования к системе оповещения и управления эвакуацией при пожаре</w:t>
      </w:r>
    </w:p>
    <w:p>
      <w:pPr>
        <w:pStyle w:val="Default"/>
        <w:jc w:val="both"/>
        <w:rPr>
          <w:rFonts w:cs="Times New Roman"/>
        </w:rPr>
      </w:pPr>
      <w:r>
        <w:rPr>
          <w:rFonts w:cs="Times New Roman"/>
        </w:rPr>
        <w:t>Для подключения извещателей и модуля речевого оповещения к системе АПС использовать кабель тип 2.</w:t>
      </w:r>
    </w:p>
    <w:p>
      <w:pPr>
        <w:pStyle w:val="Default"/>
        <w:jc w:val="both"/>
        <w:rPr>
          <w:rFonts w:cs="Times New Roman"/>
        </w:rPr>
      </w:pPr>
      <w:r>
        <w:rPr>
          <w:rFonts w:cs="Times New Roman"/>
        </w:rPr>
        <w:t>Для подключения модуля речевого оповещения и релейных исполнительных устройств с контролем цепи к источнику вторичного электропитания резервированному использовать кабель тип 2.</w:t>
      </w:r>
    </w:p>
    <w:p>
      <w:pPr>
        <w:pStyle w:val="Default"/>
        <w:numPr>
          <w:ilvl w:val="0"/>
          <w:numId w:val="0"/>
        </w:numPr>
        <w:jc w:val="both"/>
        <w:outlineLvl w:val="0"/>
        <w:rPr>
          <w:rFonts w:cs="Times New Roman"/>
        </w:rPr>
      </w:pPr>
      <w:r>
        <w:rPr>
          <w:rFonts w:cs="Times New Roman"/>
        </w:rPr>
        <w:t>Прокладку кабеля тип 2 выполнить по стенам и потолкам. Кабельные линии СОУЭ прокладывать на расстоянии не менее 0,5 м от силовых, осветительных кабелей и проводов.</w:t>
      </w:r>
    </w:p>
    <w:p>
      <w:pPr>
        <w:pStyle w:val="Normal"/>
        <w:widowControl w:val="false"/>
        <w:jc w:val="both"/>
        <w:rPr>
          <w:rFonts w:eastAsia="SimSun"/>
          <w:b/>
          <w:bCs/>
          <w:lang w:eastAsia="hi-IN" w:bidi="hi-IN"/>
        </w:rPr>
      </w:pPr>
      <w:r>
        <w:rPr>
          <w:rFonts w:eastAsia="SimSun"/>
          <w:b/>
          <w:lang w:eastAsia="hi-IN" w:bidi="hi-IN"/>
        </w:rPr>
        <w:t>6.</w:t>
      </w:r>
      <w:r>
        <w:rPr>
          <w:rFonts w:eastAsia="SimSu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pPr>
        <w:pStyle w:val="Normal"/>
        <w:widowControl w:val="false"/>
        <w:jc w:val="both"/>
        <w:rPr>
          <w:rFonts w:eastAsia="SimSun"/>
          <w:b/>
          <w:bCs/>
          <w:lang w:eastAsia="hi-IN" w:bidi="hi-IN"/>
        </w:rPr>
      </w:pPr>
      <w:r>
        <w:rPr>
          <w:rFonts w:eastAsia="SimSun"/>
          <w:lang w:eastAsia="hi-IN" w:bidi="hi-IN"/>
        </w:rPr>
        <w:t>6.</w:t>
      </w:r>
      <w:r>
        <w:rPr>
          <w:rFonts w:eastAsia="SimSun"/>
          <w:bCs/>
          <w:lang w:eastAsia="hi-IN" w:bidi="hi-IN"/>
        </w:rPr>
        <w:t xml:space="preserve">1. Работы должны быть выполнены в соответствии с </w:t>
      </w:r>
      <w:r>
        <w:rPr>
          <w:rFonts w:eastAsia="SimSun"/>
          <w:lang w:eastAsia="hi-IN" w:bidi="hi-IN"/>
        </w:rPr>
        <w:t xml:space="preserve">документацией (проектная документация, приложенная отдельным файлом), </w:t>
      </w:r>
      <w:r>
        <w:rPr>
          <w:rFonts w:eastAsia="SimSu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pPr>
        <w:pStyle w:val="Normal"/>
        <w:widowControl w:val="false"/>
        <w:jc w:val="both"/>
        <w:rPr>
          <w:rFonts w:eastAsia="SimSun"/>
          <w:bCs/>
          <w:lang w:eastAsia="hi-IN" w:bidi="hi-IN"/>
        </w:rPr>
      </w:pPr>
      <w:r>
        <w:rPr>
          <w:rFonts w:eastAsia="SimSun"/>
          <w:bCs/>
          <w:lang w:eastAsia="hi-IN" w:bidi="hi-IN"/>
        </w:rPr>
        <w:t>- Федеральный закон №52-ФЗ от 30.03.99г. «О санитарно-эпидемиологическом благополучии населения (с изменениями)»;</w:t>
      </w:r>
    </w:p>
    <w:p>
      <w:pPr>
        <w:pStyle w:val="Normal"/>
        <w:widowControl w:val="false"/>
        <w:jc w:val="both"/>
        <w:rPr>
          <w:rFonts w:eastAsia="SimSun"/>
          <w:bCs/>
          <w:lang w:eastAsia="hi-IN" w:bidi="hi-IN"/>
        </w:rPr>
      </w:pPr>
      <w:r>
        <w:rPr>
          <w:rFonts w:eastAsia="SimSun"/>
          <w:bCs/>
          <w:lang w:eastAsia="hi-IN" w:bidi="hi-IN"/>
        </w:rPr>
        <w:t>- Градостроительный кодекс Российской Федерации (с изменениями);</w:t>
      </w:r>
    </w:p>
    <w:p>
      <w:pPr>
        <w:pStyle w:val="Normal"/>
        <w:widowControl w:val="false"/>
        <w:jc w:val="both"/>
        <w:rPr>
          <w:rFonts w:eastAsia="SimSun"/>
          <w:bCs/>
          <w:lang w:eastAsia="hi-IN" w:bidi="hi-IN"/>
        </w:rPr>
      </w:pPr>
      <w:r>
        <w:rPr>
          <w:rFonts w:eastAsia="SimSun"/>
          <w:bCs/>
          <w:lang w:eastAsia="hi-IN" w:bidi="hi-IN"/>
        </w:rPr>
        <w:t>- Организация и выполнение Работ должны соответствовать требованиям безопасности, установленным в следующих документах:</w:t>
      </w:r>
    </w:p>
    <w:p>
      <w:pPr>
        <w:pStyle w:val="Normal"/>
        <w:widowControl w:val="false"/>
        <w:jc w:val="both"/>
        <w:rPr>
          <w:rFonts w:eastAsia="SimSun"/>
          <w:bCs/>
          <w:lang w:eastAsia="hi-IN" w:bidi="hi-IN"/>
        </w:rPr>
      </w:pPr>
      <w:r>
        <w:rPr>
          <w:rFonts w:eastAsia="SimSun"/>
          <w:bCs/>
          <w:lang w:eastAsia="hi-IN" w:bidi="hi-IN"/>
        </w:rPr>
        <w:t>- Федеральный закон от 22.07.2008 № 123-ФЗ «Технический регламент о требованиях пожарной безопасности (последняя редакция)»;</w:t>
      </w:r>
    </w:p>
    <w:p>
      <w:pPr>
        <w:pStyle w:val="Normal"/>
        <w:widowControl w:val="false"/>
        <w:jc w:val="both"/>
        <w:rPr>
          <w:rFonts w:eastAsia="SimSun"/>
          <w:bCs/>
          <w:lang w:eastAsia="hi-IN" w:bidi="hi-IN"/>
        </w:rPr>
      </w:pPr>
      <w:r>
        <w:rPr>
          <w:rFonts w:eastAsia="SimSun"/>
          <w:bCs/>
          <w:lang w:eastAsia="hi-IN" w:bidi="hi-IN"/>
        </w:rPr>
        <w:t>- СНиП 12-03-2001 «Безопасность труда в строительстве Часть 1. Общие требования»;</w:t>
      </w:r>
    </w:p>
    <w:p>
      <w:pPr>
        <w:pStyle w:val="Normal"/>
        <w:widowControl w:val="false"/>
        <w:jc w:val="both"/>
        <w:rPr>
          <w:rFonts w:eastAsia="SimSun"/>
          <w:bCs/>
          <w:lang w:eastAsia="hi-IN" w:bidi="hi-IN"/>
        </w:rPr>
      </w:pPr>
      <w:r>
        <w:rPr>
          <w:rFonts w:eastAsia="SimSun"/>
          <w:bCs/>
          <w:lang w:eastAsia="hi-IN" w:bidi="hi-IN"/>
        </w:rPr>
        <w:t>- СНиП 12-04-2002 «Безопасность труда в строительстве Часть 2. Строительное производство»;</w:t>
      </w:r>
    </w:p>
    <w:p>
      <w:pPr>
        <w:pStyle w:val="Normal"/>
        <w:widowControl w:val="false"/>
        <w:jc w:val="both"/>
        <w:rPr>
          <w:rFonts w:eastAsia="SimSun"/>
          <w:bCs/>
          <w:lang w:eastAsia="hi-IN" w:bidi="hi-IN"/>
        </w:rPr>
      </w:pPr>
      <w:r>
        <w:rPr>
          <w:rFonts w:eastAsia="SimSun"/>
          <w:bCs/>
          <w:lang w:eastAsia="hi-IN" w:bidi="hi-IN"/>
        </w:rPr>
        <w:t>- Федеральный закон от 21.12.1994 № 69-ФЗ «О пожарной безопасности» (с Изменениями);</w:t>
      </w:r>
    </w:p>
    <w:p>
      <w:pPr>
        <w:pStyle w:val="Normal"/>
        <w:widowControl w:val="false"/>
        <w:jc w:val="both"/>
        <w:rPr>
          <w:rFonts w:eastAsia="SimSun"/>
          <w:bCs/>
          <w:lang w:eastAsia="hi-IN" w:bidi="hi-IN"/>
        </w:rPr>
      </w:pPr>
      <w:r>
        <w:rPr>
          <w:rFonts w:eastAsia="SimSun"/>
          <w:bCs/>
          <w:lang w:eastAsia="hi-IN" w:bidi="hi-IN"/>
        </w:rPr>
        <w:t>- Федеральный закон от 27.12.2002 № 184-ФЗ «О техническом регулировании» (с Изменениями);</w:t>
      </w:r>
    </w:p>
    <w:p>
      <w:pPr>
        <w:pStyle w:val="Normal"/>
        <w:widowControl w:val="false"/>
        <w:jc w:val="both"/>
        <w:rPr>
          <w:rFonts w:eastAsia="SimSun"/>
          <w:bCs/>
          <w:lang w:eastAsia="hi-IN" w:bidi="hi-IN"/>
        </w:rPr>
      </w:pPr>
      <w:r>
        <w:rPr>
          <w:rFonts w:eastAsia="SimSun"/>
          <w:bCs/>
          <w:lang w:eastAsia="hi-IN" w:bidi="hi-IN"/>
        </w:rPr>
        <w:t>- Федеральным законом от 30.12.2009 № 384-ФЗ «Технический регламент о безопасности зданий и сооружений (с изменениями)»;</w:t>
      </w:r>
    </w:p>
    <w:p>
      <w:pPr>
        <w:pStyle w:val="Normal"/>
        <w:widowControl w:val="false"/>
        <w:jc w:val="both"/>
        <w:rPr>
          <w:rFonts w:eastAsia="SimSun"/>
          <w:bCs/>
          <w:lang w:eastAsia="hi-IN" w:bidi="hi-IN"/>
        </w:rPr>
      </w:pPr>
      <w:r>
        <w:rPr>
          <w:rFonts w:eastAsia="SimSun"/>
          <w:bCs/>
          <w:lang w:eastAsia="hi-IN" w:bidi="hi-IN"/>
        </w:rPr>
        <w:t>- ГОСТ 12.1.004-91 «Система стандартов безопасности труда. Пожарная безопасность. Общие требования»;</w:t>
      </w:r>
    </w:p>
    <w:p>
      <w:pPr>
        <w:pStyle w:val="Normal"/>
        <w:widowControl w:val="false"/>
        <w:jc w:val="both"/>
        <w:rPr>
          <w:rFonts w:eastAsia="SimSun"/>
          <w:bCs/>
          <w:lang w:eastAsia="hi-IN" w:bidi="hi-IN"/>
        </w:rPr>
      </w:pPr>
      <w:r>
        <w:rPr>
          <w:rFonts w:eastAsia="SimSun"/>
          <w:bCs/>
          <w:lang w:eastAsia="hi-IN" w:bidi="hi-IN"/>
        </w:rPr>
        <w:t>- СП 118.13330.2012 «Свод правил. Общественные здания и сооружения. Актуализированная редакция СНиП 31-06-2009»;</w:t>
      </w:r>
    </w:p>
    <w:p>
      <w:pPr>
        <w:pStyle w:val="Normal"/>
        <w:widowControl w:val="false"/>
        <w:jc w:val="both"/>
        <w:rPr>
          <w:rFonts w:eastAsia="SimSun"/>
          <w:bCs/>
          <w:lang w:eastAsia="hi-IN" w:bidi="hi-IN"/>
        </w:rPr>
      </w:pPr>
      <w:r>
        <w:rPr>
          <w:rFonts w:eastAsia="SimSun"/>
          <w:bCs/>
          <w:lang w:eastAsia="hi-IN" w:bidi="hi-IN"/>
        </w:rPr>
        <w:t>- СНиП 3.05.06-85 «Электротехнические устройства».</w:t>
      </w:r>
    </w:p>
    <w:p>
      <w:pPr>
        <w:pStyle w:val="Normal"/>
        <w:widowControl w:val="false"/>
        <w:jc w:val="both"/>
        <w:rPr>
          <w:rFonts w:eastAsia="SimSun"/>
          <w:bCs/>
          <w:lang w:eastAsia="hi-IN" w:bidi="hi-IN"/>
        </w:rPr>
      </w:pPr>
      <w:r>
        <w:rPr>
          <w:rFonts w:eastAsia="SimSun"/>
          <w:bCs/>
          <w:lang w:eastAsia="hi-IN" w:bidi="hi-IN"/>
        </w:rPr>
        <w:t>- Постановление Правительства РФ от 01.09.2021 N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w:t>
      </w:r>
    </w:p>
    <w:p>
      <w:pPr>
        <w:pStyle w:val="Normal"/>
        <w:widowControl w:val="false"/>
        <w:jc w:val="both"/>
        <w:rPr>
          <w:rFonts w:eastAsia="SimSun"/>
          <w:bCs/>
          <w:lang w:eastAsia="hi-IN" w:bidi="hi-IN"/>
        </w:rPr>
      </w:pPr>
      <w:r>
        <w:rPr>
          <w:rFonts w:eastAsia="SimSun"/>
          <w:bCs/>
          <w:lang w:eastAsia="hi-IN" w:bidi="hi-IN"/>
        </w:rPr>
        <w:t>- Правила противопожарного режима Российской Федерации утв. Постановлением Правительства РФ от 16 сентября 2020 года № 1479;</w:t>
      </w:r>
    </w:p>
    <w:p>
      <w:pPr>
        <w:pStyle w:val="Normal"/>
        <w:widowControl w:val="false"/>
        <w:jc w:val="both"/>
        <w:rPr>
          <w:rFonts w:eastAsia="SimSun"/>
          <w:bCs/>
          <w:lang w:eastAsia="hi-IN" w:bidi="hi-IN"/>
        </w:rPr>
      </w:pPr>
      <w:r>
        <w:rPr>
          <w:rFonts w:eastAsia="SimSun"/>
          <w:bCs/>
          <w:lang w:eastAsia="hi-IN" w:bidi="hi-IN"/>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pPr>
        <w:pStyle w:val="Normal"/>
        <w:widowControl w:val="false"/>
        <w:jc w:val="both"/>
        <w:rPr>
          <w:rFonts w:eastAsia="SimSun"/>
          <w:bCs/>
          <w:lang w:eastAsia="hi-IN" w:bidi="hi-IN"/>
        </w:rPr>
      </w:pPr>
      <w:r>
        <w:rPr>
          <w:rFonts w:eastAsia="SimSun"/>
          <w:bCs/>
          <w:lang w:eastAsia="hi-IN" w:bidi="hi-IN"/>
        </w:rPr>
        <w:t>- РД 78.145-93 "Системы и комплексы охранной, пожарной и охранно-пожарной сигнализации. Правила производства и приемки работ".</w:t>
      </w:r>
    </w:p>
    <w:p>
      <w:pPr>
        <w:pStyle w:val="Normal"/>
        <w:widowControl w:val="false"/>
        <w:jc w:val="both"/>
        <w:rPr>
          <w:rFonts w:eastAsia="SimSun"/>
          <w:bCs/>
          <w:lang w:eastAsia="hi-IN" w:bidi="hi-IN"/>
        </w:rPr>
      </w:pPr>
      <w:r>
        <w:rPr>
          <w:rFonts w:eastAsia="SimSun"/>
          <w:bCs/>
          <w:lang w:eastAsia="hi-IN" w:bidi="hi-IN"/>
        </w:rPr>
        <w:t>- СП 484.1 311 500.2020 «Системы пожарной сигнализации и автоматизация систем противопожарной защиты. Нормы и правила проектирования»;</w:t>
      </w:r>
    </w:p>
    <w:p>
      <w:pPr>
        <w:pStyle w:val="Normal"/>
        <w:widowControl w:val="false"/>
        <w:jc w:val="both"/>
        <w:rPr>
          <w:rFonts w:eastAsia="SimSun"/>
          <w:bCs/>
          <w:lang w:eastAsia="hi-IN" w:bidi="hi-IN"/>
        </w:rPr>
      </w:pPr>
      <w:r>
        <w:rPr>
          <w:rFonts w:eastAsia="SimSun"/>
          <w:bCs/>
          <w:lang w:eastAsia="hi-IN" w:bidi="hi-IN"/>
        </w:rPr>
        <w:t>- СП 485.1 311 500.2020 «Установки пожаротушения автоматические. Нормы и правила проектирования»;</w:t>
      </w:r>
    </w:p>
    <w:p>
      <w:pPr>
        <w:pStyle w:val="Normal"/>
        <w:widowControl w:val="false"/>
        <w:jc w:val="both"/>
        <w:rPr>
          <w:rFonts w:eastAsia="SimSun"/>
          <w:bCs/>
          <w:lang w:eastAsia="hi-IN" w:bidi="hi-IN"/>
        </w:rPr>
      </w:pPr>
      <w:r>
        <w:rPr>
          <w:rFonts w:eastAsia="SimSun"/>
          <w:bCs/>
          <w:lang w:eastAsia="hi-IN" w:bidi="hi-IN"/>
        </w:rPr>
        <w:t>- СП 486.1 311 500.2020 «Перечень зданий, сооружений, помещений и оборудования, подлежащих защите автоматическими установками пожаротушения и системами пожарной сигнализации. Нормы и правила проектирования»;</w:t>
      </w:r>
    </w:p>
    <w:p>
      <w:pPr>
        <w:pStyle w:val="Normal"/>
        <w:widowControl w:val="false"/>
        <w:jc w:val="both"/>
        <w:rPr>
          <w:rFonts w:eastAsia="SimSun"/>
          <w:bCs/>
          <w:lang w:eastAsia="hi-IN" w:bidi="hi-IN"/>
        </w:rPr>
      </w:pPr>
      <w:r>
        <w:rPr>
          <w:rFonts w:eastAsia="SimSun"/>
          <w:bCs/>
          <w:lang w:eastAsia="hi-IN" w:bidi="hi-IN"/>
        </w:rPr>
        <w:t>- СП 6.13 130.2021 «Системы противопожарной защиты. Электрооборудование. Требования пожарной безопасности»;</w:t>
      </w:r>
    </w:p>
    <w:p>
      <w:pPr>
        <w:pStyle w:val="Normal"/>
        <w:widowControl w:val="false"/>
        <w:jc w:val="both"/>
        <w:rPr>
          <w:rFonts w:eastAsia="SimSun"/>
          <w:bCs/>
          <w:lang w:eastAsia="hi-IN" w:bidi="hi-IN"/>
        </w:rPr>
      </w:pPr>
      <w:r>
        <w:rPr>
          <w:rFonts w:eastAsia="SimSun"/>
          <w:bCs/>
          <w:lang w:eastAsia="hi-IN" w:bidi="hi-IN"/>
        </w:rPr>
        <w:t>- СП 10.13 130.2020 «Системы противопожарной защиты. Внутренний противопожарный водопровод. Требования пожарной безопасности»;</w:t>
      </w:r>
    </w:p>
    <w:p>
      <w:pPr>
        <w:pStyle w:val="Normal"/>
        <w:widowControl w:val="false"/>
        <w:jc w:val="both"/>
        <w:rPr>
          <w:rFonts w:eastAsia="SimSun"/>
          <w:bCs/>
          <w:lang w:eastAsia="hi-IN" w:bidi="hi-IN"/>
        </w:rPr>
      </w:pPr>
      <w:r>
        <w:rPr>
          <w:rFonts w:eastAsia="SimSun"/>
          <w:bCs/>
          <w:lang w:eastAsia="hi-IN" w:bidi="hi-IN"/>
        </w:rPr>
        <w:t>- Выбор электрических проводов и кабелей, способы их прокладки для организации шлейфов и соединительных линий пожарной сигнализации должен производиться в соответствии с требованиями ГОСТ 31565-2012, ГОСТ Р 53325, СП 6.13 130.2021 «Системы противопожарной защиты. Электрооборудование. Требования пожарной безопасности»;</w:t>
      </w:r>
    </w:p>
    <w:p>
      <w:pPr>
        <w:pStyle w:val="Normal"/>
        <w:widowControl w:val="false"/>
        <w:jc w:val="both"/>
        <w:rPr>
          <w:rFonts w:eastAsia="SimSun"/>
          <w:bCs/>
          <w:lang w:eastAsia="hi-IN" w:bidi="hi-IN"/>
        </w:rPr>
      </w:pPr>
      <w:r>
        <w:rPr>
          <w:rFonts w:eastAsia="SimSun"/>
          <w:bCs/>
          <w:lang w:eastAsia="hi-IN" w:bidi="hi-IN"/>
        </w:rPr>
        <w:t>- И иные 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pPr>
        <w:pStyle w:val="ListParagraph"/>
        <w:numPr>
          <w:ilvl w:val="0"/>
          <w:numId w:val="0"/>
        </w:numPr>
        <w:ind w:left="0" w:hanging="0"/>
        <w:jc w:val="both"/>
        <w:outlineLvl w:val="0"/>
        <w:rPr>
          <w:b/>
          <w:bCs/>
        </w:rPr>
      </w:pPr>
      <w:r>
        <w:rPr>
          <w:b/>
          <w:bCs/>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pPr>
        <w:pStyle w:val="ListParagraph"/>
        <w:numPr>
          <w:ilvl w:val="0"/>
          <w:numId w:val="0"/>
        </w:numPr>
        <w:ind w:left="0" w:hanging="0"/>
        <w:jc w:val="both"/>
        <w:outlineLvl w:val="0"/>
        <w:rPr/>
      </w:pPr>
      <w:r>
        <w:rPr/>
        <w:t>7.1. Результатом работы являются выполненные работы по монтажу системы пожарной сигнализации и оповещения людей при пожаре, приведенной в нормативно-техническое состояние, отвечающей требованиям технической и пожарной безопасности.</w:t>
      </w:r>
    </w:p>
    <w:p>
      <w:pPr>
        <w:pStyle w:val="ListParagraph"/>
        <w:numPr>
          <w:ilvl w:val="0"/>
          <w:numId w:val="0"/>
        </w:numPr>
        <w:ind w:left="0" w:hanging="0"/>
        <w:jc w:val="both"/>
        <w:outlineLvl w:val="0"/>
        <w:rPr/>
      </w:pPr>
      <w:r>
        <w:rPr/>
        <w:t>7.2. Сдача результатов выполненных работ Подрядчиком и приемка их Заказчиком оформляется актом сдачи-приемки выполненной работы, подписанным обеими сторонами.</w:t>
      </w:r>
    </w:p>
    <w:p>
      <w:pPr>
        <w:pStyle w:val="ListParagraph"/>
        <w:numPr>
          <w:ilvl w:val="0"/>
          <w:numId w:val="0"/>
        </w:numPr>
        <w:ind w:left="0" w:hanging="0"/>
        <w:jc w:val="both"/>
        <w:outlineLvl w:val="0"/>
        <w:rPr/>
      </w:pPr>
      <w:r>
        <w:rPr/>
        <w:t>7.3. По завершению работ Подрядчик должен предоставить Заказчику:</w:t>
      </w:r>
    </w:p>
    <w:p>
      <w:pPr>
        <w:pStyle w:val="ListParagraph"/>
        <w:numPr>
          <w:ilvl w:val="0"/>
          <w:numId w:val="0"/>
        </w:numPr>
        <w:ind w:left="0" w:hanging="0"/>
        <w:jc w:val="both"/>
        <w:outlineLvl w:val="0"/>
        <w:rPr/>
      </w:pPr>
      <w:r>
        <w:rPr/>
        <w:t>- сертификаты на материалы (заверенные копии) - на бумажном и электронном носителе в количестве 1-го экземпляра;</w:t>
      </w:r>
    </w:p>
    <w:p>
      <w:pPr>
        <w:pStyle w:val="ListParagraph"/>
        <w:numPr>
          <w:ilvl w:val="0"/>
          <w:numId w:val="0"/>
        </w:numPr>
        <w:ind w:left="0" w:hanging="0"/>
        <w:jc w:val="both"/>
        <w:outlineLvl w:val="0"/>
        <w:rPr/>
      </w:pPr>
      <w:r>
        <w:rPr/>
        <w:t>- акта сдачи-приемки выполненной работы - на бумажном и электронном носителе в количестве 2-х экземпляров.</w:t>
      </w:r>
    </w:p>
    <w:p>
      <w:pPr>
        <w:pStyle w:val="ListParagraph"/>
        <w:numPr>
          <w:ilvl w:val="0"/>
          <w:numId w:val="0"/>
        </w:numPr>
        <w:ind w:left="0" w:hanging="0"/>
        <w:jc w:val="both"/>
        <w:outlineLvl w:val="0"/>
        <w:rPr>
          <w:b/>
          <w:bCs/>
        </w:rPr>
      </w:pPr>
      <w:r>
        <w:rPr>
          <w:b/>
          <w:bCs/>
        </w:rPr>
        <w:t>8. Требования по объёму гарантий качества работ</w:t>
      </w:r>
    </w:p>
    <w:p>
      <w:pPr>
        <w:pStyle w:val="ListParagraph"/>
        <w:numPr>
          <w:ilvl w:val="0"/>
          <w:numId w:val="0"/>
        </w:numPr>
        <w:ind w:left="0" w:hanging="0"/>
        <w:jc w:val="both"/>
        <w:outlineLvl w:val="0"/>
        <w:rPr/>
      </w:pPr>
      <w:r>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pPr>
        <w:pStyle w:val="ListParagraph"/>
        <w:numPr>
          <w:ilvl w:val="0"/>
          <w:numId w:val="0"/>
        </w:numPr>
        <w:ind w:left="0" w:hanging="0"/>
        <w:jc w:val="both"/>
        <w:outlineLvl w:val="0"/>
        <w:rPr/>
      </w:pPr>
      <w:r>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pPr>
        <w:pStyle w:val="ListParagraph"/>
        <w:numPr>
          <w:ilvl w:val="0"/>
          <w:numId w:val="0"/>
        </w:numPr>
        <w:ind w:left="0" w:hanging="0"/>
        <w:jc w:val="both"/>
        <w:outlineLvl w:val="0"/>
        <w:rPr/>
      </w:pPr>
      <w:r>
        <w:rPr/>
        <w:t>8.3.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pPr>
        <w:pStyle w:val="ListParagraph"/>
        <w:numPr>
          <w:ilvl w:val="0"/>
          <w:numId w:val="0"/>
        </w:numPr>
        <w:ind w:left="0" w:hanging="0"/>
        <w:jc w:val="both"/>
        <w:outlineLvl w:val="0"/>
        <w:rPr/>
      </w:pPr>
      <w:r>
        <w:rPr/>
        <w:t>8.4.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pPr>
        <w:pStyle w:val="ListParagraph"/>
        <w:numPr>
          <w:ilvl w:val="0"/>
          <w:numId w:val="0"/>
        </w:numPr>
        <w:ind w:left="0" w:hanging="0"/>
        <w:jc w:val="both"/>
        <w:outlineLvl w:val="0"/>
        <w:rPr/>
      </w:pPr>
      <w:r>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pPr>
        <w:pStyle w:val="ListParagraph"/>
        <w:numPr>
          <w:ilvl w:val="0"/>
          <w:numId w:val="0"/>
        </w:numPr>
        <w:ind w:left="0" w:hanging="0"/>
        <w:jc w:val="both"/>
        <w:outlineLvl w:val="0"/>
        <w:rPr/>
      </w:pPr>
      <w:r>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pPr>
        <w:pStyle w:val="ListParagraph"/>
        <w:numPr>
          <w:ilvl w:val="0"/>
          <w:numId w:val="0"/>
        </w:numPr>
        <w:ind w:left="0" w:hanging="0"/>
        <w:jc w:val="both"/>
        <w:outlineLvl w:val="0"/>
        <w:rPr/>
      </w:pPr>
      <w:r>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pPr>
        <w:pStyle w:val="ListParagraph"/>
        <w:numPr>
          <w:ilvl w:val="0"/>
          <w:numId w:val="0"/>
        </w:numPr>
        <w:ind w:left="0" w:hanging="0"/>
        <w:jc w:val="both"/>
        <w:outlineLvl w:val="0"/>
        <w:rPr/>
      </w:pPr>
      <w:r>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pPr>
        <w:pStyle w:val="ListParagraph"/>
        <w:numPr>
          <w:ilvl w:val="0"/>
          <w:numId w:val="0"/>
        </w:numPr>
        <w:ind w:left="0" w:hanging="0"/>
        <w:jc w:val="both"/>
        <w:outlineLvl w:val="0"/>
        <w:rPr/>
      </w:pPr>
      <w:r>
        <w:rPr/>
        <w:t>8.9. Подрядчик несет ответственность перед Заказчиком за допущенные отступления от требований настоящего Технического задания.</w:t>
      </w:r>
    </w:p>
    <w:p>
      <w:pPr>
        <w:pStyle w:val="ListParagraph"/>
        <w:numPr>
          <w:ilvl w:val="0"/>
          <w:numId w:val="0"/>
        </w:numPr>
        <w:ind w:left="0" w:hanging="0"/>
        <w:jc w:val="both"/>
        <w:outlineLvl w:val="0"/>
        <w:rPr/>
      </w:pPr>
      <w:r>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pPr>
        <w:pStyle w:val="ListParagraph"/>
        <w:numPr>
          <w:ilvl w:val="0"/>
          <w:numId w:val="0"/>
        </w:numPr>
        <w:ind w:left="0" w:hanging="0"/>
        <w:jc w:val="both"/>
        <w:outlineLvl w:val="0"/>
        <w:rPr>
          <w:highlight w:val="none"/>
          <w:shd w:fill="auto" w:val="clear"/>
        </w:rPr>
      </w:pPr>
      <w:r>
        <w:rPr>
          <w:shd w:fill="auto" w:val="clear"/>
        </w:rPr>
        <w:t>8.11. В соответствии с условиями Договора гарантийный срок на выполненные работы – не менее 24 (двадцати четырех) месяцев с даты подписания итогового акта сдачи-приемки выполненной работы.</w:t>
      </w:r>
    </w:p>
    <w:p>
      <w:pPr>
        <w:pStyle w:val="ListParagraph"/>
        <w:numPr>
          <w:ilvl w:val="0"/>
          <w:numId w:val="0"/>
        </w:numPr>
        <w:ind w:left="0" w:hanging="0"/>
        <w:jc w:val="both"/>
        <w:outlineLvl w:val="0"/>
        <w:rPr>
          <w:highlight w:val="none"/>
          <w:shd w:fill="auto" w:val="clear"/>
        </w:rPr>
      </w:pPr>
      <w:r>
        <w:rPr>
          <w:shd w:fill="auto" w:val="clear"/>
        </w:rPr>
      </w:r>
    </w:p>
    <w:p>
      <w:pPr>
        <w:pStyle w:val="ListParagraph"/>
        <w:numPr>
          <w:ilvl w:val="0"/>
          <w:numId w:val="0"/>
        </w:numPr>
        <w:ind w:left="0" w:hanging="0"/>
        <w:jc w:val="both"/>
        <w:outlineLvl w:val="0"/>
        <w:rPr>
          <w:highlight w:val="none"/>
          <w:shd w:fill="auto" w:val="clear"/>
        </w:rPr>
      </w:pPr>
      <w:r>
        <w:rPr>
          <w:shd w:fill="auto" w:val="clear"/>
        </w:rPr>
      </w:r>
    </w:p>
    <w:p>
      <w:pPr>
        <w:pStyle w:val="ListParagraph"/>
        <w:numPr>
          <w:ilvl w:val="0"/>
          <w:numId w:val="0"/>
        </w:numPr>
        <w:ind w:left="0" w:hanging="0"/>
        <w:jc w:val="both"/>
        <w:outlineLvl w:val="0"/>
        <w:rPr>
          <w:highlight w:val="none"/>
          <w:shd w:fill="auto" w:val="clear"/>
        </w:rPr>
      </w:pPr>
      <w:r>
        <w:rPr>
          <w:shd w:fill="auto" w:val="clear"/>
        </w:rPr>
      </w:r>
    </w:p>
    <w:p>
      <w:pPr>
        <w:pStyle w:val="ListParagraph"/>
        <w:numPr>
          <w:ilvl w:val="0"/>
          <w:numId w:val="0"/>
        </w:numPr>
        <w:ind w:left="0" w:hanging="0"/>
        <w:jc w:val="both"/>
        <w:outlineLvl w:val="0"/>
        <w:rPr>
          <w:highlight w:val="none"/>
          <w:shd w:fill="auto" w:val="clear"/>
        </w:rPr>
      </w:pPr>
      <w:r>
        <w:rPr>
          <w:shd w:fill="auto" w:val="clear"/>
        </w:rPr>
      </w:r>
    </w:p>
    <w:tbl>
      <w:tblPr>
        <w:tblW w:w="1017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327"/>
        <w:gridCol w:w="4845"/>
      </w:tblGrid>
      <w:tr>
        <w:trPr>
          <w:trHeight w:val="671" w:hRule="atLeast"/>
        </w:trPr>
        <w:tc>
          <w:tcPr>
            <w:tcW w:w="5327" w:type="dxa"/>
            <w:tcBorders/>
            <w:shd w:color="auto" w:fill="auto" w:val="clear"/>
          </w:tcPr>
          <w:p>
            <w:pPr>
              <w:pStyle w:val="Normal"/>
              <w:widowControl w:val="false"/>
              <w:rPr>
                <w:sz w:val="20"/>
                <w:szCs w:val="18"/>
              </w:rPr>
            </w:pPr>
            <w:r>
              <w:rPr>
                <w:sz w:val="20"/>
                <w:szCs w:val="18"/>
              </w:rPr>
            </w:r>
          </w:p>
          <w:p>
            <w:pPr>
              <w:pStyle w:val="Style31"/>
              <w:widowControl w:val="false"/>
              <w:rPr>
                <w:sz w:val="20"/>
                <w:szCs w:val="18"/>
              </w:rPr>
            </w:pPr>
            <w:r>
              <w:rPr>
                <w:sz w:val="20"/>
                <w:szCs w:val="18"/>
              </w:rPr>
              <w:t>ПОДРЯДЧИК:</w:t>
            </w:r>
          </w:p>
          <w:p>
            <w:pPr>
              <w:pStyle w:val="Normal"/>
              <w:widowControl w:val="false"/>
              <w:rPr>
                <w:sz w:val="20"/>
                <w:szCs w:val="18"/>
              </w:rPr>
            </w:pPr>
            <w:r>
              <w:rPr>
                <w:sz w:val="20"/>
                <w:szCs w:val="18"/>
              </w:rPr>
            </w:r>
          </w:p>
        </w:tc>
        <w:tc>
          <w:tcPr>
            <w:tcW w:w="4845" w:type="dxa"/>
            <w:tcBorders/>
            <w:shd w:color="auto" w:fill="auto" w:val="clear"/>
          </w:tcPr>
          <w:p>
            <w:pPr>
              <w:pStyle w:val="Normal"/>
              <w:widowControl w:val="false"/>
              <w:jc w:val="both"/>
              <w:rPr>
                <w:sz w:val="20"/>
                <w:szCs w:val="18"/>
              </w:rPr>
            </w:pPr>
            <w:r>
              <w:rPr>
                <w:sz w:val="20"/>
                <w:szCs w:val="18"/>
              </w:rPr>
            </w:r>
          </w:p>
          <w:p>
            <w:pPr>
              <w:pStyle w:val="Normal"/>
              <w:widowControl w:val="false"/>
              <w:rPr>
                <w:color w:val="000000"/>
                <w:sz w:val="20"/>
                <w:szCs w:val="18"/>
              </w:rPr>
            </w:pPr>
            <w:r>
              <w:rPr>
                <w:color w:val="000000"/>
                <w:sz w:val="20"/>
                <w:szCs w:val="18"/>
              </w:rPr>
              <w:t>ЗАКАЗЧИК:</w:t>
            </w:r>
          </w:p>
          <w:p>
            <w:pPr>
              <w:pStyle w:val="Normal"/>
              <w:widowControl w:val="false"/>
              <w:rPr>
                <w:sz w:val="20"/>
                <w:szCs w:val="18"/>
              </w:rPr>
            </w:pPr>
            <w:r>
              <w:rPr>
                <w:b/>
                <w:bCs/>
                <w:color w:val="000000"/>
                <w:sz w:val="20"/>
                <w:szCs w:val="18"/>
              </w:rPr>
              <w:t xml:space="preserve">АО "Региональная сетевая компания" </w:t>
            </w:r>
          </w:p>
        </w:tc>
      </w:tr>
      <w:tr>
        <w:trPr>
          <w:trHeight w:val="260" w:hRule="atLeast"/>
        </w:trPr>
        <w:tc>
          <w:tcPr>
            <w:tcW w:w="5327" w:type="dxa"/>
            <w:tcBorders/>
            <w:shd w:color="auto" w:fill="auto" w:val="clear"/>
          </w:tcPr>
          <w:p>
            <w:pPr>
              <w:pStyle w:val="Normal"/>
              <w:widowControl w:val="false"/>
              <w:snapToGrid w:val="false"/>
              <w:jc w:val="both"/>
              <w:rPr>
                <w:color w:val="000000"/>
                <w:sz w:val="20"/>
                <w:szCs w:val="18"/>
              </w:rPr>
            </w:pPr>
            <w:r>
              <w:rPr>
                <w:color w:val="000000"/>
                <w:sz w:val="20"/>
                <w:szCs w:val="18"/>
              </w:rPr>
            </w:r>
          </w:p>
        </w:tc>
        <w:tc>
          <w:tcPr>
            <w:tcW w:w="4845" w:type="dxa"/>
            <w:tcBorders/>
            <w:shd w:color="auto" w:fill="auto" w:val="clear"/>
            <w:vAlign w:val="center"/>
          </w:tcPr>
          <w:p>
            <w:pPr>
              <w:pStyle w:val="Normal"/>
              <w:widowControl w:val="false"/>
              <w:jc w:val="both"/>
              <w:rPr>
                <w:sz w:val="20"/>
                <w:szCs w:val="18"/>
              </w:rPr>
            </w:pPr>
            <w:r>
              <w:rPr>
                <w:sz w:val="20"/>
                <w:szCs w:val="18"/>
              </w:rPr>
              <w:t>ГЕНЕРАЛЬНЫЙ ДИРЕКТОР</w:t>
            </w:r>
          </w:p>
        </w:tc>
      </w:tr>
      <w:tr>
        <w:trPr>
          <w:trHeight w:val="260" w:hRule="atLeast"/>
        </w:trPr>
        <w:tc>
          <w:tcPr>
            <w:tcW w:w="5327" w:type="dxa"/>
            <w:tcBorders/>
            <w:shd w:color="auto" w:fill="auto" w:val="clear"/>
          </w:tcPr>
          <w:p>
            <w:pPr>
              <w:pStyle w:val="Style31"/>
              <w:widowControl w:val="false"/>
              <w:rPr>
                <w:sz w:val="20"/>
                <w:szCs w:val="18"/>
              </w:rPr>
            </w:pPr>
            <w:r>
              <w:rPr>
                <w:sz w:val="20"/>
                <w:szCs w:val="18"/>
              </w:rPr>
              <w:t>_________/__________.</w:t>
            </w:r>
          </w:p>
          <w:p>
            <w:pPr>
              <w:pStyle w:val="Style31"/>
              <w:widowControl w:val="false"/>
              <w:rPr>
                <w:szCs w:val="18"/>
              </w:rPr>
            </w:pPr>
            <w:r>
              <w:rPr>
                <w:szCs w:val="18"/>
              </w:rPr>
              <w:t xml:space="preserve">                               </w:t>
            </w:r>
          </w:p>
          <w:p>
            <w:pPr>
              <w:pStyle w:val="Style31"/>
              <w:widowControl w:val="false"/>
              <w:rPr>
                <w:szCs w:val="18"/>
              </w:rPr>
            </w:pPr>
            <w:r>
              <w:rPr>
                <w:sz w:val="20"/>
                <w:szCs w:val="18"/>
              </w:rPr>
              <w:t xml:space="preserve"> </w:t>
            </w:r>
            <w:r>
              <w:rPr>
                <w:sz w:val="20"/>
                <w:szCs w:val="18"/>
              </w:rPr>
              <w:t>М.П.</w:t>
            </w:r>
          </w:p>
        </w:tc>
        <w:tc>
          <w:tcPr>
            <w:tcW w:w="4845" w:type="dxa"/>
            <w:tcBorders/>
            <w:shd w:color="auto" w:fill="auto" w:val="clear"/>
          </w:tcPr>
          <w:p>
            <w:pPr>
              <w:pStyle w:val="Normal"/>
              <w:widowControl w:val="false"/>
              <w:jc w:val="both"/>
              <w:rPr>
                <w:sz w:val="20"/>
                <w:szCs w:val="18"/>
              </w:rPr>
            </w:pPr>
            <w:r>
              <w:rPr>
                <w:color w:val="000000"/>
                <w:sz w:val="20"/>
                <w:szCs w:val="18"/>
              </w:rPr>
              <w:t xml:space="preserve"> </w:t>
            </w:r>
            <w:r>
              <w:rPr>
                <w:color w:val="000000"/>
                <w:sz w:val="20"/>
                <w:szCs w:val="18"/>
              </w:rPr>
              <w:t>______________________/А.С. Мирный/</w:t>
            </w:r>
          </w:p>
          <w:p>
            <w:pPr>
              <w:pStyle w:val="Normal"/>
              <w:widowControl w:val="false"/>
              <w:jc w:val="both"/>
              <w:rPr>
                <w:color w:val="000000"/>
                <w:sz w:val="20"/>
                <w:szCs w:val="18"/>
              </w:rPr>
            </w:pPr>
            <w:r>
              <w:rPr>
                <w:color w:val="000000"/>
                <w:sz w:val="20"/>
                <w:szCs w:val="18"/>
              </w:rPr>
              <w:t xml:space="preserve">                                </w:t>
            </w:r>
          </w:p>
          <w:p>
            <w:pPr>
              <w:pStyle w:val="Normal"/>
              <w:widowControl w:val="false"/>
              <w:jc w:val="both"/>
              <w:rPr>
                <w:sz w:val="20"/>
                <w:szCs w:val="18"/>
              </w:rPr>
            </w:pPr>
            <w:r>
              <w:rPr>
                <w:color w:val="000000"/>
                <w:sz w:val="20"/>
                <w:szCs w:val="18"/>
              </w:rPr>
              <w:t>М.П.</w:t>
            </w:r>
          </w:p>
        </w:tc>
      </w:tr>
    </w:tbl>
    <w:p>
      <w:pPr>
        <w:pStyle w:val="Normal"/>
        <w:rPr/>
      </w:pPr>
      <w:r>
        <w:rPr/>
      </w:r>
    </w:p>
    <w:sectPr>
      <w:footerReference w:type="default" r:id="rId2"/>
      <w:type w:val="nextPage"/>
      <w:pgSz w:w="11906" w:h="16838"/>
      <w:pgMar w:left="1134" w:right="850" w:gutter="0" w:header="0" w:top="709" w:footer="708" w:bottom="9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ind w:right="360" w:hanging="0"/>
      <w:rPr/>
    </w:pPr>
    <w:r>
      <w:rPr/>
      <w:drawing>
        <wp:inline distT="0" distB="0" distL="0" distR="0">
          <wp:extent cx="1080135" cy="360045"/>
          <wp:effectExtent l="0" t="0" r="0" b="0"/>
          <wp:docPr id="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
                  <pic:cNvPicPr>
                    <a:picLocks noChangeAspect="1" noChangeArrowheads="1"/>
                  </pic:cNvPicPr>
                </pic:nvPicPr>
                <pic:blipFill>
                  <a:blip r:embed="rId1"/>
                  <a:stretch>
                    <a:fillRect/>
                  </a:stretch>
                </pic:blipFill>
                <pic:spPr bwMode="auto">
                  <a:xfrm>
                    <a:off x="0" y="0"/>
                    <a:ext cx="1080135" cy="360045"/>
                  </a:xfrm>
                  <a:prstGeom prst="rect">
                    <a:avLst/>
                  </a:prstGeom>
                </pic:spPr>
              </pic:pic>
            </a:graphicData>
          </a:graphic>
        </wp:inline>
      </w:drawing>
      <mc:AlternateContent>
        <mc:Choice Requires="wps">
          <w:drawing>
            <wp:anchor behindDoc="1" distT="0" distB="0" distL="113665" distR="114300" simplePos="0" locked="0" layoutInCell="0" allowOverlap="1" relativeHeight="21" wp14:anchorId="7A0A6C08">
              <wp:simplePos x="0" y="0"/>
              <wp:positionH relativeFrom="margin">
                <wp:align>right</wp:align>
              </wp:positionH>
              <wp:positionV relativeFrom="paragraph">
                <wp:posOffset>635</wp:posOffset>
              </wp:positionV>
              <wp:extent cx="394335" cy="318770"/>
              <wp:effectExtent l="0" t="0" r="0" b="0"/>
              <wp:wrapSquare wrapText="bothSides"/>
              <wp:docPr id="2" name="Врезка1"/>
              <a:graphic xmlns:a="http://schemas.openxmlformats.org/drawingml/2006/main">
                <a:graphicData uri="http://schemas.microsoft.com/office/word/2010/wordprocessingShape">
                  <wps:wsp>
                    <wps:cNvSpPr/>
                    <wps:spPr>
                      <a:xfrm>
                        <a:off x="0" y="0"/>
                        <a:ext cx="394200" cy="318600"/>
                      </a:xfrm>
                      <a:prstGeom prst="rect">
                        <a:avLst/>
                      </a:prstGeom>
                      <a:noFill/>
                      <a:ln w="0">
                        <a:noFill/>
                      </a:ln>
                    </wps:spPr>
                    <wps:style>
                      <a:lnRef idx="0"/>
                      <a:fillRef idx="0"/>
                      <a:effectRef idx="0"/>
                      <a:fontRef idx="minor"/>
                    </wps:style>
                    <wps:txbx>
                      <w:txbxContent>
                        <w:p>
                          <w:pPr>
                            <w:pStyle w:val="Style29"/>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wps:txbx>
                    <wps:bodyPr anchor="t" upright="1">
                      <a:noAutofit/>
                    </wps:bodyPr>
                  </wps:wsp>
                </a:graphicData>
              </a:graphic>
            </wp:anchor>
          </w:drawing>
        </mc:Choice>
        <mc:Fallback>
          <w:pict>
            <v:rect id="shape_0" ID="Врезка1" path="m0,0l-2147483645,0l-2147483645,-2147483646l0,-2147483646xe" fillcolor="white" stroked="f" o:allowincell="f" style="position:absolute;margin-left:455.95pt;margin-top:0.05pt;width:31pt;height:25.05pt;mso-wrap-style:square;v-text-anchor:top;mso-position-horizontal:right;mso-position-horizontal-relative:margin" wp14:anchorId="7A0A6C08">
              <v:fill o:detectmouseclick="t" type="solid" color2="black" opacity="0"/>
              <v:stroke color="#3465a4" joinstyle="round" endcap="flat"/>
              <v:textbox>
                <w:txbxContent>
                  <w:p>
                    <w:pPr>
                      <w:pStyle w:val="Style29"/>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pStyle w:val="5"/>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qFormat/>
    <w:pPr>
      <w:keepNext w:val="true"/>
      <w:keepLines/>
      <w:numPr>
        <w:ilvl w:val="4"/>
        <w:numId w:val="1"/>
      </w:numPr>
      <w:spacing w:before="40" w:after="0"/>
      <w:outlineLvl w:val="4"/>
    </w:pPr>
    <w:rPr>
      <w:rFonts w:ascii="Cambria" w:hAnsi="Cambria" w:eastAsia="font235" w:cs="font235"/>
      <w:color w:val="365F91"/>
      <w:lang w:eastAsia="zh-CN"/>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Заголовок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Style8" w:customStyle="1">
    <w:name w:val="Нижний колонтитул Знак"/>
    <w:uiPriority w:val="99"/>
    <w:qFormat/>
    <w:rPr/>
  </w:style>
  <w:style w:type="character" w:styleId="-">
    <w:name w:val="Hyperlink"/>
    <w:uiPriority w:val="99"/>
    <w:unhideWhenUsed/>
    <w:rPr>
      <w:color w:val="0000FF" w:themeColor="hyperlink"/>
      <w:u w:val="single"/>
    </w:rPr>
  </w:style>
  <w:style w:type="character" w:styleId="Style9" w:customStyle="1">
    <w:name w:val="Текст сноски Знак"/>
    <w:uiPriority w:val="99"/>
    <w:qFormat/>
    <w:rPr>
      <w:sz w:val="18"/>
    </w:rPr>
  </w:style>
  <w:style w:type="character" w:styleId="Style10">
    <w:name w:val="Символ сноски"/>
    <w:basedOn w:val="DefaultParagraphFont"/>
    <w:uiPriority w:val="99"/>
    <w:unhideWhenUsed/>
    <w:qFormat/>
    <w:rPr>
      <w:vertAlign w:val="superscript"/>
    </w:rPr>
  </w:style>
  <w:style w:type="character" w:styleId="Style11">
    <w:name w:val="Footnote Reference"/>
    <w:rPr>
      <w:vertAlign w:val="superscript"/>
    </w:rPr>
  </w:style>
  <w:style w:type="character" w:styleId="Style12" w:customStyle="1">
    <w:name w:val="Текст концевой сноски Знак"/>
    <w:uiPriority w:val="99"/>
    <w:qFormat/>
    <w:rPr>
      <w:sz w:val="20"/>
    </w:rPr>
  </w:style>
  <w:style w:type="character" w:styleId="Style13">
    <w:name w:val="Символ концевой сноски"/>
    <w:basedOn w:val="DefaultParagraphFont"/>
    <w:uiPriority w:val="99"/>
    <w:semiHidden/>
    <w:unhideWhenUsed/>
    <w:qFormat/>
    <w:rPr>
      <w:vertAlign w:val="superscript"/>
    </w:rPr>
  </w:style>
  <w:style w:type="character" w:styleId="Style14">
    <w:name w:val="Endnote Reference"/>
    <w:rPr>
      <w:vertAlign w:val="superscript"/>
    </w:rPr>
  </w:style>
  <w:style w:type="character" w:styleId="Pagenumber">
    <w:name w:val="page number"/>
    <w:basedOn w:val="DefaultParagraphFont"/>
    <w:qFormat/>
    <w:rPr>
      <w:rFonts w:cs="Times New Roman"/>
    </w:rPr>
  </w:style>
  <w:style w:type="character" w:styleId="Strong">
    <w:name w:val="Strong"/>
    <w:basedOn w:val="DefaultParagraphFont"/>
    <w:qFormat/>
    <w:rPr>
      <w:rFonts w:cs="Times New Roman"/>
      <w:b/>
      <w:bCs/>
    </w:rPr>
  </w:style>
  <w:style w:type="character" w:styleId="Style15" w:customStyle="1">
    <w:name w:val="Верхний колонтитул Знак"/>
    <w:basedOn w:val="DefaultParagraphFont"/>
    <w:qFormat/>
    <w:rPr>
      <w:sz w:val="24"/>
      <w:szCs w:val="24"/>
    </w:rPr>
  </w:style>
  <w:style w:type="character" w:styleId="Style16" w:customStyle="1">
    <w:name w:val="Текст выноски Знак"/>
    <w:basedOn w:val="DefaultParagraphFont"/>
    <w:link w:val="BalloonText"/>
    <w:semiHidden/>
    <w:qFormat/>
    <w:rPr>
      <w:rFonts w:ascii="Segoe UI" w:hAnsi="Segoe UI" w:cs="Segoe UI"/>
      <w:sz w:val="18"/>
      <w:szCs w:val="18"/>
    </w:rPr>
  </w:style>
  <w:style w:type="character" w:styleId="51" w:customStyle="1">
    <w:name w:val="Заголовок 5 Знак"/>
    <w:basedOn w:val="DefaultParagraphFont"/>
    <w:qFormat/>
    <w:rPr>
      <w:rFonts w:ascii="Cambria" w:hAnsi="Cambria" w:eastAsia="font235" w:cs="font235"/>
      <w:color w:val="365F91"/>
      <w:sz w:val="24"/>
      <w:szCs w:val="24"/>
      <w:lang w:eastAsia="zh-CN"/>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Spacing">
    <w:name w:val="No Spacing"/>
    <w:uiPriority w:val="1"/>
    <w:qFormat/>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22">
    <w:name w:val="Title"/>
    <w:basedOn w:val="Normal"/>
    <w:next w:val="Normal"/>
    <w:link w:val="Style5"/>
    <w:uiPriority w:val="10"/>
    <w:qFormat/>
    <w:pPr>
      <w:spacing w:before="300" w:after="200"/>
      <w:contextualSpacing/>
    </w:pPr>
    <w:rPr>
      <w:sz w:val="48"/>
      <w:szCs w:val="48"/>
    </w:rPr>
  </w:style>
  <w:style w:type="paragraph" w:styleId="Style23">
    <w:name w:val="Subtitle"/>
    <w:basedOn w:val="Normal"/>
    <w:next w:val="Normal"/>
    <w:link w:val="Style6"/>
    <w:uiPriority w:val="11"/>
    <w:qFormat/>
    <w:pPr>
      <w:spacing w:before="200" w:after="200"/>
    </w:pPr>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4">
    <w:name w:val="Footnote Text"/>
    <w:basedOn w:val="Normal"/>
    <w:link w:val="Style9"/>
    <w:uiPriority w:val="99"/>
    <w:semiHidden/>
    <w:unhideWhenUsed/>
    <w:pPr>
      <w:spacing w:before="0" w:after="40"/>
    </w:pPr>
    <w:rPr>
      <w:sz w:val="18"/>
    </w:rPr>
  </w:style>
  <w:style w:type="paragraph" w:styleId="Style25">
    <w:name w:val="Endnote Text"/>
    <w:basedOn w:val="Normal"/>
    <w:link w:val="Style12"/>
    <w:uiPriority w:val="99"/>
    <w:semiHidden/>
    <w:unhideWhenUsed/>
    <w:pPr/>
    <w:rPr>
      <w:sz w:val="20"/>
    </w:rPr>
  </w:style>
  <w:style w:type="paragraph" w:styleId="12">
    <w:name w:val="TOC 1"/>
    <w:basedOn w:val="Normal"/>
    <w:next w:val="Normal"/>
    <w:uiPriority w:val="39"/>
    <w:unhideWhenUsed/>
    <w:pPr>
      <w:spacing w:before="0" w:after="57"/>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6">
    <w:name w:val="Index Heading"/>
    <w:basedOn w:val="Style17"/>
    <w:pPr/>
    <w:rPr/>
  </w:style>
  <w:style w:type="paragraph" w:styleId="Style27">
    <w:name w:val="TOC Heading"/>
    <w:uiPriority w:val="39"/>
    <w:unhideWhenUsed/>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Tableoffigures">
    <w:name w:val="table of figures"/>
    <w:basedOn w:val="Normal"/>
    <w:next w:val="Normal"/>
    <w:uiPriority w:val="99"/>
    <w:unhideWhenUsed/>
    <w:qFormat/>
    <w:pPr/>
    <w:rPr/>
  </w:style>
  <w:style w:type="paragraph" w:styleId="13" w:customStyle="1">
    <w:name w:val="Заголовок1"/>
    <w:basedOn w:val="Normal"/>
    <w:next w:val="Style18"/>
    <w:qFormat/>
    <w:pPr>
      <w:keepNext w:val="true"/>
      <w:spacing w:before="240" w:after="120"/>
    </w:pPr>
    <w:rPr>
      <w:rFonts w:ascii="Liberation Sans" w:hAnsi="Liberation Sans" w:cs="Arial"/>
      <w:sz w:val="28"/>
      <w:szCs w:val="28"/>
    </w:rPr>
  </w:style>
  <w:style w:type="paragraph" w:styleId="Caption">
    <w:name w:val="caption"/>
    <w:basedOn w:val="Normal"/>
    <w:qFormat/>
    <w:pPr>
      <w:suppressLineNumbers/>
      <w:spacing w:before="120" w:after="120"/>
    </w:pPr>
    <w:rPr>
      <w:rFonts w:cs="Arial"/>
      <w:i/>
      <w:iCs/>
    </w:rPr>
  </w:style>
  <w:style w:type="paragraph" w:styleId="Index1">
    <w:name w:val="index 1"/>
    <w:basedOn w:val="Normal"/>
    <w:next w:val="Normal"/>
    <w:semiHidden/>
    <w:qFormat/>
    <w:pPr>
      <w:ind w:left="240" w:hanging="240"/>
    </w:pPr>
    <w:rPr/>
  </w:style>
  <w:style w:type="paragraph" w:styleId="Indexheading">
    <w:name w:val="index heading"/>
    <w:basedOn w:val="Normal"/>
    <w:semiHidden/>
    <w:qFormat/>
    <w:pPr>
      <w:suppressLineNumbers/>
    </w:pPr>
    <w:rPr>
      <w:rFonts w:cs="Arial"/>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Style28">
    <w:name w:val="Колонтитул"/>
    <w:basedOn w:val="Normal"/>
    <w:qFormat/>
    <w:pPr/>
    <w:rPr/>
  </w:style>
  <w:style w:type="paragraph" w:styleId="Style29">
    <w:name w:val="Footer"/>
    <w:basedOn w:val="Normal"/>
    <w:link w:val="Style8"/>
    <w:pPr>
      <w:tabs>
        <w:tab w:val="clear" w:pos="708"/>
        <w:tab w:val="center" w:pos="4677" w:leader="none"/>
        <w:tab w:val="right" w:pos="9355" w:leader="none"/>
      </w:tabs>
    </w:pPr>
    <w:rPr/>
  </w:style>
  <w:style w:type="paragraph" w:styleId="Style30" w:customStyle="1">
    <w:name w:val="Содержимое врезки"/>
    <w:basedOn w:val="Normal"/>
    <w:qFormat/>
    <w:pPr/>
    <w:rPr/>
  </w:style>
  <w:style w:type="paragraph" w:styleId="Default" w:customStyle="1">
    <w:name w:val="Default"/>
    <w:qFormat/>
    <w:pPr>
      <w:widowControl w:val="false"/>
      <w:bidi w:val="0"/>
      <w:spacing w:before="0" w:after="0"/>
      <w:jc w:val="left"/>
    </w:pPr>
    <w:rPr>
      <w:rFonts w:eastAsia="SimSun" w:cs="Arial" w:ascii="Times New Roman" w:hAnsi="Times New Roman"/>
      <w:color w:val="000000"/>
      <w:kern w:val="0"/>
      <w:sz w:val="24"/>
      <w:szCs w:val="24"/>
      <w:lang w:eastAsia="zh-CN" w:bidi="hi-IN" w:val="ru-RU"/>
    </w:rPr>
  </w:style>
  <w:style w:type="paragraph" w:styleId="NormalWeb">
    <w:name w:val="Normal (Web)"/>
    <w:basedOn w:val="Normal"/>
    <w:qFormat/>
    <w:pPr/>
    <w:rPr/>
  </w:style>
  <w:style w:type="paragraph" w:styleId="Style31">
    <w:name w:val="Header"/>
    <w:basedOn w:val="Normal"/>
    <w:link w:val="Style15"/>
    <w:pPr>
      <w:tabs>
        <w:tab w:val="clear" w:pos="708"/>
        <w:tab w:val="center" w:pos="4677" w:leader="none"/>
        <w:tab w:val="right" w:pos="9355" w:leader="none"/>
      </w:tabs>
    </w:pPr>
    <w:rPr/>
  </w:style>
  <w:style w:type="paragraph" w:styleId="ListParagraph">
    <w:name w:val="List Paragraph"/>
    <w:basedOn w:val="Normal"/>
    <w:uiPriority w:val="34"/>
    <w:qFormat/>
    <w:pPr>
      <w:spacing w:before="0" w:after="0"/>
      <w:ind w:left="720" w:hanging="0"/>
      <w:contextualSpacing/>
    </w:pPr>
    <w:rPr/>
  </w:style>
  <w:style w:type="paragraph" w:styleId="BalloonText">
    <w:name w:val="Balloon Text"/>
    <w:basedOn w:val="Normal"/>
    <w:link w:val="Style16"/>
    <w:semiHidden/>
    <w:unhideWhenUsed/>
    <w:qFormat/>
    <w:pPr/>
    <w:rPr>
      <w:rFonts w:ascii="Segoe UI" w:hAnsi="Segoe UI" w:cs="Segoe UI"/>
      <w:sz w:val="18"/>
      <w:szCs w:val="18"/>
    </w:rPr>
  </w:style>
  <w:style w:type="paragraph" w:styleId="14" w:customStyle="1">
    <w:name w:val="Без интервала1"/>
    <w:qFormat/>
    <w:pPr>
      <w:widowControl/>
      <w:bidi w:val="0"/>
      <w:spacing w:before="0" w:after="0"/>
      <w:jc w:val="left"/>
    </w:pPr>
    <w:rPr>
      <w:rFonts w:ascii="Times New Roman" w:hAnsi="Times New Roman" w:eastAsia="Times New Roman" w:cs="Times New Roman"/>
      <w:color w:val="auto"/>
      <w:kern w:val="0"/>
      <w:sz w:val="24"/>
      <w:szCs w:val="24"/>
      <w:lang w:eastAsia="zh-CN"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41">
    <w:name w:val="Plain Table 4"/>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styleId="-10">
    <w:name w:val="List Table 1 Light"/>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4F81BD" w:themeColor="accent1" w:sz="4" w:space="0"/>
      </w:tblBorders>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D99695" w:themeColor="accent2" w:themeTint="97" w:sz="4" w:space="0"/>
      </w:tblBorders>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afc">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2D1B-AEB9-4B1F-812D-272A6765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LibreOffice/7.5.3.2$Windows_X86_64 LibreOffice_project/9f56dff12ba03b9acd7730a5a481eea045e468f3</Application>
  <AppVersion>15.0000</AppVersion>
  <DocSecurity>0</DocSecurity>
  <Pages>7</Pages>
  <Words>2582</Words>
  <Characters>18293</Characters>
  <CharactersWithSpaces>20786</CharactersWithSpaces>
  <Paragraphs>173</Paragraphs>
  <Company>ВДПО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2024-07-23T12:03:00Z</dcterms:created>
  <dc:creator>Cergei</dc:creator>
  <dc:description/>
  <dc:language>ru-RU</dc:language>
  <cp:lastModifiedBy/>
  <dcterms:modified xsi:type="dcterms:W3CDTF">2024-07-30T16:21:35Z</dcterms:modified>
  <cp:revision>4</cp:revision>
  <dc:subject/>
  <dc:title>ТЕХНИЧЕСКОЕ  ЗАДАНИЕ  НА  ВЫПОЛНЕНИЕ  РАБОТ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