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E95670">
        <w:trPr>
          <w:trHeight w:val="680"/>
        </w:trPr>
        <w:tc>
          <w:tcPr>
            <w:tcW w:w="10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670" w:rsidRDefault="009A2B50">
            <w:pPr>
              <w:spacing w:line="276" w:lineRule="auto"/>
              <w:ind w:left="40" w:righ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Обоснование начальной (максимальной) цены контракта (НМЦК)  в соответствии  с Порядком, утвержденным приказом </w:t>
            </w:r>
            <w:proofErr w:type="spellStart"/>
            <w:r>
              <w:rPr>
                <w:b/>
                <w:sz w:val="22"/>
              </w:rPr>
              <w:t>Росгвардии</w:t>
            </w:r>
            <w:proofErr w:type="spellEnd"/>
            <w:r>
              <w:rPr>
                <w:b/>
                <w:sz w:val="22"/>
              </w:rPr>
              <w:t xml:space="preserve"> от 15.02.2021 № 45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  <w:gridCol w:w="5790"/>
            </w:tblGrid>
            <w:tr w:rsidR="00E95670">
              <w:trPr>
                <w:trHeight w:val="340"/>
              </w:trPr>
              <w:tc>
                <w:tcPr>
                  <w:tcW w:w="43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5" w:after="35" w:line="276" w:lineRule="auto"/>
                    <w:ind w:left="30" w:right="3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Предмет контракта</w:t>
                  </w:r>
                </w:p>
              </w:tc>
              <w:tc>
                <w:tcPr>
                  <w:tcW w:w="579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5" w:after="35" w:line="276" w:lineRule="auto"/>
                    <w:ind w:left="30" w:right="30"/>
                    <w:rPr>
                      <w:sz w:val="22"/>
                    </w:rPr>
                  </w:pPr>
                  <w:r>
                    <w:rPr>
                      <w:sz w:val="22"/>
                    </w:rPr>
                    <w:t>Оказание охранных услуг</w:t>
                  </w:r>
                </w:p>
              </w:tc>
            </w:tr>
            <w:tr w:rsidR="00E95670">
              <w:trPr>
                <w:trHeight w:val="340"/>
              </w:trPr>
              <w:tc>
                <w:tcPr>
                  <w:tcW w:w="4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0" w:after="30" w:line="276" w:lineRule="auto"/>
                    <w:ind w:left="30" w:right="3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Основные характеристики объекта закупки</w:t>
                  </w:r>
                </w:p>
              </w:tc>
              <w:tc>
                <w:tcPr>
                  <w:tcW w:w="5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0" w:after="30" w:line="276" w:lineRule="auto"/>
                    <w:ind w:left="30" w:right="3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 соответствии с техническим </w:t>
                  </w:r>
                  <w:r>
                    <w:rPr>
                      <w:sz w:val="22"/>
                    </w:rPr>
                    <w:t>заданием</w:t>
                  </w:r>
                </w:p>
              </w:tc>
            </w:tr>
            <w:tr w:rsidR="00E95670">
              <w:trPr>
                <w:trHeight w:val="340"/>
              </w:trPr>
              <w:tc>
                <w:tcPr>
                  <w:tcW w:w="4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0" w:after="30" w:line="276" w:lineRule="auto"/>
                    <w:ind w:left="30" w:right="3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Используемый метод определения НМЦК </w:t>
                  </w:r>
                </w:p>
              </w:tc>
              <w:tc>
                <w:tcPr>
                  <w:tcW w:w="5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jc w:val="both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Определение НМЦК осуществлено в соответствии с требованиями статьи 22 Федерального закона от 05.04.2013 №44-ФЗ «О контрактной системе в сфере закупок товаров, работ, услуг для обеспечения государственных и </w:t>
                  </w:r>
                  <w:r>
                    <w:rPr>
                      <w:sz w:val="22"/>
                    </w:rPr>
                    <w:t xml:space="preserve">муниципальных нужд» и Приказа </w:t>
                  </w:r>
                  <w:proofErr w:type="spellStart"/>
                  <w:r>
                    <w:rPr>
                      <w:sz w:val="22"/>
                    </w:rPr>
                    <w:t>Росгвардии</w:t>
                  </w:r>
                  <w:proofErr w:type="spellEnd"/>
                  <w:r>
                    <w:rPr>
                      <w:sz w:val="22"/>
                    </w:rPr>
                    <w:t xml:space="preserve"> от 15.02.2021 №45«Об утверждении Порядка определения начальной (максимальной) цены  контракта, цены  контракта, заключаемого с  единственным  поставщиком  (подрядчиком,  исполнителем), начальной цены единицы товара,</w:t>
                  </w:r>
                  <w:r>
                    <w:rPr>
                      <w:sz w:val="22"/>
                    </w:rPr>
                    <w:t xml:space="preserve"> работы, услуги при осуществлении закупок</w:t>
                  </w:r>
                  <w:proofErr w:type="gramEnd"/>
                  <w:r>
                    <w:rPr>
                      <w:sz w:val="22"/>
                    </w:rPr>
                    <w:t xml:space="preserve"> охранных услуг» (Приказ </w:t>
                  </w:r>
                  <w:proofErr w:type="spellStart"/>
                  <w:r>
                    <w:rPr>
                      <w:sz w:val="22"/>
                    </w:rPr>
                    <w:t>Росгвардии</w:t>
                  </w:r>
                  <w:proofErr w:type="spellEnd"/>
                  <w:r>
                    <w:rPr>
                      <w:sz w:val="22"/>
                    </w:rPr>
                    <w:t>).</w:t>
                  </w:r>
                </w:p>
                <w:p w:rsidR="00E95670" w:rsidRDefault="00E95670">
                  <w:pPr>
                    <w:spacing w:before="30" w:after="30" w:line="276" w:lineRule="auto"/>
                    <w:ind w:left="30" w:right="30"/>
                    <w:rPr>
                      <w:sz w:val="22"/>
                    </w:rPr>
                  </w:pPr>
                </w:p>
              </w:tc>
            </w:tr>
            <w:tr w:rsidR="00E95670">
              <w:trPr>
                <w:trHeight w:val="340"/>
              </w:trPr>
              <w:tc>
                <w:tcPr>
                  <w:tcW w:w="4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0" w:after="30" w:line="276" w:lineRule="auto"/>
                    <w:ind w:left="30" w:right="3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shd w:val="clear" w:color="auto" w:fill="FFD821"/>
                    </w:rPr>
                    <w:t xml:space="preserve">Дата подготовки обоснования НМЦК: </w:t>
                  </w:r>
                </w:p>
              </w:tc>
              <w:tc>
                <w:tcPr>
                  <w:tcW w:w="5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9A2B50">
                  <w:pPr>
                    <w:spacing w:before="30" w:after="30" w:line="276" w:lineRule="auto"/>
                    <w:ind w:left="30" w:right="30"/>
                    <w:rPr>
                      <w:sz w:val="22"/>
                    </w:rPr>
                  </w:pPr>
                  <w:r>
                    <w:rPr>
                      <w:sz w:val="22"/>
                    </w:rPr>
                    <w:t>Сентябрь</w:t>
                  </w:r>
                  <w:r>
                    <w:rPr>
                      <w:sz w:val="22"/>
                    </w:rPr>
                    <w:t xml:space="preserve"> 2024</w:t>
                  </w:r>
                </w:p>
              </w:tc>
            </w:tr>
            <w:tr w:rsidR="00E95670">
              <w:trPr>
                <w:trHeight w:val="340"/>
              </w:trPr>
              <w:tc>
                <w:tcPr>
                  <w:tcW w:w="101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5670" w:rsidRDefault="00E95670">
                  <w:pPr>
                    <w:spacing w:before="30" w:after="30" w:line="276" w:lineRule="auto"/>
                    <w:ind w:left="30" w:right="30"/>
                    <w:jc w:val="center"/>
                    <w:rPr>
                      <w:b/>
                      <w:sz w:val="22"/>
                      <w:shd w:val="clear" w:color="auto" w:fill="FFD821"/>
                    </w:rPr>
                  </w:pPr>
                </w:p>
              </w:tc>
            </w:tr>
          </w:tbl>
          <w:p w:rsidR="00E95670" w:rsidRDefault="00E95670">
            <w:pPr>
              <w:spacing w:line="276" w:lineRule="auto"/>
              <w:ind w:left="40" w:right="40"/>
              <w:jc w:val="center"/>
              <w:rPr>
                <w:b/>
                <w:sz w:val="22"/>
              </w:rPr>
            </w:pPr>
          </w:p>
          <w:p w:rsidR="00E95670" w:rsidRDefault="009A2B50">
            <w:pPr>
              <w:spacing w:before="120" w:after="120" w:line="276" w:lineRule="auto"/>
              <w:ind w:left="40" w:right="4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Посты охраны:</w:t>
            </w:r>
          </w:p>
          <w:p w:rsidR="001A319E" w:rsidRDefault="009A2B50">
            <w:pPr>
              <w:spacing w:before="120" w:after="120" w:line="276" w:lineRule="auto"/>
              <w:ind w:left="40" w:right="40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Пост № 1.</w:t>
            </w:r>
            <w:r>
              <w:rPr>
                <w:i/>
                <w:sz w:val="22"/>
              </w:rPr>
              <w:t xml:space="preserve"> С 01.</w:t>
            </w:r>
            <w:r>
              <w:rPr>
                <w:i/>
                <w:sz w:val="22"/>
              </w:rPr>
              <w:t>10</w:t>
            </w:r>
            <w:r>
              <w:rPr>
                <w:i/>
                <w:sz w:val="22"/>
              </w:rPr>
              <w:t>.2024 по 31.12.2024 г.</w:t>
            </w:r>
            <w:r>
              <w:rPr>
                <w:sz w:val="22"/>
              </w:rPr>
              <w:t xml:space="preserve">  – в рабочие дни с </w:t>
            </w:r>
            <w:r w:rsidR="001A319E">
              <w:rPr>
                <w:sz w:val="22"/>
              </w:rPr>
              <w:t>08-00</w:t>
            </w:r>
            <w:r>
              <w:rPr>
                <w:sz w:val="22"/>
              </w:rPr>
              <w:t xml:space="preserve">_____ по </w:t>
            </w:r>
            <w:r w:rsidR="001A319E">
              <w:rPr>
                <w:sz w:val="22"/>
              </w:rPr>
              <w:t>16-00</w:t>
            </w:r>
            <w:r>
              <w:rPr>
                <w:sz w:val="22"/>
              </w:rPr>
              <w:t>______</w:t>
            </w:r>
          </w:p>
          <w:p w:rsidR="00E95670" w:rsidRDefault="001A319E">
            <w:pPr>
              <w:spacing w:before="120" w:after="120" w:line="276" w:lineRule="auto"/>
              <w:ind w:left="40" w:right="40"/>
              <w:jc w:val="both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Пост №  2</w:t>
            </w:r>
            <w:proofErr w:type="gramStart"/>
            <w:r w:rsidR="009A2B50"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</w:t>
            </w:r>
            <w:proofErr w:type="gramEnd"/>
            <w:r>
              <w:rPr>
                <w:i/>
                <w:sz w:val="22"/>
              </w:rPr>
              <w:t xml:space="preserve"> 01.10.2024 по 31.12.2024 г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в рабочие дни с 08-00_____ по 16-00______</w:t>
            </w:r>
          </w:p>
          <w:p w:rsidR="001A319E" w:rsidRDefault="001A319E">
            <w:pPr>
              <w:spacing w:before="120" w:after="120" w:line="276" w:lineRule="auto"/>
              <w:ind w:left="40" w:right="40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Пост № 3 с </w:t>
            </w:r>
            <w:r>
              <w:rPr>
                <w:i/>
                <w:sz w:val="22"/>
              </w:rPr>
              <w:t>01.10.2024 по 31.12.2024 г</w:t>
            </w:r>
            <w:r>
              <w:rPr>
                <w:i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рабочие дни с 08-00_____ по 16-00______</w:t>
            </w:r>
          </w:p>
        </w:tc>
      </w:tr>
    </w:tbl>
    <w:p w:rsidR="00E95670" w:rsidRDefault="00E95670">
      <w:pPr>
        <w:tabs>
          <w:tab w:val="left" w:pos="567"/>
        </w:tabs>
        <w:spacing w:before="120" w:after="120" w:line="276" w:lineRule="auto"/>
        <w:jc w:val="center"/>
        <w:rPr>
          <w:b/>
          <w:sz w:val="22"/>
        </w:rPr>
      </w:pPr>
    </w:p>
    <w:p w:rsidR="00E95670" w:rsidRDefault="009A2B50">
      <w:pPr>
        <w:tabs>
          <w:tab w:val="left" w:pos="567"/>
        </w:tabs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Определение НМЦК при </w:t>
      </w:r>
      <w:r>
        <w:rPr>
          <w:b/>
          <w:sz w:val="22"/>
        </w:rPr>
        <w:t>осуществлении закупок охранных услуг частных охранных организаций.</w:t>
      </w:r>
    </w:p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t>Базовая заработная плата работника (рублей/час) (БЗП)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1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3180"/>
        <w:gridCol w:w="3180"/>
        <w:gridCol w:w="3229"/>
      </w:tblGrid>
      <w:tr w:rsidR="00E95670">
        <w:trPr>
          <w:trHeight w:val="340"/>
        </w:trPr>
        <w:tc>
          <w:tcPr>
            <w:tcW w:w="689" w:type="dxa"/>
            <w:vAlign w:val="center"/>
          </w:tcPr>
          <w:p w:rsidR="00E95670" w:rsidRDefault="00E95670">
            <w:pPr>
              <w:spacing w:line="276" w:lineRule="auto"/>
              <w:jc w:val="center"/>
              <w:outlineLvl w:val="0"/>
              <w:rPr>
                <w:sz w:val="20"/>
              </w:rPr>
            </w:pPr>
          </w:p>
        </w:tc>
        <w:tc>
          <w:tcPr>
            <w:tcW w:w="3180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БЗП</w:t>
            </w:r>
          </w:p>
        </w:tc>
        <w:tc>
          <w:tcPr>
            <w:tcW w:w="3180" w:type="dxa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МРОТ (на дату формирования НМЦК)</w:t>
            </w:r>
          </w:p>
        </w:tc>
        <w:tc>
          <w:tcPr>
            <w:tcW w:w="322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СНР</w:t>
            </w:r>
          </w:p>
        </w:tc>
      </w:tr>
      <w:tr w:rsidR="00E95670">
        <w:trPr>
          <w:trHeight w:val="340"/>
        </w:trPr>
        <w:tc>
          <w:tcPr>
            <w:tcW w:w="68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0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192,90</w:t>
            </w:r>
          </w:p>
        </w:tc>
        <w:tc>
          <w:tcPr>
            <w:tcW w:w="3180" w:type="dxa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19 242,00</w:t>
            </w:r>
          </w:p>
        </w:tc>
        <w:tc>
          <w:tcPr>
            <w:tcW w:w="322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99,75</w:t>
            </w:r>
          </w:p>
        </w:tc>
      </w:tr>
    </w:tbl>
    <w:p w:rsidR="00E95670" w:rsidRDefault="009A2B50">
      <w:pPr>
        <w:pStyle w:val="af"/>
        <w:spacing w:before="120" w:after="120" w:line="276" w:lineRule="auto"/>
        <w:ind w:left="0"/>
        <w:contextualSpacing w:val="0"/>
        <w:jc w:val="center"/>
      </w:pPr>
      <w:r>
        <w:rPr>
          <w:noProof/>
        </w:rPr>
        <w:drawing>
          <wp:inline distT="0" distB="0" distL="114300" distR="114300">
            <wp:extent cx="1061720" cy="419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182" cy="41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где: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МРОТ - минимальный </w:t>
      </w:r>
      <w:proofErr w:type="gramStart"/>
      <w:r>
        <w:rPr>
          <w:sz w:val="22"/>
        </w:rPr>
        <w:t>размер оплаты труда</w:t>
      </w:r>
      <w:proofErr w:type="gramEnd"/>
      <w:r>
        <w:rPr>
          <w:sz w:val="22"/>
        </w:rPr>
        <w:t xml:space="preserve">, установленный на дату расчета НМЦК в соответствии со </w:t>
      </w:r>
      <w:hyperlink r:id="rId9" w:history="1">
        <w:r>
          <w:rPr>
            <w:color w:val="0000FF"/>
            <w:sz w:val="22"/>
          </w:rPr>
          <w:t>ст. 133</w:t>
        </w:r>
      </w:hyperlink>
      <w:r>
        <w:rPr>
          <w:sz w:val="22"/>
        </w:rPr>
        <w:t xml:space="preserve"> Трудового кодекса РФ. При отсутствии на территории соответствующего субъекта Российской Федерации регионального соглашения, заключенного в рамках реализации </w:t>
      </w:r>
      <w:hyperlink r:id="rId10" w:history="1">
        <w:r>
          <w:rPr>
            <w:color w:val="0000FF"/>
            <w:sz w:val="22"/>
          </w:rPr>
          <w:t>ст. 47</w:t>
        </w:r>
      </w:hyperlink>
      <w:r>
        <w:rPr>
          <w:sz w:val="22"/>
        </w:rPr>
        <w:t xml:space="preserve"> Трудового кодекса РФ, используется значение МРОТ в соответствии с Федеральным </w:t>
      </w:r>
      <w:hyperlink r:id="rId11" w:history="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от 19 июня 2000 г. № 82-ФЗ «О минимальном </w:t>
      </w:r>
      <w:proofErr w:type="gramStart"/>
      <w:r>
        <w:rPr>
          <w:sz w:val="22"/>
        </w:rPr>
        <w:t>размере оплаты труда</w:t>
      </w:r>
      <w:proofErr w:type="gramEnd"/>
      <w:r>
        <w:rPr>
          <w:sz w:val="22"/>
        </w:rPr>
        <w:t>»;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СНР -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</w:t>
      </w:r>
      <w:r>
        <w:rPr>
          <w:sz w:val="22"/>
        </w:rPr>
        <w:t>недели) на год, в котором производится расчет НМЦК.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Рабочие дни в 2024 г. – 150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Рабочие (предпраздничные) дни, в которые продолжительность работы сокращается на один час – </w:t>
      </w:r>
      <w:r>
        <w:t>3 (8 мая, 11 июня, 2 ноября)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СНР = ((150 дней * 8 часов) – 3 часа) / 12 месяцев = 99</w:t>
      </w:r>
      <w:r>
        <w:rPr>
          <w:sz w:val="22"/>
        </w:rPr>
        <w:t>,75</w:t>
      </w:r>
    </w:p>
    <w:p w:rsidR="00E95670" w:rsidRDefault="00E95670">
      <w:pPr>
        <w:spacing w:line="276" w:lineRule="auto"/>
        <w:ind w:firstLine="567"/>
        <w:jc w:val="both"/>
        <w:rPr>
          <w:sz w:val="22"/>
        </w:rPr>
      </w:pPr>
    </w:p>
    <w:p w:rsidR="00E95670" w:rsidRDefault="00E95670">
      <w:pPr>
        <w:spacing w:line="276" w:lineRule="auto"/>
        <w:ind w:firstLine="567"/>
        <w:jc w:val="both"/>
        <w:rPr>
          <w:sz w:val="22"/>
        </w:rPr>
      </w:pPr>
    </w:p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lastRenderedPageBreak/>
        <w:t>Резерв на отпуск (РО)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2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7"/>
        <w:gridCol w:w="1910"/>
        <w:gridCol w:w="2068"/>
        <w:gridCol w:w="1908"/>
        <w:gridCol w:w="1908"/>
        <w:gridCol w:w="1799"/>
      </w:tblGrid>
      <w:tr w:rsidR="00E95670">
        <w:trPr>
          <w:trHeight w:val="340"/>
        </w:trPr>
        <w:tc>
          <w:tcPr>
            <w:tcW w:w="687" w:type="dxa"/>
            <w:vAlign w:val="center"/>
          </w:tcPr>
          <w:p w:rsidR="00E95670" w:rsidRDefault="00E9567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1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206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БЗП</w:t>
            </w:r>
          </w:p>
        </w:tc>
        <w:tc>
          <w:tcPr>
            <w:tcW w:w="190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н</w:t>
            </w:r>
            <w:proofErr w:type="spellEnd"/>
          </w:p>
        </w:tc>
        <w:tc>
          <w:tcPr>
            <w:tcW w:w="190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вп</w:t>
            </w:r>
            <w:proofErr w:type="spellEnd"/>
          </w:p>
        </w:tc>
        <w:tc>
          <w:tcPr>
            <w:tcW w:w="179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рк</w:t>
            </w:r>
            <w:proofErr w:type="spellEnd"/>
          </w:p>
        </w:tc>
      </w:tr>
      <w:tr w:rsidR="00E95670">
        <w:trPr>
          <w:trHeight w:val="124"/>
        </w:trPr>
        <w:tc>
          <w:tcPr>
            <w:tcW w:w="68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2068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192,90</w:t>
            </w:r>
          </w:p>
        </w:tc>
        <w:tc>
          <w:tcPr>
            <w:tcW w:w="190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9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95670" w:rsidRDefault="009A2B50">
      <w:pPr>
        <w:pStyle w:val="af"/>
        <w:spacing w:before="240" w:after="240" w:line="276" w:lineRule="auto"/>
        <w:ind w:left="0"/>
        <w:contextualSpacing w:val="0"/>
        <w:jc w:val="center"/>
      </w:pPr>
      <w:r>
        <w:t>РО = (БЗП +</w:t>
      </w:r>
      <w:proofErr w:type="spellStart"/>
      <w:r>
        <w:t>Д</w:t>
      </w:r>
      <w:r>
        <w:rPr>
          <w:vertAlign w:val="subscript"/>
        </w:rPr>
        <w:t>н</w:t>
      </w:r>
      <w:r>
        <w:t>+Двп+Д</w:t>
      </w:r>
      <w:r>
        <w:rPr>
          <w:vertAlign w:val="subscript"/>
        </w:rPr>
        <w:t>рк</w:t>
      </w:r>
      <w:proofErr w:type="spellEnd"/>
      <w:r>
        <w:t>) / 12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где: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r>
        <w:rPr>
          <w:sz w:val="22"/>
        </w:rPr>
        <w:t>Дн</w:t>
      </w:r>
      <w:proofErr w:type="spellEnd"/>
      <w:r>
        <w:rPr>
          <w:sz w:val="22"/>
        </w:rPr>
        <w:t xml:space="preserve"> - доплата за работу в ночное время, порядок и размер которой установлены Правительством РФ</w:t>
      </w:r>
      <w:r>
        <w:footnoteReference w:id="1"/>
      </w:r>
      <w:r>
        <w:rPr>
          <w:sz w:val="22"/>
        </w:rPr>
        <w:t xml:space="preserve">. Определяется по производственному календарю </w:t>
      </w:r>
      <w:r>
        <w:rPr>
          <w:sz w:val="22"/>
        </w:rPr>
        <w:t xml:space="preserve">(для 40-часовой пятидневной рабочей недели) на год, в котором производится расчет НМЦК. Не применяется в случае </w:t>
      </w:r>
      <w:proofErr w:type="gramStart"/>
      <w:r>
        <w:rPr>
          <w:sz w:val="22"/>
        </w:rPr>
        <w:t>отсутствия режима работы поста охраны</w:t>
      </w:r>
      <w:proofErr w:type="gramEnd"/>
      <w:r>
        <w:rPr>
          <w:sz w:val="22"/>
        </w:rPr>
        <w:t xml:space="preserve"> в ночное время;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r>
        <w:rPr>
          <w:sz w:val="22"/>
        </w:rPr>
        <w:t>Двп</w:t>
      </w:r>
      <w:proofErr w:type="spellEnd"/>
      <w:r>
        <w:rPr>
          <w:sz w:val="22"/>
        </w:rPr>
        <w:t xml:space="preserve"> - доплата за работу в выходные и праздничные дни, порядок и размер которой установлены</w:t>
      </w:r>
      <w:r>
        <w:rPr>
          <w:sz w:val="22"/>
        </w:rPr>
        <w:t xml:space="preserve"> </w:t>
      </w:r>
      <w:hyperlink r:id="rId12" w:history="1">
        <w:r>
          <w:rPr>
            <w:sz w:val="22"/>
          </w:rPr>
          <w:t>ст. 153</w:t>
        </w:r>
      </w:hyperlink>
      <w:r>
        <w:rPr>
          <w:sz w:val="22"/>
        </w:rPr>
        <w:t xml:space="preserve"> Трудового кодекса РФ. Определяется по производственному календарю (для 40-часовой пятидневно</w:t>
      </w:r>
      <w:r>
        <w:rPr>
          <w:sz w:val="22"/>
        </w:rPr>
        <w:t xml:space="preserve">й рабочей недели) на год, в котором производится расчет НМЦК. Не применяется в случае </w:t>
      </w:r>
      <w:proofErr w:type="gramStart"/>
      <w:r>
        <w:rPr>
          <w:sz w:val="22"/>
        </w:rPr>
        <w:t>отсутствия режима работы поста охраны</w:t>
      </w:r>
      <w:proofErr w:type="gramEnd"/>
      <w:r>
        <w:rPr>
          <w:sz w:val="22"/>
        </w:rPr>
        <w:t xml:space="preserve"> в выходные и праздничные дни;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proofErr w:type="gramStart"/>
      <w:r>
        <w:rPr>
          <w:sz w:val="22"/>
        </w:rPr>
        <w:t>Дрк</w:t>
      </w:r>
      <w:proofErr w:type="spellEnd"/>
      <w:r>
        <w:rPr>
          <w:sz w:val="22"/>
        </w:rPr>
        <w:t xml:space="preserve"> - доплата за работу в районах Крайнего Севера и приравненных к ним местностях, порядок и размер ко</w:t>
      </w:r>
      <w:r>
        <w:rPr>
          <w:sz w:val="22"/>
        </w:rPr>
        <w:t xml:space="preserve">торой установлены </w:t>
      </w:r>
      <w:hyperlink r:id="rId13" w:history="1">
        <w:r>
          <w:rPr>
            <w:sz w:val="22"/>
          </w:rPr>
          <w:t>ст. 316</w:t>
        </w:r>
      </w:hyperlink>
      <w:r>
        <w:rPr>
          <w:sz w:val="22"/>
        </w:rPr>
        <w:t xml:space="preserve"> Трудового кодекса РФ, и в местностях, районные коэффициенты для которых устан</w:t>
      </w:r>
      <w:r>
        <w:rPr>
          <w:sz w:val="22"/>
        </w:rPr>
        <w:t xml:space="preserve">овлены нормативными правовыми актами, изданными до введения в действие Трудового </w:t>
      </w:r>
      <w:hyperlink r:id="rId14" w:history="1">
        <w:r>
          <w:rPr>
            <w:color w:val="0000FF"/>
            <w:sz w:val="22"/>
          </w:rPr>
          <w:t>кодекса</w:t>
        </w:r>
      </w:hyperlink>
      <w:r>
        <w:rPr>
          <w:sz w:val="22"/>
        </w:rPr>
        <w:t xml:space="preserve"> РФ, в том числе актами бывше</w:t>
      </w:r>
      <w:r>
        <w:rPr>
          <w:sz w:val="22"/>
        </w:rPr>
        <w:t xml:space="preserve">го СССР, в части, не противоречащей Трудовому </w:t>
      </w:r>
      <w:hyperlink r:id="rId15" w:history="1">
        <w:r>
          <w:rPr>
            <w:color w:val="0000FF"/>
            <w:sz w:val="22"/>
          </w:rPr>
          <w:t>кодексу</w:t>
        </w:r>
      </w:hyperlink>
      <w:r>
        <w:rPr>
          <w:sz w:val="22"/>
        </w:rPr>
        <w:t xml:space="preserve"> РФ;</w:t>
      </w:r>
      <w:proofErr w:type="gramEnd"/>
    </w:p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t>Страховые взносы (</w:t>
      </w:r>
      <w:proofErr w:type="gramStart"/>
      <w:r>
        <w:rPr>
          <w:b/>
          <w:sz w:val="22"/>
        </w:rPr>
        <w:t>СВ</w:t>
      </w:r>
      <w:proofErr w:type="gramEnd"/>
      <w:r>
        <w:rPr>
          <w:b/>
          <w:sz w:val="22"/>
        </w:rPr>
        <w:t>)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Устанавливаются в соответствии со </w:t>
      </w:r>
      <w:hyperlink r:id="rId16" w:history="1">
        <w:r>
          <w:rPr>
            <w:sz w:val="22"/>
          </w:rPr>
          <w:t>ст. 425</w:t>
        </w:r>
      </w:hyperlink>
      <w:r>
        <w:rPr>
          <w:sz w:val="22"/>
        </w:rPr>
        <w:t xml:space="preserve"> Налогового кодекса РФ и Федеральным </w:t>
      </w:r>
      <w:hyperlink r:id="rId17" w:history="1">
        <w:r>
          <w:rPr>
            <w:sz w:val="22"/>
          </w:rPr>
          <w:t>законом</w:t>
        </w:r>
      </w:hyperlink>
      <w:r>
        <w:rPr>
          <w:sz w:val="22"/>
        </w:rPr>
        <w:t xml:space="preserve"> от 24 июля 1998 г. № 125-ФЗ "Об обязательном социальном страховании от несчастных случаев на производстве и профессиональных заболеваний"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3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1600"/>
        <w:gridCol w:w="1599"/>
        <w:gridCol w:w="1250"/>
        <w:gridCol w:w="1269"/>
        <w:gridCol w:w="1269"/>
        <w:gridCol w:w="1262"/>
        <w:gridCol w:w="1335"/>
      </w:tblGrid>
      <w:tr w:rsidR="00E95670">
        <w:trPr>
          <w:trHeight w:val="340"/>
        </w:trPr>
        <w:tc>
          <w:tcPr>
            <w:tcW w:w="696" w:type="dxa"/>
            <w:vAlign w:val="center"/>
          </w:tcPr>
          <w:p w:rsidR="00E95670" w:rsidRDefault="00E9567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60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</w:p>
        </w:tc>
        <w:tc>
          <w:tcPr>
            <w:tcW w:w="159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БЗП</w:t>
            </w:r>
          </w:p>
        </w:tc>
        <w:tc>
          <w:tcPr>
            <w:tcW w:w="125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н</w:t>
            </w:r>
            <w:proofErr w:type="spellEnd"/>
          </w:p>
        </w:tc>
        <w:tc>
          <w:tcPr>
            <w:tcW w:w="126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вп</w:t>
            </w:r>
            <w:proofErr w:type="spellEnd"/>
          </w:p>
        </w:tc>
        <w:tc>
          <w:tcPr>
            <w:tcW w:w="126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рк</w:t>
            </w:r>
            <w:proofErr w:type="spellEnd"/>
          </w:p>
        </w:tc>
        <w:tc>
          <w:tcPr>
            <w:tcW w:w="126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133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E95670">
        <w:trPr>
          <w:trHeight w:val="340"/>
        </w:trPr>
        <w:tc>
          <w:tcPr>
            <w:tcW w:w="696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63,11</w:t>
            </w:r>
          </w:p>
        </w:tc>
        <w:tc>
          <w:tcPr>
            <w:tcW w:w="159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192,90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133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30,20 %</w:t>
            </w:r>
          </w:p>
        </w:tc>
      </w:tr>
    </w:tbl>
    <w:p w:rsidR="00E95670" w:rsidRDefault="009A2B50">
      <w:pPr>
        <w:pStyle w:val="af"/>
        <w:spacing w:before="240" w:after="240" w:line="276" w:lineRule="auto"/>
        <w:ind w:left="0"/>
        <w:contextualSpacing w:val="0"/>
        <w:jc w:val="center"/>
      </w:pPr>
      <w:proofErr w:type="gramStart"/>
      <w:r>
        <w:t>СВ</w:t>
      </w:r>
      <w:proofErr w:type="gramEnd"/>
      <w:r>
        <w:t xml:space="preserve"> = (БЗП + </w:t>
      </w:r>
      <w:proofErr w:type="spellStart"/>
      <w:r>
        <w:t>Д</w:t>
      </w:r>
      <w:r>
        <w:rPr>
          <w:vertAlign w:val="subscript"/>
        </w:rPr>
        <w:t>н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вп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рк</w:t>
      </w:r>
      <w:proofErr w:type="spellEnd"/>
      <w:r>
        <w:t xml:space="preserve"> + РО) * Y,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где: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Y - ставка страховых взносов;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U - корректирующий коэффициент, который рассчитывается по формуле:</w:t>
      </w:r>
    </w:p>
    <w:p w:rsidR="00E95670" w:rsidRDefault="009A2B50">
      <w:pPr>
        <w:pStyle w:val="af"/>
        <w:spacing w:before="240" w:after="240" w:line="276" w:lineRule="auto"/>
        <w:ind w:left="0"/>
        <w:contextualSpacing w:val="0"/>
        <w:jc w:val="center"/>
      </w:pPr>
      <w:r>
        <w:t xml:space="preserve">U =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б</w:t>
      </w:r>
      <w:proofErr w:type="spellEnd"/>
      <w:r>
        <w:t xml:space="preserve"> + U</w:t>
      </w:r>
      <w:r>
        <w:rPr>
          <w:vertAlign w:val="subscript"/>
        </w:rPr>
        <w:t>д1</w:t>
      </w:r>
      <w:r>
        <w:t xml:space="preserve"> + U</w:t>
      </w:r>
      <w:r>
        <w:rPr>
          <w:vertAlign w:val="subscript"/>
        </w:rPr>
        <w:t>д2</w:t>
      </w:r>
      <w:r>
        <w:t xml:space="preserve"> + U</w:t>
      </w:r>
      <w:r>
        <w:rPr>
          <w:vertAlign w:val="subscript"/>
        </w:rPr>
        <w:t>д3</w:t>
      </w:r>
      <w:r>
        <w:t xml:space="preserve"> + U</w:t>
      </w:r>
      <w:r>
        <w:rPr>
          <w:vertAlign w:val="subscript"/>
        </w:rPr>
        <w:t>д4</w:t>
      </w:r>
      <w:r>
        <w:t xml:space="preserve"> + U</w:t>
      </w:r>
      <w:r>
        <w:rPr>
          <w:vertAlign w:val="subscript"/>
        </w:rPr>
        <w:t>д5</w:t>
      </w:r>
      <w:r>
        <w:t>,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где: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proofErr w:type="gramStart"/>
      <w:r>
        <w:rPr>
          <w:sz w:val="22"/>
        </w:rPr>
        <w:t>U</w:t>
      </w:r>
      <w:proofErr w:type="gramEnd"/>
      <w:r>
        <w:rPr>
          <w:sz w:val="22"/>
        </w:rPr>
        <w:t>б</w:t>
      </w:r>
      <w:proofErr w:type="spellEnd"/>
      <w:r>
        <w:rPr>
          <w:sz w:val="22"/>
        </w:rPr>
        <w:t xml:space="preserve"> - базовый коэффициент. </w:t>
      </w:r>
      <w:r>
        <w:rPr>
          <w:sz w:val="22"/>
        </w:rPr>
        <w:t>Определяется в соответствии с таблицей № 4: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4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5"/>
        <w:gridCol w:w="6528"/>
        <w:gridCol w:w="2917"/>
      </w:tblGrid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pStyle w:val="af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Базовые коэффициенты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</w:t>
            </w:r>
            <w:proofErr w:type="gramEnd"/>
            <w:r>
              <w:rPr>
                <w:sz w:val="20"/>
                <w:vertAlign w:val="subscript"/>
              </w:rPr>
              <w:t>б</w:t>
            </w:r>
            <w:proofErr w:type="spellEnd"/>
          </w:p>
        </w:tc>
      </w:tr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pStyle w:val="af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pStyle w:val="af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Пост охраны в составе одного работника с режимом работы 24 /12 часа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</w:tbl>
    <w:p w:rsidR="00E95670" w:rsidRDefault="00E95670">
      <w:pPr>
        <w:spacing w:line="276" w:lineRule="auto"/>
        <w:rPr>
          <w:sz w:val="22"/>
        </w:rPr>
      </w:pP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proofErr w:type="gramStart"/>
      <w:r>
        <w:rPr>
          <w:sz w:val="22"/>
        </w:rPr>
        <w:t>U</w:t>
      </w:r>
      <w:proofErr w:type="gramEnd"/>
      <w:r>
        <w:rPr>
          <w:sz w:val="22"/>
        </w:rPr>
        <w:t>д</w:t>
      </w:r>
      <w:proofErr w:type="spellEnd"/>
      <w:r>
        <w:rPr>
          <w:sz w:val="22"/>
        </w:rPr>
        <w:t xml:space="preserve"> - дополнительные коэффициенты. Определяются в соответствии с таблицей № 5:</w:t>
      </w:r>
    </w:p>
    <w:p w:rsidR="00E95670" w:rsidRDefault="00E9567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</w:p>
    <w:p w:rsidR="00E95670" w:rsidRDefault="00E9567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lastRenderedPageBreak/>
        <w:t>Таблица № 5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5"/>
        <w:gridCol w:w="6528"/>
        <w:gridCol w:w="2917"/>
      </w:tblGrid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pStyle w:val="af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Базовые коэффициенты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</w:t>
            </w:r>
            <w:proofErr w:type="gramEnd"/>
            <w:r>
              <w:rPr>
                <w:sz w:val="20"/>
                <w:vertAlign w:val="subscript"/>
              </w:rPr>
              <w:t>б</w:t>
            </w:r>
            <w:proofErr w:type="spellEnd"/>
          </w:p>
        </w:tc>
      </w:tr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коэффициенты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</w:t>
            </w:r>
            <w:proofErr w:type="gramEnd"/>
            <w:r>
              <w:rPr>
                <w:sz w:val="20"/>
                <w:vertAlign w:val="subscript"/>
              </w:rPr>
              <w:t>д</w:t>
            </w:r>
            <w:proofErr w:type="spellEnd"/>
          </w:p>
        </w:tc>
      </w:tr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Наличие спецсредств у работника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E95670">
        <w:trPr>
          <w:trHeight w:val="340"/>
        </w:trPr>
        <w:tc>
          <w:tcPr>
            <w:tcW w:w="83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8" w:type="dxa"/>
            <w:vAlign w:val="center"/>
          </w:tcPr>
          <w:p w:rsidR="00E95670" w:rsidRDefault="009A2B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Охрана объектов и (или) имущества, а также обеспечение </w:t>
            </w:r>
            <w:proofErr w:type="spellStart"/>
            <w:r>
              <w:rPr>
                <w:sz w:val="20"/>
              </w:rPr>
              <w:t>внутриобъектового</w:t>
            </w:r>
            <w:proofErr w:type="spellEnd"/>
            <w:r>
              <w:rPr>
                <w:sz w:val="20"/>
              </w:rPr>
              <w:t xml:space="preserve"> и пропускного режимов на </w:t>
            </w:r>
            <w:proofErr w:type="gramStart"/>
            <w:r>
              <w:rPr>
                <w:sz w:val="20"/>
              </w:rPr>
              <w:t>объектах</w:t>
            </w:r>
            <w:proofErr w:type="gramEnd"/>
            <w:r>
              <w:rPr>
                <w:sz w:val="20"/>
              </w:rPr>
              <w:t xml:space="preserve">, в отношении которых установлены </w:t>
            </w:r>
            <w:r>
              <w:rPr>
                <w:sz w:val="20"/>
              </w:rPr>
              <w:t>обязательные для выполнения требования к антитеррористической защищенности</w:t>
            </w:r>
          </w:p>
        </w:tc>
        <w:tc>
          <w:tcPr>
            <w:tcW w:w="2917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E95670">
        <w:trPr>
          <w:trHeight w:val="340"/>
        </w:trPr>
        <w:tc>
          <w:tcPr>
            <w:tcW w:w="10280" w:type="dxa"/>
            <w:gridSpan w:val="3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 этом суммарное значение дополнительных коэффициентов не может превышать 0,35</w:t>
            </w:r>
          </w:p>
        </w:tc>
      </w:tr>
    </w:tbl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t>Прямые затраты (Си)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gramStart"/>
      <w:r>
        <w:rPr>
          <w:sz w:val="22"/>
        </w:rPr>
        <w:t xml:space="preserve">Прямые затраты определяются как общая стоимость часа работы одного </w:t>
      </w:r>
      <w:r>
        <w:rPr>
          <w:sz w:val="22"/>
        </w:rPr>
        <w:t>работника на одном посту охраны с учетом корректирующих коэффициентов, предусмотренных Порядком.</w:t>
      </w:r>
      <w:proofErr w:type="gramEnd"/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6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1468"/>
        <w:gridCol w:w="1396"/>
        <w:gridCol w:w="1048"/>
        <w:gridCol w:w="1071"/>
        <w:gridCol w:w="1069"/>
        <w:gridCol w:w="1065"/>
        <w:gridCol w:w="1069"/>
        <w:gridCol w:w="923"/>
      </w:tblGrid>
      <w:tr w:rsidR="00E95670">
        <w:trPr>
          <w:trHeight w:val="340"/>
        </w:trPr>
        <w:tc>
          <w:tcPr>
            <w:tcW w:w="1170" w:type="dxa"/>
            <w:vAlign w:val="center"/>
          </w:tcPr>
          <w:p w:rsidR="00E95670" w:rsidRDefault="00E9567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6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  <w:vertAlign w:val="subscript"/>
              </w:rPr>
              <w:t>и</w:t>
            </w:r>
          </w:p>
        </w:tc>
        <w:tc>
          <w:tcPr>
            <w:tcW w:w="1396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БЗП</w:t>
            </w:r>
          </w:p>
        </w:tc>
        <w:tc>
          <w:tcPr>
            <w:tcW w:w="104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н</w:t>
            </w:r>
            <w:proofErr w:type="spellEnd"/>
          </w:p>
        </w:tc>
        <w:tc>
          <w:tcPr>
            <w:tcW w:w="1071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вп</w:t>
            </w:r>
            <w:proofErr w:type="spellEnd"/>
          </w:p>
        </w:tc>
        <w:tc>
          <w:tcPr>
            <w:tcW w:w="106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рк</w:t>
            </w:r>
            <w:proofErr w:type="spellEnd"/>
          </w:p>
        </w:tc>
        <w:tc>
          <w:tcPr>
            <w:tcW w:w="106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106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</w:p>
        </w:tc>
        <w:tc>
          <w:tcPr>
            <w:tcW w:w="923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E95670">
        <w:trPr>
          <w:trHeight w:val="340"/>
        </w:trPr>
        <w:tc>
          <w:tcPr>
            <w:tcW w:w="117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448,94</w:t>
            </w:r>
          </w:p>
        </w:tc>
        <w:tc>
          <w:tcPr>
            <w:tcW w:w="1396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192,90</w:t>
            </w:r>
          </w:p>
        </w:tc>
        <w:tc>
          <w:tcPr>
            <w:tcW w:w="104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1" w:type="dxa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9" w:type="dxa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16,08</w:t>
            </w:r>
          </w:p>
        </w:tc>
        <w:tc>
          <w:tcPr>
            <w:tcW w:w="106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63,11</w:t>
            </w:r>
          </w:p>
        </w:tc>
        <w:tc>
          <w:tcPr>
            <w:tcW w:w="923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</w:tr>
    </w:tbl>
    <w:p w:rsidR="00E95670" w:rsidRDefault="009A2B50">
      <w:pPr>
        <w:pStyle w:val="af"/>
        <w:spacing w:before="240" w:after="240" w:line="276" w:lineRule="auto"/>
        <w:ind w:left="0"/>
        <w:contextualSpacing w:val="0"/>
        <w:jc w:val="center"/>
      </w:pPr>
      <w:r>
        <w:t>С</w:t>
      </w:r>
      <w:r>
        <w:rPr>
          <w:vertAlign w:val="subscript"/>
        </w:rPr>
        <w:t>и</w:t>
      </w:r>
      <w:r>
        <w:t xml:space="preserve"> = (БЗП + </w:t>
      </w:r>
      <w:proofErr w:type="spellStart"/>
      <w:r>
        <w:t>Д</w:t>
      </w:r>
      <w:r>
        <w:rPr>
          <w:vertAlign w:val="subscript"/>
        </w:rPr>
        <w:t>н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вп</w:t>
      </w:r>
      <w:proofErr w:type="spellEnd"/>
      <w:r>
        <w:t xml:space="preserve"> + </w:t>
      </w:r>
      <w:proofErr w:type="spellStart"/>
      <w:r>
        <w:rPr>
          <w:sz w:val="28"/>
        </w:rPr>
        <w:t>Д</w:t>
      </w:r>
      <w:r>
        <w:rPr>
          <w:sz w:val="28"/>
          <w:vertAlign w:val="subscript"/>
        </w:rPr>
        <w:t>рк</w:t>
      </w:r>
      <w:proofErr w:type="spellEnd"/>
      <w:r>
        <w:t xml:space="preserve"> + РО + </w:t>
      </w:r>
      <w:proofErr w:type="gramStart"/>
      <w:r>
        <w:t>СВ</w:t>
      </w:r>
      <w:proofErr w:type="gramEnd"/>
      <w:r>
        <w:t>) * U,</w:t>
      </w:r>
    </w:p>
    <w:p w:rsidR="00E95670" w:rsidRDefault="009A2B50">
      <w:pPr>
        <w:pStyle w:val="af"/>
        <w:spacing w:before="240" w:after="240" w:line="276" w:lineRule="auto"/>
        <w:ind w:left="0"/>
        <w:contextualSpacing w:val="0"/>
        <w:jc w:val="center"/>
        <w:rPr>
          <w:sz w:val="22"/>
        </w:rPr>
      </w:pPr>
      <w:r>
        <w:rPr>
          <w:sz w:val="22"/>
        </w:rPr>
        <w:t>где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Си - прямые затраты на часовую работу n-го поста охраны в составе одного работника в смене в рублях, определенные в соответствии с </w:t>
      </w:r>
      <w:hyperlink r:id="rId18" w:history="1">
        <w:r>
          <w:rPr>
            <w:sz w:val="22"/>
          </w:rPr>
          <w:t>п. 3</w:t>
        </w:r>
      </w:hyperlink>
      <w:r>
        <w:rPr>
          <w:sz w:val="22"/>
        </w:rPr>
        <w:t xml:space="preserve"> Порядка.</w:t>
      </w:r>
    </w:p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t>Расчет косвенных расходов (</w:t>
      </w:r>
      <w:proofErr w:type="gramStart"/>
      <w:r>
        <w:rPr>
          <w:b/>
          <w:sz w:val="22"/>
        </w:rPr>
        <w:t>КР</w:t>
      </w:r>
      <w:proofErr w:type="gramEnd"/>
      <w:r>
        <w:rPr>
          <w:b/>
          <w:sz w:val="22"/>
        </w:rPr>
        <w:t>)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gramStart"/>
      <w:r>
        <w:rPr>
          <w:sz w:val="22"/>
        </w:rPr>
        <w:t>КР</w:t>
      </w:r>
      <w:proofErr w:type="gramEnd"/>
      <w:r>
        <w:rPr>
          <w:sz w:val="22"/>
        </w:rPr>
        <w:t xml:space="preserve"> устанавливаются в размере 20% от общей суммы всех прямых затрат в соответствии с Порядком).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7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7"/>
        <w:gridCol w:w="3179"/>
        <w:gridCol w:w="3020"/>
        <w:gridCol w:w="3074"/>
      </w:tblGrid>
      <w:tr w:rsidR="00E95670">
        <w:trPr>
          <w:trHeight w:val="340"/>
        </w:trPr>
        <w:tc>
          <w:tcPr>
            <w:tcW w:w="1007" w:type="dxa"/>
            <w:vAlign w:val="center"/>
          </w:tcPr>
          <w:p w:rsidR="00E95670" w:rsidRDefault="00E95670">
            <w:pPr>
              <w:spacing w:line="276" w:lineRule="auto"/>
              <w:jc w:val="center"/>
              <w:outlineLvl w:val="0"/>
              <w:rPr>
                <w:sz w:val="20"/>
              </w:rPr>
            </w:pPr>
          </w:p>
        </w:tc>
        <w:tc>
          <w:tcPr>
            <w:tcW w:w="317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proofErr w:type="gramStart"/>
            <w:r>
              <w:rPr>
                <w:sz w:val="20"/>
              </w:rPr>
              <w:t>КР</w:t>
            </w:r>
            <w:proofErr w:type="gramEnd"/>
          </w:p>
        </w:tc>
        <w:tc>
          <w:tcPr>
            <w:tcW w:w="302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  <w:vertAlign w:val="subscript"/>
              </w:rPr>
              <w:t>и</w:t>
            </w:r>
          </w:p>
        </w:tc>
        <w:tc>
          <w:tcPr>
            <w:tcW w:w="3074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и</w:t>
            </w:r>
          </w:p>
        </w:tc>
      </w:tr>
      <w:tr w:rsidR="00E95670">
        <w:trPr>
          <w:trHeight w:val="340"/>
        </w:trPr>
        <w:tc>
          <w:tcPr>
            <w:tcW w:w="1007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7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2"/>
              </w:rPr>
              <w:t>140 069,28</w:t>
            </w:r>
          </w:p>
        </w:tc>
        <w:tc>
          <w:tcPr>
            <w:tcW w:w="302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448,94</w:t>
            </w:r>
          </w:p>
        </w:tc>
        <w:tc>
          <w:tcPr>
            <w:tcW w:w="3074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1560</w:t>
            </w:r>
            <w:r>
              <w:rPr>
                <w:sz w:val="20"/>
              </w:rPr>
              <w:t>,00</w:t>
            </w:r>
          </w:p>
        </w:tc>
      </w:tr>
    </w:tbl>
    <w:p w:rsidR="00E95670" w:rsidRDefault="009A2B50">
      <w:pPr>
        <w:spacing w:before="240" w:after="240" w:line="276" w:lineRule="auto"/>
        <w:jc w:val="center"/>
        <w:rPr>
          <w:sz w:val="22"/>
        </w:rPr>
      </w:pPr>
      <w:r>
        <w:rPr>
          <w:noProof/>
        </w:rPr>
        <w:drawing>
          <wp:inline distT="0" distB="0" distL="114300" distR="114300">
            <wp:extent cx="1762125" cy="323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где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Ки - количество часов </w:t>
      </w:r>
      <w:r>
        <w:rPr>
          <w:sz w:val="22"/>
        </w:rPr>
        <w:t>работы работника по контракту на n-ом посту охраны;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и - идентификатор или номер поста охраны по контракту, в отношении которого производится расчет </w:t>
      </w:r>
      <w:proofErr w:type="gramStart"/>
      <w:r>
        <w:rPr>
          <w:sz w:val="22"/>
        </w:rPr>
        <w:t>прямых</w:t>
      </w:r>
      <w:proofErr w:type="gramEnd"/>
      <w:r>
        <w:rPr>
          <w:sz w:val="22"/>
        </w:rPr>
        <w:t xml:space="preserve"> затрат;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n - количество требуемых постов охраны по контракту. </w:t>
      </w:r>
      <w:proofErr w:type="gramStart"/>
      <w:r>
        <w:rPr>
          <w:sz w:val="22"/>
        </w:rPr>
        <w:t>По умолчанию для расчета принимается, чт</w:t>
      </w:r>
      <w:r>
        <w:rPr>
          <w:sz w:val="22"/>
        </w:rPr>
        <w:t>о на одном посту охраны работает один работник в смене, в случае наличия на одном посту охраны двух и более работников в смене расчет производится для каждого работника отдельно.</w:t>
      </w:r>
      <w:proofErr w:type="gramEnd"/>
      <w:r>
        <w:rPr>
          <w:sz w:val="22"/>
        </w:rPr>
        <w:t xml:space="preserve"> Максимальная продолжительность режима работы поста охраны 24 часа, минимальна</w:t>
      </w:r>
      <w:r>
        <w:rPr>
          <w:sz w:val="22"/>
        </w:rPr>
        <w:t>я - 3 часа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Ки = </w:t>
      </w:r>
      <w:r>
        <w:rPr>
          <w:sz w:val="22"/>
        </w:rPr>
        <w:t>65</w:t>
      </w:r>
      <w:r>
        <w:rPr>
          <w:sz w:val="22"/>
        </w:rPr>
        <w:t xml:space="preserve"> </w:t>
      </w:r>
      <w:proofErr w:type="spellStart"/>
      <w:r>
        <w:rPr>
          <w:sz w:val="22"/>
        </w:rPr>
        <w:t>дн</w:t>
      </w:r>
      <w:proofErr w:type="spellEnd"/>
      <w:r>
        <w:rPr>
          <w:sz w:val="22"/>
        </w:rPr>
        <w:t xml:space="preserve">. * </w:t>
      </w:r>
      <w:r>
        <w:rPr>
          <w:sz w:val="22"/>
        </w:rPr>
        <w:t>8</w:t>
      </w:r>
      <w:r>
        <w:rPr>
          <w:sz w:val="22"/>
        </w:rPr>
        <w:t xml:space="preserve"> ч.</w:t>
      </w:r>
      <w:r>
        <w:rPr>
          <w:sz w:val="22"/>
        </w:rPr>
        <w:t>*3 поста</w:t>
      </w:r>
      <w:r>
        <w:rPr>
          <w:sz w:val="22"/>
        </w:rPr>
        <w:t xml:space="preserve"> = </w:t>
      </w:r>
      <w:r>
        <w:rPr>
          <w:sz w:val="22"/>
        </w:rPr>
        <w:t>1560</w:t>
      </w:r>
      <w:r>
        <w:rPr>
          <w:sz w:val="22"/>
        </w:rPr>
        <w:t>,00 ч.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gramStart"/>
      <w:r>
        <w:rPr>
          <w:sz w:val="22"/>
        </w:rPr>
        <w:t>КР</w:t>
      </w:r>
      <w:proofErr w:type="gramEnd"/>
      <w:r>
        <w:rPr>
          <w:sz w:val="22"/>
        </w:rPr>
        <w:t xml:space="preserve"> = (</w:t>
      </w:r>
      <w:r>
        <w:rPr>
          <w:sz w:val="20"/>
        </w:rPr>
        <w:t xml:space="preserve">448,94 </w:t>
      </w:r>
      <w:r>
        <w:rPr>
          <w:sz w:val="22"/>
        </w:rPr>
        <w:t xml:space="preserve">* </w:t>
      </w:r>
      <w:r>
        <w:rPr>
          <w:sz w:val="22"/>
        </w:rPr>
        <w:t>1560</w:t>
      </w:r>
      <w:r>
        <w:rPr>
          <w:sz w:val="22"/>
        </w:rPr>
        <w:t xml:space="preserve">,00) * 0,2 = </w:t>
      </w:r>
      <w:r>
        <w:rPr>
          <w:sz w:val="22"/>
        </w:rPr>
        <w:t>140 069,28</w:t>
      </w:r>
    </w:p>
    <w:p w:rsidR="00E95670" w:rsidRDefault="009A2B50">
      <w:pPr>
        <w:spacing w:before="120" w:after="120" w:line="276" w:lineRule="auto"/>
        <w:ind w:firstLine="567"/>
        <w:jc w:val="both"/>
        <w:rPr>
          <w:sz w:val="22"/>
        </w:rPr>
      </w:pPr>
      <w:r>
        <w:rPr>
          <w:b/>
          <w:sz w:val="22"/>
        </w:rPr>
        <w:t>Расчет прибыл</w:t>
      </w:r>
      <w:proofErr w:type="gramStart"/>
      <w:r>
        <w:rPr>
          <w:b/>
          <w:sz w:val="22"/>
        </w:rPr>
        <w:t>и(</w:t>
      </w:r>
      <w:proofErr w:type="gramEnd"/>
      <w:r>
        <w:rPr>
          <w:b/>
          <w:sz w:val="22"/>
        </w:rPr>
        <w:t>П)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(определяется на основании среднеотраслевых показателей рентабельности продукции (услуги) за предшествующий год по данным ФНС России (в случае</w:t>
      </w:r>
      <w:r>
        <w:rPr>
          <w:sz w:val="22"/>
        </w:rPr>
        <w:t xml:space="preserve"> отсутствия официальных сведений по указанному показателю в рассматриваемой отрасли принимается равной 5% в соответствии с Порядком).</w:t>
      </w:r>
    </w:p>
    <w:p w:rsidR="00E95670" w:rsidRDefault="00E95670">
      <w:pPr>
        <w:pStyle w:val="af"/>
        <w:spacing w:before="120" w:after="120" w:line="276" w:lineRule="auto"/>
        <w:contextualSpacing w:val="0"/>
        <w:jc w:val="right"/>
        <w:rPr>
          <w:sz w:val="22"/>
          <w:u w:val="single"/>
        </w:rPr>
      </w:pPr>
    </w:p>
    <w:p w:rsidR="00E95670" w:rsidRDefault="00E95670">
      <w:pPr>
        <w:pStyle w:val="af"/>
        <w:spacing w:before="120" w:after="120" w:line="276" w:lineRule="auto"/>
        <w:contextualSpacing w:val="0"/>
        <w:jc w:val="right"/>
        <w:rPr>
          <w:sz w:val="22"/>
          <w:u w:val="single"/>
        </w:rPr>
      </w:pP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2"/>
          <w:u w:val="single"/>
        </w:rPr>
      </w:pPr>
      <w:r>
        <w:rPr>
          <w:sz w:val="22"/>
          <w:u w:val="single"/>
        </w:rPr>
        <w:t>Таблица № 8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5"/>
        <w:gridCol w:w="2537"/>
        <w:gridCol w:w="2379"/>
        <w:gridCol w:w="2220"/>
        <w:gridCol w:w="2138"/>
      </w:tblGrid>
      <w:tr w:rsidR="00E95670">
        <w:trPr>
          <w:trHeight w:val="340"/>
        </w:trPr>
        <w:tc>
          <w:tcPr>
            <w:tcW w:w="1005" w:type="dxa"/>
            <w:vAlign w:val="center"/>
          </w:tcPr>
          <w:p w:rsidR="00E95670" w:rsidRDefault="00E95670">
            <w:pPr>
              <w:spacing w:line="276" w:lineRule="auto"/>
              <w:jc w:val="center"/>
              <w:outlineLvl w:val="0"/>
              <w:rPr>
                <w:sz w:val="22"/>
              </w:rPr>
            </w:pPr>
          </w:p>
        </w:tc>
        <w:tc>
          <w:tcPr>
            <w:tcW w:w="2537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237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КР</w:t>
            </w:r>
            <w:proofErr w:type="gramEnd"/>
          </w:p>
        </w:tc>
        <w:tc>
          <w:tcPr>
            <w:tcW w:w="222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  <w:vertAlign w:val="subscript"/>
              </w:rPr>
              <w:t>и</w:t>
            </w:r>
          </w:p>
        </w:tc>
        <w:tc>
          <w:tcPr>
            <w:tcW w:w="213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</w:t>
            </w:r>
          </w:p>
        </w:tc>
      </w:tr>
      <w:tr w:rsidR="00E95670">
        <w:trPr>
          <w:trHeight w:val="340"/>
        </w:trPr>
        <w:tc>
          <w:tcPr>
            <w:tcW w:w="1005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37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42020,78</w:t>
            </w:r>
          </w:p>
        </w:tc>
        <w:tc>
          <w:tcPr>
            <w:tcW w:w="2379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140 069,28</w:t>
            </w:r>
          </w:p>
        </w:tc>
        <w:tc>
          <w:tcPr>
            <w:tcW w:w="222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</w:rPr>
              <w:t>448,94</w:t>
            </w:r>
          </w:p>
        </w:tc>
        <w:tc>
          <w:tcPr>
            <w:tcW w:w="2138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0"/>
              </w:rPr>
              <w:t>1560</w:t>
            </w:r>
            <w:r>
              <w:rPr>
                <w:sz w:val="20"/>
              </w:rPr>
              <w:t>,00</w:t>
            </w:r>
          </w:p>
        </w:tc>
      </w:tr>
    </w:tbl>
    <w:p w:rsidR="00E95670" w:rsidRDefault="009A2B50">
      <w:pPr>
        <w:spacing w:before="240" w:after="240" w:line="276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114300" distR="114300">
            <wp:extent cx="2228850" cy="3238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= ((</w:t>
      </w:r>
      <w:r>
        <w:rPr>
          <w:sz w:val="20"/>
        </w:rPr>
        <w:t xml:space="preserve">448,94 </w:t>
      </w:r>
      <w:r>
        <w:rPr>
          <w:sz w:val="22"/>
        </w:rPr>
        <w:t xml:space="preserve">* </w:t>
      </w:r>
      <w:r>
        <w:rPr>
          <w:sz w:val="22"/>
        </w:rPr>
        <w:t>1560</w:t>
      </w:r>
      <w:r>
        <w:rPr>
          <w:sz w:val="22"/>
        </w:rPr>
        <w:t xml:space="preserve">,00) * 1 пост + </w:t>
      </w:r>
      <w:r>
        <w:rPr>
          <w:sz w:val="22"/>
        </w:rPr>
        <w:t>140 069,28</w:t>
      </w:r>
      <w:r>
        <w:rPr>
          <w:sz w:val="22"/>
        </w:rPr>
        <w:t xml:space="preserve">) * 0,05 = </w:t>
      </w:r>
      <w:r>
        <w:rPr>
          <w:sz w:val="22"/>
        </w:rPr>
        <w:t>42020,78</w:t>
      </w:r>
    </w:p>
    <w:p w:rsidR="00E95670" w:rsidRDefault="009A2B50">
      <w:pPr>
        <w:pStyle w:val="af"/>
        <w:widowControl w:val="0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0" w:firstLine="0"/>
        <w:contextualSpacing w:val="0"/>
        <w:jc w:val="both"/>
        <w:rPr>
          <w:b/>
          <w:sz w:val="22"/>
        </w:rPr>
      </w:pPr>
      <w:r>
        <w:rPr>
          <w:b/>
          <w:sz w:val="22"/>
        </w:rPr>
        <w:t>Определение НМЦК при закупке охранных услуг для объектов, за исключением объектов, на которые частная охранная деятельность не распространяется</w:t>
      </w:r>
      <w:r>
        <w:rPr>
          <w:sz w:val="22"/>
          <w:vertAlign w:val="superscript"/>
        </w:rPr>
        <w:footnoteReference w:id="2"/>
      </w:r>
      <w:r>
        <w:rPr>
          <w:b/>
          <w:sz w:val="22"/>
        </w:rPr>
        <w:t>: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2"/>
          <w:u w:val="single"/>
        </w:rPr>
      </w:pPr>
      <w:r>
        <w:rPr>
          <w:sz w:val="22"/>
          <w:u w:val="single"/>
        </w:rPr>
        <w:t>Таблица № 9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558"/>
        <w:gridCol w:w="1092"/>
        <w:gridCol w:w="934"/>
        <w:gridCol w:w="1408"/>
        <w:gridCol w:w="1402"/>
        <w:gridCol w:w="788"/>
        <w:gridCol w:w="934"/>
        <w:gridCol w:w="779"/>
        <w:gridCol w:w="972"/>
      </w:tblGrid>
      <w:tr w:rsidR="00E95670">
        <w:trPr>
          <w:trHeight w:val="340"/>
        </w:trPr>
        <w:tc>
          <w:tcPr>
            <w:tcW w:w="413" w:type="dxa"/>
            <w:vAlign w:val="center"/>
          </w:tcPr>
          <w:p w:rsidR="00E95670" w:rsidRDefault="00E9567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НМЦК</w:t>
            </w:r>
          </w:p>
        </w:tc>
        <w:tc>
          <w:tcPr>
            <w:tcW w:w="109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  <w:vertAlign w:val="subscript"/>
              </w:rPr>
              <w:t>и</w:t>
            </w:r>
          </w:p>
        </w:tc>
        <w:tc>
          <w:tcPr>
            <w:tcW w:w="934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</w:t>
            </w:r>
          </w:p>
        </w:tc>
        <w:tc>
          <w:tcPr>
            <w:tcW w:w="140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КР</w:t>
            </w:r>
            <w:proofErr w:type="gramEnd"/>
          </w:p>
        </w:tc>
        <w:tc>
          <w:tcPr>
            <w:tcW w:w="140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78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  <w:vertAlign w:val="subscript"/>
              </w:rPr>
              <w:t>ТСО</w:t>
            </w:r>
          </w:p>
        </w:tc>
        <w:tc>
          <w:tcPr>
            <w:tcW w:w="934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  <w:vertAlign w:val="subscript"/>
              </w:rPr>
              <w:t>ЗЖ</w:t>
            </w:r>
          </w:p>
        </w:tc>
        <w:tc>
          <w:tcPr>
            <w:tcW w:w="77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I</w:t>
            </w:r>
            <w:proofErr w:type="gramEnd"/>
            <w:r>
              <w:rPr>
                <w:sz w:val="22"/>
                <w:vertAlign w:val="subscript"/>
              </w:rPr>
              <w:t>инфл</w:t>
            </w:r>
            <w:proofErr w:type="spellEnd"/>
          </w:p>
        </w:tc>
        <w:tc>
          <w:tcPr>
            <w:tcW w:w="97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НДС</w:t>
            </w:r>
          </w:p>
        </w:tc>
      </w:tr>
      <w:tr w:rsidR="00E95670">
        <w:trPr>
          <w:trHeight w:val="340"/>
        </w:trPr>
        <w:tc>
          <w:tcPr>
            <w:tcW w:w="413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1058923,75</w:t>
            </w:r>
          </w:p>
        </w:tc>
        <w:tc>
          <w:tcPr>
            <w:tcW w:w="109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</w:rPr>
              <w:t>448,94</w:t>
            </w:r>
          </w:p>
        </w:tc>
        <w:tc>
          <w:tcPr>
            <w:tcW w:w="934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0"/>
              </w:rPr>
              <w:t>1560</w:t>
            </w:r>
            <w:r>
              <w:rPr>
                <w:sz w:val="20"/>
              </w:rPr>
              <w:t>,00</w:t>
            </w:r>
          </w:p>
        </w:tc>
        <w:tc>
          <w:tcPr>
            <w:tcW w:w="1408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140 069,28</w:t>
            </w:r>
          </w:p>
        </w:tc>
        <w:tc>
          <w:tcPr>
            <w:tcW w:w="1402" w:type="dxa"/>
            <w:vAlign w:val="center"/>
          </w:tcPr>
          <w:p w:rsidR="00E95670" w:rsidRDefault="009A2B50">
            <w:pPr>
              <w:spacing w:line="276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42020,78</w:t>
            </w:r>
          </w:p>
        </w:tc>
        <w:tc>
          <w:tcPr>
            <w:tcW w:w="788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4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9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2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</w:tbl>
    <w:p w:rsidR="00E95670" w:rsidRDefault="00E95670">
      <w:pPr>
        <w:spacing w:line="276" w:lineRule="auto"/>
        <w:jc w:val="center"/>
        <w:rPr>
          <w:sz w:val="22"/>
        </w:rPr>
      </w:pPr>
    </w:p>
    <w:p w:rsidR="00E95670" w:rsidRDefault="009A2B50">
      <w:pPr>
        <w:spacing w:before="240" w:after="240" w:line="276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114300" distR="114300">
            <wp:extent cx="4191000" cy="5048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НМЦК = ((</w:t>
      </w:r>
      <w:r>
        <w:rPr>
          <w:sz w:val="20"/>
        </w:rPr>
        <w:t xml:space="preserve">448,94 </w:t>
      </w:r>
      <w:r>
        <w:rPr>
          <w:sz w:val="22"/>
        </w:rPr>
        <w:t xml:space="preserve">* </w:t>
      </w:r>
      <w:r>
        <w:rPr>
          <w:sz w:val="22"/>
        </w:rPr>
        <w:t>1560</w:t>
      </w:r>
      <w:r>
        <w:rPr>
          <w:sz w:val="22"/>
        </w:rPr>
        <w:t xml:space="preserve">,00) + </w:t>
      </w:r>
      <w:r>
        <w:rPr>
          <w:sz w:val="22"/>
        </w:rPr>
        <w:t xml:space="preserve">140 069,28 </w:t>
      </w:r>
      <w:r>
        <w:rPr>
          <w:sz w:val="22"/>
        </w:rPr>
        <w:t>+</w:t>
      </w:r>
      <w:r>
        <w:rPr>
          <w:sz w:val="22"/>
        </w:rPr>
        <w:t xml:space="preserve"> 42020,78</w:t>
      </w:r>
      <w:r>
        <w:rPr>
          <w:sz w:val="22"/>
        </w:rPr>
        <w:t xml:space="preserve">) * 1 + НДС = </w:t>
      </w:r>
      <w:r>
        <w:rPr>
          <w:sz w:val="22"/>
        </w:rPr>
        <w:t xml:space="preserve">882436,46 </w:t>
      </w:r>
      <w:r>
        <w:rPr>
          <w:sz w:val="22"/>
        </w:rPr>
        <w:t>+ НДС (</w:t>
      </w:r>
      <w:r>
        <w:rPr>
          <w:sz w:val="22"/>
        </w:rPr>
        <w:t>176487,29</w:t>
      </w:r>
      <w:r>
        <w:rPr>
          <w:sz w:val="22"/>
        </w:rPr>
        <w:t xml:space="preserve">) = </w:t>
      </w:r>
      <w:r>
        <w:rPr>
          <w:sz w:val="22"/>
        </w:rPr>
        <w:t xml:space="preserve">1058923,75, </w:t>
      </w:r>
      <w:r>
        <w:rPr>
          <w:sz w:val="22"/>
        </w:rPr>
        <w:t>где: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proofErr w:type="gramStart"/>
      <w:r>
        <w:rPr>
          <w:sz w:val="22"/>
        </w:rPr>
        <w:t>I</w:t>
      </w:r>
      <w:proofErr w:type="gramEnd"/>
      <w:r>
        <w:rPr>
          <w:sz w:val="22"/>
        </w:rPr>
        <w:t>инфл</w:t>
      </w:r>
      <w:proofErr w:type="spellEnd"/>
      <w:r>
        <w:rPr>
          <w:sz w:val="22"/>
        </w:rPr>
        <w:t xml:space="preserve"> - индекс потребительских цен на прочие услуги, принимаемый в соответствии с публикуемыми Минэкономразвития России </w:t>
      </w:r>
      <w:r>
        <w:rPr>
          <w:sz w:val="22"/>
        </w:rPr>
        <w:t>прогнозами социально-экономического развития Российской Федерации</w:t>
      </w:r>
      <w:r>
        <w:rPr>
          <w:sz w:val="22"/>
          <w:vertAlign w:val="superscript"/>
        </w:rPr>
        <w:footnoteReference w:id="3"/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В случае если срок действия контракта превышает срок прогноза, индекс потребительских цен для каждого года срока действия контракта, не указанного в прогнозе, принимается </w:t>
      </w:r>
      <w:proofErr w:type="gramStart"/>
      <w:r>
        <w:rPr>
          <w:sz w:val="22"/>
        </w:rPr>
        <w:t>равным</w:t>
      </w:r>
      <w:proofErr w:type="gramEnd"/>
      <w:r>
        <w:rPr>
          <w:sz w:val="22"/>
        </w:rPr>
        <w:t xml:space="preserve"> индексу пот</w:t>
      </w:r>
      <w:r>
        <w:rPr>
          <w:sz w:val="22"/>
        </w:rPr>
        <w:t>ребительских цен, указанному для последнего года прогноза.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proofErr w:type="spellStart"/>
      <w:proofErr w:type="gramStart"/>
      <w:r>
        <w:rPr>
          <w:sz w:val="22"/>
        </w:rPr>
        <w:t>I</w:t>
      </w:r>
      <w:proofErr w:type="gramEnd"/>
      <w:r>
        <w:rPr>
          <w:sz w:val="22"/>
        </w:rPr>
        <w:t>инфл</w:t>
      </w:r>
      <w:proofErr w:type="spellEnd"/>
      <w:r>
        <w:rPr>
          <w:sz w:val="22"/>
        </w:rPr>
        <w:t xml:space="preserve"> рассчитывается как среднее арифметическое между индексами потребительских цен на каждый год срока действия контракта.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В случае если расчет НМЦК и начало срока действия контракта приходятся на</w:t>
      </w:r>
      <w:r>
        <w:rPr>
          <w:sz w:val="22"/>
        </w:rPr>
        <w:t xml:space="preserve"> один год, то для этого года срока действия контракта значение </w:t>
      </w:r>
      <w:proofErr w:type="spellStart"/>
      <w:r>
        <w:rPr>
          <w:sz w:val="22"/>
        </w:rPr>
        <w:t>Iинфл</w:t>
      </w:r>
      <w:proofErr w:type="spellEnd"/>
      <w:r>
        <w:rPr>
          <w:sz w:val="22"/>
        </w:rPr>
        <w:t xml:space="preserve"> принимается </w:t>
      </w:r>
      <w:proofErr w:type="gramStart"/>
      <w:r>
        <w:rPr>
          <w:sz w:val="22"/>
        </w:rPr>
        <w:t>равным</w:t>
      </w:r>
      <w:proofErr w:type="gramEnd"/>
      <w:r>
        <w:rPr>
          <w:sz w:val="22"/>
        </w:rPr>
        <w:t xml:space="preserve"> единице.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НДС - налог на добавленную стоимость</w:t>
      </w:r>
      <w:r>
        <w:rPr>
          <w:sz w:val="22"/>
          <w:vertAlign w:val="superscript"/>
        </w:rPr>
        <w:footnoteReference w:id="4"/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>СТСО - осуществление работ по проектированию, монтажу и эксплуатационному обслуживанию технических средств охраны, перече</w:t>
      </w:r>
      <w:r>
        <w:rPr>
          <w:sz w:val="22"/>
        </w:rPr>
        <w:t>нь видов которых устанавливается Правительством Российской Федерации</w:t>
      </w:r>
      <w:r>
        <w:rPr>
          <w:sz w:val="22"/>
          <w:vertAlign w:val="superscript"/>
        </w:rPr>
        <w:footnoteReference w:id="5"/>
      </w:r>
      <w:r>
        <w:rPr>
          <w:sz w:val="22"/>
        </w:rPr>
        <w:t xml:space="preserve">, и (или) принятие соответствующих мер реагирования на их сигнальную информацию. Определяются в соответствии с </w:t>
      </w:r>
      <w:hyperlink r:id="rId22" w:history="1">
        <w:r>
          <w:rPr>
            <w:sz w:val="22"/>
          </w:rPr>
          <w:t>п. 6.1 п. 6</w:t>
        </w:r>
      </w:hyperlink>
      <w:r>
        <w:rPr>
          <w:sz w:val="22"/>
        </w:rPr>
        <w:t xml:space="preserve"> Порядка без учета НДС;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СЗЖ - услуги по защите жизни и здоровья граждан. Определяются в соответствии с </w:t>
      </w:r>
      <w:hyperlink r:id="rId23" w:history="1">
        <w:proofErr w:type="spellStart"/>
        <w:r>
          <w:rPr>
            <w:sz w:val="22"/>
          </w:rPr>
          <w:t>пп</w:t>
        </w:r>
        <w:proofErr w:type="spellEnd"/>
        <w:r>
          <w:rPr>
            <w:sz w:val="22"/>
          </w:rPr>
          <w:t>. 6.2 п. 6</w:t>
        </w:r>
      </w:hyperlink>
      <w:r>
        <w:rPr>
          <w:sz w:val="22"/>
        </w:rPr>
        <w:t xml:space="preserve"> Порядка без учета НДС.</w:t>
      </w:r>
    </w:p>
    <w:p w:rsidR="00E95670" w:rsidRDefault="009A2B50">
      <w:pPr>
        <w:ind w:firstLine="567"/>
        <w:jc w:val="both"/>
        <w:rPr>
          <w:sz w:val="22"/>
        </w:rPr>
      </w:pPr>
      <w:r>
        <w:rPr>
          <w:sz w:val="22"/>
        </w:rPr>
        <w:t xml:space="preserve">Таким образом, НМЦК на </w:t>
      </w:r>
      <w:r>
        <w:rPr>
          <w:sz w:val="22"/>
        </w:rPr>
        <w:t>3</w:t>
      </w:r>
      <w:r>
        <w:rPr>
          <w:sz w:val="22"/>
        </w:rPr>
        <w:t xml:space="preserve"> пост</w:t>
      </w:r>
      <w:r>
        <w:rPr>
          <w:sz w:val="22"/>
        </w:rPr>
        <w:t>а</w:t>
      </w:r>
      <w:r>
        <w:rPr>
          <w:sz w:val="22"/>
        </w:rPr>
        <w:t xml:space="preserve"> составила </w:t>
      </w:r>
      <w:r>
        <w:rPr>
          <w:sz w:val="22"/>
        </w:rPr>
        <w:t>1058923,75</w:t>
      </w:r>
      <w:r>
        <w:rPr>
          <w:sz w:val="22"/>
        </w:rPr>
        <w:t xml:space="preserve"> руб. </w:t>
      </w:r>
    </w:p>
    <w:p w:rsidR="00E95670" w:rsidRDefault="00E95670">
      <w:pPr>
        <w:ind w:firstLine="567"/>
        <w:jc w:val="both"/>
        <w:rPr>
          <w:sz w:val="22"/>
        </w:rPr>
      </w:pPr>
    </w:p>
    <w:p w:rsidR="00E95670" w:rsidRDefault="009A2B50">
      <w:pPr>
        <w:ind w:firstLine="567"/>
        <w:jc w:val="both"/>
        <w:rPr>
          <w:sz w:val="22"/>
        </w:rPr>
      </w:pPr>
      <w:r>
        <w:rPr>
          <w:sz w:val="22"/>
        </w:rPr>
        <w:t xml:space="preserve">Начальная (максимальная) цена контракта в соответствии с Порядком, утвержденным приказом </w:t>
      </w:r>
      <w:proofErr w:type="spellStart"/>
      <w:r>
        <w:rPr>
          <w:sz w:val="22"/>
        </w:rPr>
        <w:t>Росгвардии</w:t>
      </w:r>
      <w:proofErr w:type="spellEnd"/>
      <w:r>
        <w:rPr>
          <w:sz w:val="22"/>
        </w:rPr>
        <w:t xml:space="preserve"> от 15.02.2021 № 45 составляет </w:t>
      </w:r>
      <w:r>
        <w:rPr>
          <w:sz w:val="22"/>
        </w:rPr>
        <w:t>1058923,75</w:t>
      </w:r>
      <w:r>
        <w:rPr>
          <w:sz w:val="22"/>
        </w:rPr>
        <w:t xml:space="preserve"> руб. (</w:t>
      </w:r>
      <w:r>
        <w:rPr>
          <w:sz w:val="22"/>
        </w:rPr>
        <w:t>Один</w:t>
      </w:r>
      <w:r>
        <w:rPr>
          <w:sz w:val="22"/>
        </w:rPr>
        <w:t xml:space="preserve"> миллион пятьдесят восемь тысяч девятьсот </w:t>
      </w:r>
      <w:r>
        <w:rPr>
          <w:sz w:val="22"/>
        </w:rPr>
        <w:lastRenderedPageBreak/>
        <w:t>двадцать три</w:t>
      </w:r>
      <w:r>
        <w:rPr>
          <w:sz w:val="22"/>
        </w:rPr>
        <w:t>) рубл</w:t>
      </w:r>
      <w:r>
        <w:rPr>
          <w:sz w:val="22"/>
        </w:rPr>
        <w:t>я</w:t>
      </w:r>
      <w:r>
        <w:rPr>
          <w:sz w:val="22"/>
        </w:rPr>
        <w:t xml:space="preserve"> </w:t>
      </w:r>
      <w:r>
        <w:rPr>
          <w:sz w:val="22"/>
        </w:rPr>
        <w:t>75</w:t>
      </w:r>
      <w:r>
        <w:rPr>
          <w:sz w:val="22"/>
        </w:rPr>
        <w:t xml:space="preserve"> коп, </w:t>
      </w:r>
      <w:r>
        <w:rPr>
          <w:b/>
          <w:sz w:val="22"/>
        </w:rPr>
        <w:t>что превышает имеющийся у заказчика</w:t>
      </w:r>
      <w:r>
        <w:rPr>
          <w:b/>
          <w:sz w:val="22"/>
        </w:rPr>
        <w:t xml:space="preserve"> объем финансового обеспечения для осуществления закупки (согласно части 2 статьи 72 БК РФ).</w:t>
      </w:r>
    </w:p>
    <w:p w:rsidR="00E95670" w:rsidRDefault="009A2B50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В соответствии со ст. 22 44-ФЗ и ст. 72 Бюджетного кодекса НМЦК определяется Заказчиком в пределах лимитов бюджетных обязательств, выделенных на закупку. Заказчик </w:t>
      </w:r>
      <w:r>
        <w:rPr>
          <w:sz w:val="22"/>
        </w:rPr>
        <w:t xml:space="preserve">снижает НМЦК до уровня выделенных лимитов. Расчет производится иным методом. </w:t>
      </w:r>
    </w:p>
    <w:p w:rsidR="00E95670" w:rsidRDefault="009A2B50">
      <w:pPr>
        <w:pStyle w:val="af"/>
        <w:spacing w:before="120" w:after="120" w:line="276" w:lineRule="auto"/>
        <w:contextualSpacing w:val="0"/>
        <w:jc w:val="right"/>
        <w:rPr>
          <w:sz w:val="20"/>
          <w:u w:val="single"/>
        </w:rPr>
      </w:pPr>
      <w:r>
        <w:rPr>
          <w:sz w:val="20"/>
          <w:u w:val="single"/>
        </w:rPr>
        <w:t>Таблица № 10</w:t>
      </w:r>
    </w:p>
    <w:p w:rsidR="00E95670" w:rsidRDefault="009A2B50">
      <w:pPr>
        <w:pStyle w:val="af"/>
        <w:spacing w:before="120" w:after="120" w:line="276" w:lineRule="auto"/>
        <w:ind w:left="0" w:firstLine="567"/>
        <w:contextualSpacing w:val="0"/>
        <w:rPr>
          <w:sz w:val="20"/>
          <w:u w:val="single"/>
        </w:rPr>
      </w:pPr>
      <w:r>
        <w:rPr>
          <w:b/>
          <w:sz w:val="22"/>
        </w:rPr>
        <w:t>Расчёт иным методом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93"/>
        <w:gridCol w:w="2099"/>
        <w:gridCol w:w="2099"/>
        <w:gridCol w:w="2099"/>
        <w:gridCol w:w="1990"/>
      </w:tblGrid>
      <w:tr w:rsidR="00E95670">
        <w:trPr>
          <w:trHeight w:val="907"/>
        </w:trPr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услуг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услуг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Цена, установленная Заказчиком исходя из ЛБО</w:t>
            </w:r>
          </w:p>
        </w:tc>
        <w:tc>
          <w:tcPr>
            <w:tcW w:w="199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</w:p>
        </w:tc>
      </w:tr>
      <w:tr w:rsidR="00E95670">
        <w:trPr>
          <w:trHeight w:val="340"/>
        </w:trPr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Оказание услуг физической охраны объекта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чел.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2099" w:type="dxa"/>
            <w:vAlign w:val="center"/>
          </w:tcPr>
          <w:p w:rsidR="00E95670" w:rsidRDefault="009A2B50">
            <w:pPr>
              <w:jc w:val="center"/>
            </w:pPr>
            <w:r>
              <w:t>289</w:t>
            </w:r>
          </w:p>
        </w:tc>
        <w:tc>
          <w:tcPr>
            <w:tcW w:w="199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450 840,00</w:t>
            </w:r>
          </w:p>
        </w:tc>
      </w:tr>
      <w:tr w:rsidR="00E95670">
        <w:trPr>
          <w:trHeight w:val="492"/>
        </w:trPr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95670" w:rsidRDefault="00E9567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95670" w:rsidRDefault="00E9567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5670" w:rsidRDefault="00E9567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90" w:type="dxa"/>
            <w:vAlign w:val="center"/>
          </w:tcPr>
          <w:p w:rsidR="00E95670" w:rsidRDefault="009A2B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450 840,00</w:t>
            </w:r>
          </w:p>
        </w:tc>
      </w:tr>
    </w:tbl>
    <w:p w:rsidR="00E95670" w:rsidRDefault="009A2B50">
      <w:pPr>
        <w:spacing w:before="120" w:after="120" w:line="276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Всего человеко-часов: </w:t>
      </w:r>
      <w:r>
        <w:rPr>
          <w:bCs/>
          <w:sz w:val="22"/>
        </w:rPr>
        <w:t>1560</w:t>
      </w:r>
      <w:r>
        <w:rPr>
          <w:bCs/>
          <w:sz w:val="22"/>
        </w:rPr>
        <w:t>,00</w:t>
      </w:r>
    </w:p>
    <w:p w:rsidR="00E95670" w:rsidRDefault="009A2B50">
      <w:pPr>
        <w:spacing w:before="120" w:after="120" w:line="276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Итого </w:t>
      </w:r>
      <w:proofErr w:type="gramStart"/>
      <w:r>
        <w:rPr>
          <w:b/>
          <w:sz w:val="22"/>
        </w:rPr>
        <w:t>начальная</w:t>
      </w:r>
      <w:proofErr w:type="gramEnd"/>
      <w:r>
        <w:rPr>
          <w:b/>
          <w:sz w:val="22"/>
        </w:rPr>
        <w:t xml:space="preserve"> (максимальная) цена контракта согласно Лимитов бюджетного обязательства Заказчика составляет: </w:t>
      </w:r>
      <w:r>
        <w:rPr>
          <w:b/>
          <w:sz w:val="22"/>
        </w:rPr>
        <w:t>Четыреста</w:t>
      </w:r>
      <w:r>
        <w:rPr>
          <w:b/>
          <w:sz w:val="22"/>
        </w:rPr>
        <w:t xml:space="preserve"> пятьдесят тысяч восемьсот сорок рублей 00 копеек</w:t>
      </w:r>
    </w:p>
    <w:p w:rsidR="00E95670" w:rsidRDefault="00E95670">
      <w:pPr>
        <w:spacing w:line="276" w:lineRule="auto"/>
      </w:pPr>
    </w:p>
    <w:sectPr w:rsidR="00E95670">
      <w:footerReference w:type="default" r:id="rId24"/>
      <w:pgSz w:w="11900" w:h="16820"/>
      <w:pgMar w:top="993" w:right="560" w:bottom="284" w:left="851" w:header="720" w:footer="2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50" w:rsidRDefault="009A2B50">
      <w:r>
        <w:separator/>
      </w:r>
    </w:p>
  </w:endnote>
  <w:endnote w:type="continuationSeparator" w:id="0">
    <w:p w:rsidR="009A2B50" w:rsidRDefault="009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70" w:rsidRDefault="00E9567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50" w:rsidRDefault="009A2B50">
      <w:r>
        <w:separator/>
      </w:r>
    </w:p>
  </w:footnote>
  <w:footnote w:type="continuationSeparator" w:id="0">
    <w:p w:rsidR="009A2B50" w:rsidRDefault="009A2B50">
      <w:r>
        <w:continuationSeparator/>
      </w:r>
    </w:p>
  </w:footnote>
  <w:footnote w:id="1">
    <w:p w:rsidR="00E95670" w:rsidRDefault="009A2B50">
      <w:pPr>
        <w:jc w:val="both"/>
      </w:pPr>
      <w:r>
        <w:rPr>
          <w:vertAlign w:val="superscript"/>
        </w:rPr>
        <w:footnoteRef/>
      </w:r>
      <w:hyperlink r:id="rId1" w:history="1">
        <w:r>
          <w:rPr>
            <w:color w:val="0000FF"/>
            <w:sz w:val="20"/>
          </w:rPr>
          <w:t>Постановление</w:t>
        </w:r>
      </w:hyperlink>
      <w:r>
        <w:rPr>
          <w:sz w:val="20"/>
        </w:rPr>
        <w:t xml:space="preserve"> Правительства РФ от 22 июля 2008 г. № 554 «О минимальном размере повышения оплаты труда за работу в ночное время»</w:t>
      </w:r>
    </w:p>
  </w:footnote>
  <w:footnote w:id="2">
    <w:p w:rsidR="00E95670" w:rsidRDefault="009A2B50">
      <w:r>
        <w:rPr>
          <w:vertAlign w:val="superscript"/>
        </w:rPr>
        <w:footnoteRef/>
      </w:r>
      <w:hyperlink r:id="rId2" w:history="1">
        <w:r>
          <w:rPr>
            <w:sz w:val="20"/>
          </w:rPr>
          <w:t>Пост</w:t>
        </w:r>
        <w:r>
          <w:rPr>
            <w:sz w:val="20"/>
          </w:rPr>
          <w:t>ановление</w:t>
        </w:r>
      </w:hyperlink>
      <w:r>
        <w:rPr>
          <w:sz w:val="20"/>
        </w:rPr>
        <w:t xml:space="preserve"> Правительства Российской Федерации от 14 августа 1992 г. № 587 «Вопросы частной детективной (сыскной) и частной охранной деятельности»</w:t>
      </w:r>
    </w:p>
  </w:footnote>
  <w:footnote w:id="3">
    <w:p w:rsidR="00E95670" w:rsidRDefault="009A2B50">
      <w:r>
        <w:rPr>
          <w:vertAlign w:val="superscript"/>
        </w:rPr>
        <w:footnoteRef/>
      </w:r>
      <w:hyperlink r:id="rId3" w:history="1">
        <w:r>
          <w:rPr>
            <w:color w:val="0000FF"/>
            <w:sz w:val="20"/>
          </w:rPr>
          <w:t>Правила</w:t>
        </w:r>
      </w:hyperlink>
      <w:r>
        <w:rPr>
          <w:sz w:val="20"/>
        </w:rPr>
        <w:t xml:space="preserve">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период, утвержденные постановлением Пр</w:t>
      </w:r>
      <w:r>
        <w:rPr>
          <w:sz w:val="20"/>
        </w:rPr>
        <w:t>авительства Российской Федерации от 14 ноября 2015 г. № 1234</w:t>
      </w:r>
    </w:p>
  </w:footnote>
  <w:footnote w:id="4">
    <w:p w:rsidR="00E95670" w:rsidRDefault="009A2B50">
      <w:r>
        <w:rPr>
          <w:vertAlign w:val="superscript"/>
        </w:rPr>
        <w:footnoteRef/>
      </w:r>
      <w:r>
        <w:rPr>
          <w:sz w:val="20"/>
        </w:rPr>
        <w:t xml:space="preserve"> Определяется в соответствии со </w:t>
      </w:r>
      <w:hyperlink r:id="rId4" w:history="1">
        <w:r>
          <w:rPr>
            <w:color w:val="0000FF"/>
            <w:sz w:val="20"/>
          </w:rPr>
          <w:t xml:space="preserve">ст. </w:t>
        </w:r>
        <w:r>
          <w:rPr>
            <w:color w:val="0000FF"/>
            <w:sz w:val="20"/>
          </w:rPr>
          <w:t>164</w:t>
        </w:r>
      </w:hyperlink>
      <w:r>
        <w:rPr>
          <w:sz w:val="20"/>
        </w:rPr>
        <w:t xml:space="preserve"> Налогового кодекса Российской Федерации</w:t>
      </w:r>
    </w:p>
  </w:footnote>
  <w:footnote w:id="5">
    <w:p w:rsidR="00E95670" w:rsidRDefault="009A2B50">
      <w:r>
        <w:rPr>
          <w:vertAlign w:val="superscript"/>
        </w:rPr>
        <w:footnoteRef/>
      </w:r>
      <w:hyperlink r:id="rId5" w:history="1">
        <w:r>
          <w:rPr>
            <w:color w:val="0000FF"/>
            <w:sz w:val="20"/>
          </w:rPr>
          <w:t>Постановление</w:t>
        </w:r>
      </w:hyperlink>
      <w:r>
        <w:rPr>
          <w:sz w:val="20"/>
        </w:rPr>
        <w:t xml:space="preserve"> Правительства Российской Федерации от 23 июня 2011 г. №</w:t>
      </w:r>
      <w:r>
        <w:rPr>
          <w:sz w:val="20"/>
        </w:rPr>
        <w:t xml:space="preserve"> 498 «О некоторых вопросах осуществления частной детективной (сыскной) и частной охранной деятельности»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5670"/>
    <w:rsid w:val="001A319E"/>
    <w:rsid w:val="009A2B50"/>
    <w:rsid w:val="00DA23F9"/>
    <w:rsid w:val="00E95670"/>
    <w:rsid w:val="14530E96"/>
    <w:rsid w:val="1E5A25DC"/>
    <w:rsid w:val="422B529C"/>
    <w:rsid w:val="43DF2DA7"/>
    <w:rsid w:val="440D2C82"/>
    <w:rsid w:val="45517EE5"/>
    <w:rsid w:val="5C8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Simple 1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mphasis"/>
    <w:qFormat/>
    <w:rPr>
      <w:i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qFormat/>
    <w:rPr>
      <w:rFonts w:ascii="Arial" w:hAnsi="Arial"/>
      <w:b/>
    </w:rPr>
  </w:style>
  <w:style w:type="paragraph" w:styleId="a7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qFormat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9">
    <w:name w:val="Body Text Indent"/>
    <w:basedOn w:val="a"/>
    <w:qFormat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</w:style>
  <w:style w:type="paragraph" w:styleId="aa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b">
    <w:name w:val="footer"/>
    <w:basedOn w:val="a"/>
    <w:qFormat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31">
    <w:name w:val="Body Text 3"/>
    <w:basedOn w:val="a"/>
    <w:qFormat/>
    <w:pPr>
      <w:spacing w:after="120"/>
    </w:pPr>
    <w:rPr>
      <w:sz w:val="16"/>
    </w:rPr>
  </w:style>
  <w:style w:type="paragraph" w:styleId="ad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11">
    <w:name w:val="Table Simple 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e">
    <w:name w:val="Table Grid"/>
    <w:basedOn w:val="a1"/>
    <w:qFormat/>
    <w:rPr>
      <w:rFonts w:asciiTheme="minorHAnsi" w:hAnsiTheme="minorHAns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шрифт абзаца4"/>
    <w:link w:val="410"/>
    <w:qFormat/>
    <w:pPr>
      <w:spacing w:after="200" w:line="276" w:lineRule="auto"/>
    </w:pPr>
    <w:rPr>
      <w:color w:val="000000"/>
      <w:sz w:val="24"/>
    </w:rPr>
  </w:style>
  <w:style w:type="character" w:customStyle="1" w:styleId="410">
    <w:name w:val="Основной шрифт абзаца41"/>
    <w:link w:val="41"/>
    <w:qFormat/>
    <w:rPr>
      <w:sz w:val="24"/>
    </w:rPr>
  </w:style>
  <w:style w:type="paragraph" w:customStyle="1" w:styleId="12">
    <w:name w:val="Основной шрифт абзаца1"/>
    <w:link w:val="110"/>
    <w:qFormat/>
    <w:pPr>
      <w:spacing w:after="200" w:line="276" w:lineRule="auto"/>
    </w:pPr>
    <w:rPr>
      <w:color w:val="000000"/>
      <w:sz w:val="24"/>
    </w:rPr>
  </w:style>
  <w:style w:type="character" w:customStyle="1" w:styleId="110">
    <w:name w:val="Основной шрифт абзаца11"/>
    <w:link w:val="12"/>
    <w:qFormat/>
    <w:rPr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21">
    <w:name w:val="Обычный2"/>
    <w:link w:val="210"/>
    <w:qFormat/>
    <w:rPr>
      <w:rFonts w:ascii="Times New Roman" w:hAnsi="Times New Roman"/>
      <w:color w:val="000000"/>
      <w:sz w:val="24"/>
    </w:rPr>
  </w:style>
  <w:style w:type="character" w:customStyle="1" w:styleId="210">
    <w:name w:val="Обычный21"/>
    <w:link w:val="21"/>
    <w:qFormat/>
    <w:rPr>
      <w:rFonts w:ascii="Times New Roman" w:hAnsi="Times New Roman"/>
      <w:sz w:val="24"/>
    </w:rPr>
  </w:style>
  <w:style w:type="paragraph" w:customStyle="1" w:styleId="32">
    <w:name w:val="Выделение3"/>
    <w:link w:val="310"/>
    <w:qFormat/>
    <w:pPr>
      <w:spacing w:after="200" w:line="276" w:lineRule="auto"/>
    </w:pPr>
    <w:rPr>
      <w:i/>
      <w:color w:val="000000"/>
      <w:sz w:val="24"/>
    </w:rPr>
  </w:style>
  <w:style w:type="character" w:customStyle="1" w:styleId="310">
    <w:name w:val="Выделение31"/>
    <w:link w:val="32"/>
    <w:qFormat/>
    <w:rPr>
      <w:i/>
      <w:sz w:val="24"/>
    </w:rPr>
  </w:style>
  <w:style w:type="paragraph" w:customStyle="1" w:styleId="42">
    <w:name w:val="Обычный4"/>
    <w:link w:val="411"/>
    <w:qFormat/>
    <w:rPr>
      <w:rFonts w:ascii="Times New Roman" w:hAnsi="Times New Roman"/>
      <w:color w:val="000000"/>
      <w:sz w:val="24"/>
    </w:rPr>
  </w:style>
  <w:style w:type="character" w:customStyle="1" w:styleId="411">
    <w:name w:val="Обычный41"/>
    <w:link w:val="42"/>
    <w:qFormat/>
    <w:rPr>
      <w:rFonts w:ascii="Times New Roman" w:hAnsi="Times New Roman"/>
      <w:color w:val="000000"/>
      <w:sz w:val="24"/>
    </w:rPr>
  </w:style>
  <w:style w:type="paragraph" w:customStyle="1" w:styleId="51">
    <w:name w:val="Обычный5"/>
    <w:link w:val="510"/>
    <w:qFormat/>
    <w:pPr>
      <w:widowControl w:val="0"/>
      <w:spacing w:before="260"/>
      <w:jc w:val="both"/>
    </w:pPr>
    <w:rPr>
      <w:rFonts w:ascii="Times New Roman" w:hAnsi="Times New Roman"/>
      <w:color w:val="000000"/>
      <w:sz w:val="24"/>
    </w:rPr>
  </w:style>
  <w:style w:type="character" w:customStyle="1" w:styleId="510">
    <w:name w:val="Обычный51"/>
    <w:link w:val="51"/>
    <w:qFormat/>
    <w:rPr>
      <w:rFonts w:ascii="Times New Roman" w:hAnsi="Times New Roman"/>
      <w:color w:val="000000"/>
      <w:sz w:val="24"/>
    </w:rPr>
  </w:style>
  <w:style w:type="paragraph" w:customStyle="1" w:styleId="13">
    <w:name w:val="Выделение1"/>
    <w:link w:val="111"/>
    <w:qFormat/>
    <w:pPr>
      <w:spacing w:after="200" w:line="276" w:lineRule="auto"/>
    </w:pPr>
    <w:rPr>
      <w:i/>
      <w:color w:val="000000"/>
      <w:sz w:val="24"/>
    </w:rPr>
  </w:style>
  <w:style w:type="character" w:customStyle="1" w:styleId="111">
    <w:name w:val="Выделение11"/>
    <w:link w:val="13"/>
    <w:qFormat/>
    <w:rPr>
      <w:i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14">
    <w:name w:val="Обычный1"/>
    <w:link w:val="112"/>
    <w:qFormat/>
    <w:rPr>
      <w:rFonts w:ascii="Times New Roman" w:hAnsi="Times New Roman"/>
      <w:color w:val="000000"/>
      <w:sz w:val="24"/>
    </w:rPr>
  </w:style>
  <w:style w:type="character" w:customStyle="1" w:styleId="112">
    <w:name w:val="Обычный11"/>
    <w:link w:val="14"/>
    <w:rPr>
      <w:rFonts w:ascii="Times New Roman" w:hAnsi="Times New Roman"/>
      <w:sz w:val="24"/>
    </w:rPr>
  </w:style>
  <w:style w:type="paragraph" w:customStyle="1" w:styleId="33">
    <w:name w:val="Обычный3"/>
    <w:link w:val="311"/>
    <w:qFormat/>
    <w:rPr>
      <w:rFonts w:ascii="Times New Roman" w:hAnsi="Times New Roman"/>
      <w:color w:val="000000"/>
      <w:sz w:val="24"/>
    </w:rPr>
  </w:style>
  <w:style w:type="character" w:customStyle="1" w:styleId="311">
    <w:name w:val="Обычный31"/>
    <w:link w:val="3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  <w:sz w:val="20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15">
    <w:name w:val="Номер строки1"/>
    <w:link w:val="113"/>
    <w:pPr>
      <w:spacing w:after="200" w:line="276" w:lineRule="auto"/>
    </w:pPr>
    <w:rPr>
      <w:color w:val="000000"/>
      <w:sz w:val="22"/>
    </w:rPr>
  </w:style>
  <w:style w:type="character" w:customStyle="1" w:styleId="113">
    <w:name w:val="Номер строки11"/>
    <w:basedOn w:val="a0"/>
    <w:link w:val="15"/>
    <w:qFormat/>
  </w:style>
  <w:style w:type="paragraph" w:customStyle="1" w:styleId="22">
    <w:name w:val="Выделение2"/>
    <w:link w:val="211"/>
    <w:pPr>
      <w:spacing w:after="200" w:line="276" w:lineRule="auto"/>
    </w:pPr>
    <w:rPr>
      <w:i/>
      <w:color w:val="000000"/>
      <w:sz w:val="24"/>
    </w:rPr>
  </w:style>
  <w:style w:type="character" w:customStyle="1" w:styleId="211">
    <w:name w:val="Выделение21"/>
    <w:link w:val="22"/>
    <w:rPr>
      <w:i/>
      <w:sz w:val="24"/>
    </w:rPr>
  </w:style>
  <w:style w:type="paragraph" w:customStyle="1" w:styleId="34">
    <w:name w:val="Основной шрифт абзаца3"/>
    <w:link w:val="312"/>
    <w:qFormat/>
    <w:pPr>
      <w:spacing w:after="200" w:line="276" w:lineRule="auto"/>
    </w:pPr>
    <w:rPr>
      <w:color w:val="000000"/>
      <w:sz w:val="24"/>
    </w:rPr>
  </w:style>
  <w:style w:type="character" w:customStyle="1" w:styleId="312">
    <w:name w:val="Основной шрифт абзаца31"/>
    <w:link w:val="34"/>
    <w:qFormat/>
    <w:rPr>
      <w:sz w:val="24"/>
    </w:rPr>
  </w:style>
  <w:style w:type="paragraph" w:customStyle="1" w:styleId="23">
    <w:name w:val="Основной шрифт абзаца2"/>
    <w:link w:val="212"/>
    <w:qFormat/>
    <w:pPr>
      <w:spacing w:after="200" w:line="276" w:lineRule="auto"/>
    </w:pPr>
    <w:rPr>
      <w:color w:val="000000"/>
      <w:sz w:val="24"/>
    </w:rPr>
  </w:style>
  <w:style w:type="character" w:customStyle="1" w:styleId="212">
    <w:name w:val="Основной шрифт абзаца21"/>
    <w:link w:val="23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Simple 1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mphasis"/>
    <w:qFormat/>
    <w:rPr>
      <w:i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qFormat/>
    <w:rPr>
      <w:rFonts w:ascii="Arial" w:hAnsi="Arial"/>
      <w:b/>
    </w:rPr>
  </w:style>
  <w:style w:type="paragraph" w:styleId="a7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qFormat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9">
    <w:name w:val="Body Text Indent"/>
    <w:basedOn w:val="a"/>
    <w:qFormat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</w:style>
  <w:style w:type="paragraph" w:styleId="aa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b">
    <w:name w:val="footer"/>
    <w:basedOn w:val="a"/>
    <w:qFormat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31">
    <w:name w:val="Body Text 3"/>
    <w:basedOn w:val="a"/>
    <w:qFormat/>
    <w:pPr>
      <w:spacing w:after="120"/>
    </w:pPr>
    <w:rPr>
      <w:sz w:val="16"/>
    </w:rPr>
  </w:style>
  <w:style w:type="paragraph" w:styleId="ad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11">
    <w:name w:val="Table Simple 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e">
    <w:name w:val="Table Grid"/>
    <w:basedOn w:val="a1"/>
    <w:qFormat/>
    <w:rPr>
      <w:rFonts w:asciiTheme="minorHAnsi" w:hAnsiTheme="minorHAns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шрифт абзаца4"/>
    <w:link w:val="410"/>
    <w:qFormat/>
    <w:pPr>
      <w:spacing w:after="200" w:line="276" w:lineRule="auto"/>
    </w:pPr>
    <w:rPr>
      <w:color w:val="000000"/>
      <w:sz w:val="24"/>
    </w:rPr>
  </w:style>
  <w:style w:type="character" w:customStyle="1" w:styleId="410">
    <w:name w:val="Основной шрифт абзаца41"/>
    <w:link w:val="41"/>
    <w:qFormat/>
    <w:rPr>
      <w:sz w:val="24"/>
    </w:rPr>
  </w:style>
  <w:style w:type="paragraph" w:customStyle="1" w:styleId="12">
    <w:name w:val="Основной шрифт абзаца1"/>
    <w:link w:val="110"/>
    <w:qFormat/>
    <w:pPr>
      <w:spacing w:after="200" w:line="276" w:lineRule="auto"/>
    </w:pPr>
    <w:rPr>
      <w:color w:val="000000"/>
      <w:sz w:val="24"/>
    </w:rPr>
  </w:style>
  <w:style w:type="character" w:customStyle="1" w:styleId="110">
    <w:name w:val="Основной шрифт абзаца11"/>
    <w:link w:val="12"/>
    <w:qFormat/>
    <w:rPr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21">
    <w:name w:val="Обычный2"/>
    <w:link w:val="210"/>
    <w:qFormat/>
    <w:rPr>
      <w:rFonts w:ascii="Times New Roman" w:hAnsi="Times New Roman"/>
      <w:color w:val="000000"/>
      <w:sz w:val="24"/>
    </w:rPr>
  </w:style>
  <w:style w:type="character" w:customStyle="1" w:styleId="210">
    <w:name w:val="Обычный21"/>
    <w:link w:val="21"/>
    <w:qFormat/>
    <w:rPr>
      <w:rFonts w:ascii="Times New Roman" w:hAnsi="Times New Roman"/>
      <w:sz w:val="24"/>
    </w:rPr>
  </w:style>
  <w:style w:type="paragraph" w:customStyle="1" w:styleId="32">
    <w:name w:val="Выделение3"/>
    <w:link w:val="310"/>
    <w:qFormat/>
    <w:pPr>
      <w:spacing w:after="200" w:line="276" w:lineRule="auto"/>
    </w:pPr>
    <w:rPr>
      <w:i/>
      <w:color w:val="000000"/>
      <w:sz w:val="24"/>
    </w:rPr>
  </w:style>
  <w:style w:type="character" w:customStyle="1" w:styleId="310">
    <w:name w:val="Выделение31"/>
    <w:link w:val="32"/>
    <w:qFormat/>
    <w:rPr>
      <w:i/>
      <w:sz w:val="24"/>
    </w:rPr>
  </w:style>
  <w:style w:type="paragraph" w:customStyle="1" w:styleId="42">
    <w:name w:val="Обычный4"/>
    <w:link w:val="411"/>
    <w:qFormat/>
    <w:rPr>
      <w:rFonts w:ascii="Times New Roman" w:hAnsi="Times New Roman"/>
      <w:color w:val="000000"/>
      <w:sz w:val="24"/>
    </w:rPr>
  </w:style>
  <w:style w:type="character" w:customStyle="1" w:styleId="411">
    <w:name w:val="Обычный41"/>
    <w:link w:val="42"/>
    <w:qFormat/>
    <w:rPr>
      <w:rFonts w:ascii="Times New Roman" w:hAnsi="Times New Roman"/>
      <w:color w:val="000000"/>
      <w:sz w:val="24"/>
    </w:rPr>
  </w:style>
  <w:style w:type="paragraph" w:customStyle="1" w:styleId="51">
    <w:name w:val="Обычный5"/>
    <w:link w:val="510"/>
    <w:qFormat/>
    <w:pPr>
      <w:widowControl w:val="0"/>
      <w:spacing w:before="260"/>
      <w:jc w:val="both"/>
    </w:pPr>
    <w:rPr>
      <w:rFonts w:ascii="Times New Roman" w:hAnsi="Times New Roman"/>
      <w:color w:val="000000"/>
      <w:sz w:val="24"/>
    </w:rPr>
  </w:style>
  <w:style w:type="character" w:customStyle="1" w:styleId="510">
    <w:name w:val="Обычный51"/>
    <w:link w:val="51"/>
    <w:qFormat/>
    <w:rPr>
      <w:rFonts w:ascii="Times New Roman" w:hAnsi="Times New Roman"/>
      <w:color w:val="000000"/>
      <w:sz w:val="24"/>
    </w:rPr>
  </w:style>
  <w:style w:type="paragraph" w:customStyle="1" w:styleId="13">
    <w:name w:val="Выделение1"/>
    <w:link w:val="111"/>
    <w:qFormat/>
    <w:pPr>
      <w:spacing w:after="200" w:line="276" w:lineRule="auto"/>
    </w:pPr>
    <w:rPr>
      <w:i/>
      <w:color w:val="000000"/>
      <w:sz w:val="24"/>
    </w:rPr>
  </w:style>
  <w:style w:type="character" w:customStyle="1" w:styleId="111">
    <w:name w:val="Выделение11"/>
    <w:link w:val="13"/>
    <w:qFormat/>
    <w:rPr>
      <w:i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14">
    <w:name w:val="Обычный1"/>
    <w:link w:val="112"/>
    <w:qFormat/>
    <w:rPr>
      <w:rFonts w:ascii="Times New Roman" w:hAnsi="Times New Roman"/>
      <w:color w:val="000000"/>
      <w:sz w:val="24"/>
    </w:rPr>
  </w:style>
  <w:style w:type="character" w:customStyle="1" w:styleId="112">
    <w:name w:val="Обычный11"/>
    <w:link w:val="14"/>
    <w:rPr>
      <w:rFonts w:ascii="Times New Roman" w:hAnsi="Times New Roman"/>
      <w:sz w:val="24"/>
    </w:rPr>
  </w:style>
  <w:style w:type="paragraph" w:customStyle="1" w:styleId="33">
    <w:name w:val="Обычный3"/>
    <w:link w:val="311"/>
    <w:qFormat/>
    <w:rPr>
      <w:rFonts w:ascii="Times New Roman" w:hAnsi="Times New Roman"/>
      <w:color w:val="000000"/>
      <w:sz w:val="24"/>
    </w:rPr>
  </w:style>
  <w:style w:type="character" w:customStyle="1" w:styleId="311">
    <w:name w:val="Обычный31"/>
    <w:link w:val="3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  <w:sz w:val="20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15">
    <w:name w:val="Номер строки1"/>
    <w:link w:val="113"/>
    <w:pPr>
      <w:spacing w:after="200" w:line="276" w:lineRule="auto"/>
    </w:pPr>
    <w:rPr>
      <w:color w:val="000000"/>
      <w:sz w:val="22"/>
    </w:rPr>
  </w:style>
  <w:style w:type="character" w:customStyle="1" w:styleId="113">
    <w:name w:val="Номер строки11"/>
    <w:basedOn w:val="a0"/>
    <w:link w:val="15"/>
    <w:qFormat/>
  </w:style>
  <w:style w:type="paragraph" w:customStyle="1" w:styleId="22">
    <w:name w:val="Выделение2"/>
    <w:link w:val="211"/>
    <w:pPr>
      <w:spacing w:after="200" w:line="276" w:lineRule="auto"/>
    </w:pPr>
    <w:rPr>
      <w:i/>
      <w:color w:val="000000"/>
      <w:sz w:val="24"/>
    </w:rPr>
  </w:style>
  <w:style w:type="character" w:customStyle="1" w:styleId="211">
    <w:name w:val="Выделение21"/>
    <w:link w:val="22"/>
    <w:rPr>
      <w:i/>
      <w:sz w:val="24"/>
    </w:rPr>
  </w:style>
  <w:style w:type="paragraph" w:customStyle="1" w:styleId="34">
    <w:name w:val="Основной шрифт абзаца3"/>
    <w:link w:val="312"/>
    <w:qFormat/>
    <w:pPr>
      <w:spacing w:after="200" w:line="276" w:lineRule="auto"/>
    </w:pPr>
    <w:rPr>
      <w:color w:val="000000"/>
      <w:sz w:val="24"/>
    </w:rPr>
  </w:style>
  <w:style w:type="character" w:customStyle="1" w:styleId="312">
    <w:name w:val="Основной шрифт абзаца31"/>
    <w:link w:val="34"/>
    <w:qFormat/>
    <w:rPr>
      <w:sz w:val="24"/>
    </w:rPr>
  </w:style>
  <w:style w:type="paragraph" w:customStyle="1" w:styleId="23">
    <w:name w:val="Основной шрифт абзаца2"/>
    <w:link w:val="212"/>
    <w:qFormat/>
    <w:pPr>
      <w:spacing w:after="200" w:line="276" w:lineRule="auto"/>
    </w:pPr>
    <w:rPr>
      <w:color w:val="000000"/>
      <w:sz w:val="24"/>
    </w:rPr>
  </w:style>
  <w:style w:type="character" w:customStyle="1" w:styleId="212">
    <w:name w:val="Основной шрифт абзаца21"/>
    <w:link w:val="23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3CEE68D167EEC3863D38E7DA9419EBDEB52C2B41DCF80A6D54C08D4C8D559EF7C9599AAF1DD86EB8C0C7064C1F8CEA78C5EBE1Dz2z3H" TargetMode="External"/><Relationship Id="rId18" Type="http://schemas.openxmlformats.org/officeDocument/2006/relationships/hyperlink" Target="consultantplus://offline/ref=64894A04921DD4E2E6BBDEB2399B6CD479910ECB9E49A120F7C3CA81AC7CFB171295E831220EEC91A5E18DE3BEE1F1C47F6A2990F59BCE65J1G1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FAB40ED2194D1DFC1A079EE3FA2227859C7EE2DF9869CB9A9CC737A393475BC09BFF7834D7831BB426B4E3D35F7BB67E2BA641BBqDzBH" TargetMode="External"/><Relationship Id="rId17" Type="http://schemas.openxmlformats.org/officeDocument/2006/relationships/hyperlink" Target="consultantplus://offline/ref=4DAE1B5B6D08C45DF79C9BE808FCFDC1F86B37D6369F51F4E1AD8F5C60D22B9FDB50790E701D6CCC02F2ED51240Ej9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E1B5B6D08C45DF79C9BE808FCFDC1F86B34D4379351F4E1AD8F5C60D22B9FC9502102721B75CC0CB8BE1573E59E908993285916058109j9D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033FA6EF453E393377CC4DFD762419BA59F69952461928F43AAA635961C34D863E699B4FC98C9ACD6C49E271S6i4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CEE68D167EEC3863D38E7DA9419EBDEB52C2B41DCF80A6D54C08D4C8D559EF6E95C1A2F2D7CCBACD477F65C2zEz7H" TargetMode="External"/><Relationship Id="rId23" Type="http://schemas.openxmlformats.org/officeDocument/2006/relationships/hyperlink" Target="consultantplus://offline/ref=D824E02EF2BD0202E81E9CCCD686030058598E00377FDE70B5C7B21B2B7997604ED0720CE57C1E66AA6B8F9B7CB5F6714635AE222F07F1C4rFl2G" TargetMode="External"/><Relationship Id="rId10" Type="http://schemas.openxmlformats.org/officeDocument/2006/relationships/hyperlink" Target="consultantplus://offline/ref=ED033FA6EF453E393377CC4DFD762419BA56F69757401928F43AAA635961C34D943E31954EC599CE99361EEF7261A0E26B98DE0385S0i2D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B2FF63433490AD08285535E4E4032DFA19DA6E3C28B3A035923304DB22CE955524F34C2F3129A972BEF6CB94C2C1DDED38E0E27777x8r3H" TargetMode="External"/><Relationship Id="rId14" Type="http://schemas.openxmlformats.org/officeDocument/2006/relationships/hyperlink" Target="consultantplus://offline/ref=13CEE68D167EEC3863D38E7DA9419EBDEB52C2B41DCF80A6D54C08D4C8D559EF6E95C1A2F2D7CCBACD477F65C2zEz7H" TargetMode="External"/><Relationship Id="rId22" Type="http://schemas.openxmlformats.org/officeDocument/2006/relationships/hyperlink" Target="consultantplus://offline/ref=16FBC6438CA6AD7B990A3356EBE9193FDE228593A72288A5BD9E49EC7711151031BA94273BA145F699D309291895A6574503CC07F05FAB75K5l3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241F9B9CF6F0812AA9B49F9E3B56DFD2B25C07A5C30050D0F662F744F2AAD2400CC1E61E26CB37864D800400F7C5B570D0B63386154A11DFb1e6G" TargetMode="External"/><Relationship Id="rId2" Type="http://schemas.openxmlformats.org/officeDocument/2006/relationships/hyperlink" Target="consultantplus://offline/ref=296290DA5BC96491C0247EBC67D4B248E108E8F71E430DEB388E387DCD5156F6F91117190802C4CCEA0BC4DCA0VCt0D" TargetMode="External"/><Relationship Id="rId1" Type="http://schemas.openxmlformats.org/officeDocument/2006/relationships/hyperlink" Target="consultantplus://offline/ref=85D324E39A518E18A13F56AF592374611C6C5B303A3BE6ABD215E4F417CAE093C57D19326C3A8967DE782936aAzEH" TargetMode="External"/><Relationship Id="rId5" Type="http://schemas.openxmlformats.org/officeDocument/2006/relationships/hyperlink" Target="consultantplus://offline/ref=0E44FE2299679009D09D74FB995E3062C847632D91CCFD29C56E51C5C9FD39BCD075A23C5ED1B937B271E6A851f9l0G" TargetMode="External"/><Relationship Id="rId4" Type="http://schemas.openxmlformats.org/officeDocument/2006/relationships/hyperlink" Target="consultantplus://offline/ref=C16604EC1E9DAB4BBE07B680D6B6187C2AE26ABA7419AD3897C0701BB6B6F7A3FA78E57506EC2021805A025AC0356D251879FD9F71F6F6BFxF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Марина Кузнецова</cp:lastModifiedBy>
  <cp:revision>2</cp:revision>
  <dcterms:created xsi:type="dcterms:W3CDTF">2024-09-10T10:20:00Z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DFE40E804D874E82A62600E890C420E6_13</vt:lpwstr>
  </property>
</Properties>
</file>