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8A" w:rsidRPr="00C838F0" w:rsidRDefault="00EF7B87" w:rsidP="00EE62CA">
      <w:pPr>
        <w:jc w:val="right"/>
        <w:rPr>
          <w:rFonts w:ascii="Times New Roman" w:hAnsi="Times New Roman" w:cs="Times New Roman"/>
          <w:b/>
          <w:bCs/>
          <w:sz w:val="22"/>
          <w:szCs w:val="22"/>
        </w:rPr>
      </w:pPr>
      <w:r w:rsidRPr="00C838F0">
        <w:rPr>
          <w:rFonts w:ascii="Times New Roman" w:hAnsi="Times New Roman" w:cs="Times New Roman"/>
          <w:b/>
          <w:bCs/>
          <w:sz w:val="22"/>
          <w:szCs w:val="22"/>
        </w:rPr>
        <w:t>Приложение № 1</w:t>
      </w:r>
      <w:r w:rsidR="00831485" w:rsidRPr="00C838F0">
        <w:rPr>
          <w:rFonts w:ascii="Times New Roman" w:hAnsi="Times New Roman" w:cs="Times New Roman"/>
          <w:b/>
          <w:bCs/>
          <w:sz w:val="22"/>
          <w:szCs w:val="22"/>
        </w:rPr>
        <w:t xml:space="preserve"> </w:t>
      </w:r>
    </w:p>
    <w:p w:rsidR="00902886" w:rsidRPr="00C838F0" w:rsidRDefault="00831485" w:rsidP="00EE62CA">
      <w:pPr>
        <w:jc w:val="right"/>
        <w:rPr>
          <w:rFonts w:ascii="Times New Roman" w:hAnsi="Times New Roman" w:cs="Times New Roman"/>
          <w:sz w:val="22"/>
          <w:szCs w:val="22"/>
        </w:rPr>
      </w:pPr>
      <w:r w:rsidRPr="00C838F0">
        <w:rPr>
          <w:rFonts w:ascii="Times New Roman" w:hAnsi="Times New Roman" w:cs="Times New Roman"/>
          <w:b/>
          <w:bCs/>
          <w:sz w:val="22"/>
          <w:szCs w:val="22"/>
        </w:rPr>
        <w:t xml:space="preserve">к </w:t>
      </w:r>
      <w:r w:rsidR="00EF7B87" w:rsidRPr="00C838F0">
        <w:rPr>
          <w:rFonts w:ascii="Times New Roman" w:hAnsi="Times New Roman" w:cs="Times New Roman"/>
          <w:b/>
          <w:bCs/>
          <w:sz w:val="22"/>
          <w:szCs w:val="22"/>
        </w:rPr>
        <w:t>документации о проведении конкурса</w:t>
      </w:r>
    </w:p>
    <w:p w:rsidR="00BF11FC" w:rsidRPr="00C838F0" w:rsidRDefault="00BF11FC" w:rsidP="00EE62CA">
      <w:pPr>
        <w:keepNext/>
        <w:keepLines/>
        <w:autoSpaceDN w:val="0"/>
        <w:jc w:val="center"/>
        <w:textAlignment w:val="baseline"/>
        <w:rPr>
          <w:rFonts w:ascii="Times New Roman" w:hAnsi="Times New Roman" w:cs="Times New Roman"/>
          <w:b/>
          <w:color w:val="000000"/>
          <w:kern w:val="3"/>
          <w:sz w:val="22"/>
          <w:szCs w:val="22"/>
        </w:rPr>
      </w:pPr>
    </w:p>
    <w:p w:rsidR="00DA497A" w:rsidRPr="00C838F0" w:rsidRDefault="00A7015D" w:rsidP="00EE62CA">
      <w:pPr>
        <w:keepNext/>
        <w:keepLines/>
        <w:autoSpaceDN w:val="0"/>
        <w:jc w:val="center"/>
        <w:textAlignment w:val="baseline"/>
        <w:rPr>
          <w:rFonts w:ascii="Times New Roman" w:hAnsi="Times New Roman" w:cs="Times New Roman"/>
          <w:b/>
          <w:color w:val="000000"/>
          <w:kern w:val="3"/>
          <w:sz w:val="22"/>
          <w:szCs w:val="22"/>
        </w:rPr>
      </w:pPr>
      <w:r w:rsidRPr="00C838F0">
        <w:rPr>
          <w:rFonts w:ascii="Times New Roman" w:hAnsi="Times New Roman" w:cs="Times New Roman"/>
          <w:b/>
          <w:color w:val="000000"/>
          <w:kern w:val="3"/>
          <w:sz w:val="22"/>
          <w:szCs w:val="22"/>
        </w:rPr>
        <w:t>Критерии</w:t>
      </w:r>
      <w:r w:rsidR="00DA497A" w:rsidRPr="00C838F0">
        <w:rPr>
          <w:rFonts w:ascii="Times New Roman" w:hAnsi="Times New Roman" w:cs="Times New Roman"/>
          <w:b/>
          <w:color w:val="000000"/>
          <w:kern w:val="3"/>
          <w:sz w:val="22"/>
          <w:szCs w:val="22"/>
        </w:rPr>
        <w:t xml:space="preserve"> оценки заявок на участие в открытом конкурсе в электронной форме</w:t>
      </w:r>
    </w:p>
    <w:p w:rsidR="00423969" w:rsidRPr="00C838F0" w:rsidRDefault="00423969" w:rsidP="00EE62CA">
      <w:pPr>
        <w:pStyle w:val="ac"/>
        <w:keepNext/>
        <w:keepLines/>
        <w:numPr>
          <w:ilvl w:val="0"/>
          <w:numId w:val="1"/>
        </w:numPr>
        <w:autoSpaceDN w:val="0"/>
        <w:ind w:left="0" w:firstLine="0"/>
        <w:jc w:val="both"/>
        <w:textAlignment w:val="baseline"/>
        <w:outlineLvl w:val="0"/>
        <w:rPr>
          <w:rFonts w:ascii="Times New Roman" w:eastAsia="Times New Roman" w:hAnsi="Times New Roman" w:cs="Times New Roman"/>
          <w:color w:val="000000"/>
          <w:kern w:val="3"/>
          <w:sz w:val="22"/>
          <w:szCs w:val="22"/>
          <w:lang w:eastAsia="ru-RU"/>
        </w:rPr>
      </w:pPr>
      <w:r w:rsidRPr="00C838F0">
        <w:rPr>
          <w:rFonts w:ascii="Times New Roman" w:eastAsia="Times New Roman" w:hAnsi="Times New Roman" w:cs="Times New Roman"/>
          <w:color w:val="000000"/>
          <w:kern w:val="3"/>
          <w:sz w:val="22"/>
          <w:szCs w:val="22"/>
          <w:lang w:eastAsia="ru-RU"/>
        </w:rPr>
        <w:t xml:space="preserve">Оценка заявок на участие в открытом конкурсе в электронной форме осуществляется в соответствии с </w:t>
      </w:r>
      <w:r w:rsidR="003D6163" w:rsidRPr="00C838F0">
        <w:rPr>
          <w:rFonts w:ascii="Times New Roman" w:eastAsia="Times New Roman" w:hAnsi="Times New Roman" w:cs="Times New Roman"/>
          <w:color w:val="000000"/>
          <w:kern w:val="3"/>
          <w:sz w:val="22"/>
          <w:szCs w:val="22"/>
          <w:lang w:eastAsia="ru-RU"/>
        </w:rPr>
        <w:t xml:space="preserve">порядком, утвержденным </w:t>
      </w:r>
      <w:r w:rsidRPr="00C838F0">
        <w:rPr>
          <w:rFonts w:ascii="Times New Roman" w:eastAsia="Times New Roman" w:hAnsi="Times New Roman" w:cs="Times New Roman"/>
          <w:color w:val="000000"/>
          <w:kern w:val="3"/>
          <w:sz w:val="22"/>
          <w:szCs w:val="22"/>
          <w:lang w:eastAsia="ru-RU"/>
        </w:rPr>
        <w:t>Положением о закупках.</w:t>
      </w:r>
    </w:p>
    <w:p w:rsidR="0055417A" w:rsidRPr="00C838F0" w:rsidRDefault="00DA497A" w:rsidP="00EE62CA">
      <w:pPr>
        <w:pStyle w:val="ac"/>
        <w:numPr>
          <w:ilvl w:val="0"/>
          <w:numId w:val="1"/>
        </w:numPr>
        <w:autoSpaceDN w:val="0"/>
        <w:ind w:left="0" w:firstLine="0"/>
        <w:jc w:val="both"/>
        <w:textAlignment w:val="baseline"/>
        <w:rPr>
          <w:rFonts w:ascii="Times New Roman" w:eastAsia="Times New Roman" w:hAnsi="Times New Roman" w:cs="Times New Roman"/>
          <w:color w:val="000000"/>
          <w:kern w:val="3"/>
          <w:sz w:val="22"/>
          <w:szCs w:val="22"/>
          <w:lang w:eastAsia="ru-RU"/>
        </w:rPr>
      </w:pPr>
      <w:r w:rsidRPr="00C838F0">
        <w:rPr>
          <w:rFonts w:ascii="Times New Roman" w:hAnsi="Times New Roman" w:cs="Times New Roman"/>
          <w:color w:val="000000"/>
          <w:kern w:val="3"/>
          <w:sz w:val="22"/>
          <w:szCs w:val="22"/>
        </w:rPr>
        <w:t xml:space="preserve">Для оценки заявок (предложений) заказчик устанавливает в </w:t>
      </w:r>
      <w:r w:rsidRPr="00C838F0">
        <w:rPr>
          <w:rFonts w:ascii="Times New Roman" w:eastAsia="Times New Roman" w:hAnsi="Times New Roman" w:cs="Times New Roman"/>
          <w:color w:val="000000"/>
          <w:kern w:val="3"/>
          <w:sz w:val="22"/>
          <w:szCs w:val="22"/>
          <w:lang w:eastAsia="ru-RU"/>
        </w:rPr>
        <w:t xml:space="preserve">документации о закупке следующие критерии </w:t>
      </w:r>
      <w:r w:rsidR="0055417A" w:rsidRPr="00C838F0">
        <w:rPr>
          <w:rFonts w:ascii="Times New Roman" w:eastAsia="Times New Roman" w:hAnsi="Times New Roman" w:cs="Times New Roman"/>
          <w:color w:val="000000"/>
          <w:kern w:val="3"/>
          <w:sz w:val="22"/>
          <w:szCs w:val="22"/>
          <w:lang w:eastAsia="ru-RU"/>
        </w:rPr>
        <w:t>и показатели оценки заявок на участие в закупке:</w:t>
      </w:r>
    </w:p>
    <w:tbl>
      <w:tblPr>
        <w:tblStyle w:val="ad"/>
        <w:tblW w:w="15217" w:type="dxa"/>
        <w:tblInd w:w="108" w:type="dxa"/>
        <w:tblLayout w:type="fixed"/>
        <w:tblLook w:val="04A0" w:firstRow="1" w:lastRow="0" w:firstColumn="1" w:lastColumn="0" w:noHBand="0" w:noVBand="1"/>
      </w:tblPr>
      <w:tblGrid>
        <w:gridCol w:w="1134"/>
        <w:gridCol w:w="1936"/>
        <w:gridCol w:w="1041"/>
        <w:gridCol w:w="1359"/>
        <w:gridCol w:w="9747"/>
      </w:tblGrid>
      <w:tr w:rsidR="008E00B7" w:rsidRPr="00C838F0" w:rsidTr="00006663">
        <w:trPr>
          <w:trHeight w:val="233"/>
        </w:trPr>
        <w:tc>
          <w:tcPr>
            <w:tcW w:w="1134" w:type="dxa"/>
          </w:tcPr>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Критерий оценки</w:t>
            </w:r>
          </w:p>
        </w:tc>
        <w:tc>
          <w:tcPr>
            <w:tcW w:w="1936" w:type="dxa"/>
          </w:tcPr>
          <w:p w:rsidR="008E00B7" w:rsidRPr="00C838F0" w:rsidRDefault="008E00B7" w:rsidP="00EE62CA">
            <w:pPr>
              <w:jc w:val="center"/>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Показатель оценки</w:t>
            </w:r>
          </w:p>
        </w:tc>
        <w:tc>
          <w:tcPr>
            <w:tcW w:w="1041" w:type="dxa"/>
          </w:tcPr>
          <w:p w:rsidR="008E00B7" w:rsidRPr="00C838F0" w:rsidRDefault="008E00B7" w:rsidP="00EE62CA">
            <w:pPr>
              <w:jc w:val="center"/>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Значимость критерия оценки, %</w:t>
            </w:r>
          </w:p>
        </w:tc>
        <w:tc>
          <w:tcPr>
            <w:tcW w:w="1359" w:type="dxa"/>
          </w:tcPr>
          <w:p w:rsidR="008E00B7" w:rsidRPr="00C838F0" w:rsidRDefault="008E00B7" w:rsidP="00EE62CA">
            <w:pPr>
              <w:jc w:val="center"/>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Значимость детализирующего показателя</w:t>
            </w:r>
          </w:p>
        </w:tc>
        <w:tc>
          <w:tcPr>
            <w:tcW w:w="9747" w:type="dxa"/>
          </w:tcPr>
          <w:p w:rsidR="008E00B7" w:rsidRPr="00C838F0" w:rsidRDefault="008E00B7" w:rsidP="00EE62CA">
            <w:pPr>
              <w:jc w:val="center"/>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Положение о применения критерия оценки, показателя оценки</w:t>
            </w:r>
          </w:p>
        </w:tc>
      </w:tr>
      <w:tr w:rsidR="008E00B7" w:rsidRPr="00C838F0" w:rsidTr="00006663">
        <w:trPr>
          <w:trHeight w:val="626"/>
        </w:trPr>
        <w:tc>
          <w:tcPr>
            <w:tcW w:w="1134" w:type="dxa"/>
          </w:tcPr>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1) стоимостные критерии оценки</w:t>
            </w:r>
          </w:p>
        </w:tc>
        <w:tc>
          <w:tcPr>
            <w:tcW w:w="1936" w:type="dxa"/>
          </w:tcPr>
          <w:p w:rsidR="008E00B7" w:rsidRPr="00C838F0" w:rsidRDefault="008E00B7" w:rsidP="00EE62CA">
            <w:pPr>
              <w:pStyle w:val="ac"/>
              <w:autoSpaceDN w:val="0"/>
              <w:ind w:left="0"/>
              <w:jc w:val="both"/>
              <w:textAlignment w:val="baseline"/>
              <w:rPr>
                <w:rFonts w:ascii="Times New Roman" w:hAnsi="Times New Roman" w:cs="Times New Roman"/>
                <w:b/>
                <w:color w:val="000000"/>
                <w:kern w:val="3"/>
                <w:sz w:val="20"/>
                <w:szCs w:val="20"/>
              </w:rPr>
            </w:pPr>
            <w:proofErr w:type="spellStart"/>
            <w:r w:rsidRPr="00C838F0">
              <w:rPr>
                <w:rFonts w:ascii="Times New Roman" w:hAnsi="Times New Roman" w:cs="Times New Roman"/>
                <w:b/>
                <w:color w:val="000000"/>
                <w:kern w:val="3"/>
                <w:sz w:val="20"/>
                <w:szCs w:val="20"/>
              </w:rPr>
              <w:t>ЦБi</w:t>
            </w:r>
            <w:proofErr w:type="spellEnd"/>
            <w:r w:rsidRPr="00C838F0">
              <w:rPr>
                <w:rFonts w:ascii="Times New Roman" w:hAnsi="Times New Roman" w:cs="Times New Roman"/>
                <w:b/>
                <w:color w:val="000000"/>
                <w:kern w:val="3"/>
                <w:sz w:val="20"/>
                <w:szCs w:val="20"/>
              </w:rPr>
              <w:t>-</w:t>
            </w:r>
          </w:p>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цена договора или сумма цен единиц товара, работы, услуги</w:t>
            </w:r>
          </w:p>
        </w:tc>
        <w:tc>
          <w:tcPr>
            <w:tcW w:w="1041" w:type="dxa"/>
          </w:tcPr>
          <w:p w:rsidR="008E00B7" w:rsidRPr="00C838F0" w:rsidRDefault="0083467A" w:rsidP="00EE62CA">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w:t>
            </w:r>
            <w:r w:rsidR="008E00B7" w:rsidRPr="00C838F0">
              <w:rPr>
                <w:rFonts w:ascii="Times New Roman" w:hAnsi="Times New Roman" w:cs="Times New Roman"/>
                <w:color w:val="000000"/>
                <w:kern w:val="3"/>
                <w:sz w:val="20"/>
                <w:szCs w:val="20"/>
              </w:rPr>
              <w:t xml:space="preserve">0% </w:t>
            </w:r>
            <w:r w:rsidR="008E00B7" w:rsidRPr="00C838F0">
              <w:rPr>
                <w:sz w:val="20"/>
                <w:szCs w:val="20"/>
              </w:rPr>
              <w:t>(</w:t>
            </w:r>
            <w:r>
              <w:rPr>
                <w:sz w:val="20"/>
                <w:szCs w:val="20"/>
              </w:rPr>
              <w:t>максимальное количество баллов 5</w:t>
            </w:r>
            <w:r w:rsidR="008E00B7" w:rsidRPr="00C838F0">
              <w:rPr>
                <w:sz w:val="20"/>
                <w:szCs w:val="20"/>
              </w:rPr>
              <w:t>0)</w:t>
            </w:r>
          </w:p>
        </w:tc>
        <w:tc>
          <w:tcPr>
            <w:tcW w:w="1359" w:type="dxa"/>
          </w:tcPr>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p>
        </w:tc>
        <w:tc>
          <w:tcPr>
            <w:tcW w:w="9747" w:type="dxa"/>
          </w:tcPr>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Предложение участника закупки о цене договора (далее - ценовое предложение)</w:t>
            </w:r>
            <w:r w:rsidRPr="00C838F0">
              <w:rPr>
                <w:sz w:val="20"/>
                <w:szCs w:val="20"/>
              </w:rPr>
              <w:t xml:space="preserve"> </w:t>
            </w:r>
          </w:p>
          <w:p w:rsidR="008E00B7" w:rsidRPr="00C838F0" w:rsidRDefault="008E00B7" w:rsidP="00EE62CA">
            <w:pPr>
              <w:pStyle w:val="ac"/>
              <w:autoSpaceDN w:val="0"/>
              <w:ind w:left="0"/>
              <w:jc w:val="both"/>
              <w:textAlignment w:val="baseline"/>
              <w:rPr>
                <w:rFonts w:ascii="Times New Roman" w:hAnsi="Times New Roman" w:cs="Times New Roman"/>
                <w:color w:val="000000"/>
                <w:kern w:val="3"/>
                <w:sz w:val="20"/>
                <w:szCs w:val="20"/>
              </w:rPr>
            </w:pPr>
          </w:p>
        </w:tc>
      </w:tr>
      <w:tr w:rsidR="00793E70" w:rsidRPr="00C838F0" w:rsidTr="00006663">
        <w:trPr>
          <w:trHeight w:val="297"/>
        </w:trPr>
        <w:tc>
          <w:tcPr>
            <w:tcW w:w="1134" w:type="dxa"/>
            <w:vMerge w:val="restart"/>
          </w:tcPr>
          <w:p w:rsidR="00793E70" w:rsidRPr="00C838F0" w:rsidRDefault="00793E70"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 xml:space="preserve">2) </w:t>
            </w:r>
            <w:proofErr w:type="spellStart"/>
            <w:r w:rsidRPr="00C838F0">
              <w:rPr>
                <w:rFonts w:ascii="Times New Roman" w:hAnsi="Times New Roman" w:cs="Times New Roman"/>
                <w:color w:val="000000"/>
                <w:kern w:val="3"/>
                <w:sz w:val="20"/>
                <w:szCs w:val="20"/>
              </w:rPr>
              <w:t>нестоимостные</w:t>
            </w:r>
            <w:proofErr w:type="spellEnd"/>
            <w:r w:rsidRPr="00C838F0">
              <w:rPr>
                <w:rFonts w:ascii="Times New Roman" w:hAnsi="Times New Roman" w:cs="Times New Roman"/>
                <w:color w:val="000000"/>
                <w:kern w:val="3"/>
                <w:sz w:val="20"/>
                <w:szCs w:val="20"/>
              </w:rPr>
              <w:t xml:space="preserve"> критерии оценки</w:t>
            </w:r>
            <w:r>
              <w:rPr>
                <w:rFonts w:ascii="Times New Roman" w:hAnsi="Times New Roman" w:cs="Times New Roman"/>
                <w:color w:val="000000"/>
                <w:kern w:val="3"/>
                <w:sz w:val="20"/>
                <w:szCs w:val="20"/>
              </w:rPr>
              <w:t xml:space="preserve"> </w:t>
            </w:r>
            <w:r w:rsidRPr="00EB4557">
              <w:rPr>
                <w:rFonts w:ascii="Times New Roman" w:hAnsi="Times New Roman" w:cs="Times New Roman"/>
                <w:color w:val="000000"/>
                <w:kern w:val="3"/>
                <w:sz w:val="20"/>
                <w:szCs w:val="20"/>
              </w:rPr>
              <w:t>«квалификация участников закупки, в том числе наличие у них финансовых ресурсов, оборудования и других материаль</w:t>
            </w:r>
            <w:r w:rsidRPr="00EB4557">
              <w:rPr>
                <w:rFonts w:ascii="Times New Roman" w:hAnsi="Times New Roman" w:cs="Times New Roman"/>
                <w:color w:val="000000"/>
                <w:kern w:val="3"/>
                <w:sz w:val="20"/>
                <w:szCs w:val="20"/>
              </w:rPr>
              <w:lastRenderedPageBreak/>
              <w:t>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cs="Times New Roman"/>
                <w:color w:val="000000"/>
                <w:kern w:val="3"/>
                <w:sz w:val="20"/>
                <w:szCs w:val="20"/>
              </w:rPr>
              <w:t xml:space="preserve"> </w:t>
            </w:r>
          </w:p>
        </w:tc>
        <w:tc>
          <w:tcPr>
            <w:tcW w:w="1936" w:type="dxa"/>
          </w:tcPr>
          <w:p w:rsidR="00793E70" w:rsidRPr="00C838F0" w:rsidRDefault="00793E70" w:rsidP="00EE62CA">
            <w:pPr>
              <w:pStyle w:val="ac"/>
              <w:autoSpaceDN w:val="0"/>
              <w:ind w:left="0"/>
              <w:jc w:val="both"/>
              <w:textAlignment w:val="baseline"/>
              <w:rPr>
                <w:rFonts w:ascii="Times New Roman" w:hAnsi="Times New Roman" w:cs="Times New Roman"/>
                <w:b/>
                <w:color w:val="000000"/>
                <w:kern w:val="3"/>
                <w:sz w:val="20"/>
                <w:szCs w:val="20"/>
              </w:rPr>
            </w:pPr>
            <w:proofErr w:type="spellStart"/>
            <w:r w:rsidRPr="00C838F0">
              <w:rPr>
                <w:rFonts w:ascii="Times New Roman" w:hAnsi="Times New Roman" w:cs="Times New Roman"/>
                <w:b/>
                <w:color w:val="000000"/>
                <w:kern w:val="3"/>
                <w:sz w:val="20"/>
                <w:szCs w:val="20"/>
              </w:rPr>
              <w:lastRenderedPageBreak/>
              <w:t>НЦБ</w:t>
            </w:r>
            <w:proofErr w:type="gramStart"/>
            <w:r w:rsidRPr="00C838F0">
              <w:rPr>
                <w:rFonts w:ascii="Times New Roman" w:hAnsi="Times New Roman" w:cs="Times New Roman"/>
                <w:b/>
                <w:color w:val="000000"/>
                <w:kern w:val="3"/>
                <w:sz w:val="20"/>
                <w:szCs w:val="20"/>
              </w:rPr>
              <w:t>i</w:t>
            </w:r>
            <w:proofErr w:type="spellEnd"/>
            <w:proofErr w:type="gramEnd"/>
            <w:r w:rsidRPr="00C838F0">
              <w:rPr>
                <w:rFonts w:ascii="Times New Roman" w:hAnsi="Times New Roman" w:cs="Times New Roman"/>
                <w:b/>
                <w:color w:val="000000"/>
                <w:kern w:val="3"/>
                <w:sz w:val="20"/>
                <w:szCs w:val="20"/>
              </w:rPr>
              <w:t xml:space="preserve">= </w:t>
            </w:r>
            <w:proofErr w:type="spellStart"/>
            <w:r w:rsidRPr="00C838F0">
              <w:rPr>
                <w:rFonts w:ascii="Times New Roman" w:hAnsi="Times New Roman" w:cs="Times New Roman"/>
                <w:b/>
                <w:color w:val="000000"/>
                <w:kern w:val="3"/>
                <w:sz w:val="20"/>
                <w:szCs w:val="20"/>
              </w:rPr>
              <w:t>НЦБi</w:t>
            </w:r>
            <w:proofErr w:type="spellEnd"/>
            <w:r w:rsidRPr="00C838F0">
              <w:rPr>
                <w:rFonts w:ascii="Times New Roman" w:hAnsi="Times New Roman" w:cs="Times New Roman"/>
                <w:b/>
                <w:color w:val="000000"/>
                <w:kern w:val="3"/>
                <w:sz w:val="20"/>
                <w:szCs w:val="20"/>
              </w:rPr>
              <w:t xml:space="preserve">(1)+ </w:t>
            </w:r>
            <w:proofErr w:type="spellStart"/>
            <w:r w:rsidRPr="00C838F0">
              <w:rPr>
                <w:rFonts w:ascii="Times New Roman" w:hAnsi="Times New Roman" w:cs="Times New Roman"/>
                <w:b/>
                <w:color w:val="000000"/>
                <w:kern w:val="3"/>
                <w:sz w:val="20"/>
                <w:szCs w:val="20"/>
              </w:rPr>
              <w:t>НЦБi</w:t>
            </w:r>
            <w:proofErr w:type="spellEnd"/>
            <w:r w:rsidRPr="00C838F0">
              <w:rPr>
                <w:rFonts w:ascii="Times New Roman" w:hAnsi="Times New Roman" w:cs="Times New Roman"/>
                <w:b/>
                <w:color w:val="000000"/>
                <w:kern w:val="3"/>
                <w:sz w:val="20"/>
                <w:szCs w:val="20"/>
              </w:rPr>
              <w:t>(2</w:t>
            </w:r>
            <w:r w:rsidR="00482B44">
              <w:rPr>
                <w:rFonts w:ascii="Times New Roman" w:hAnsi="Times New Roman" w:cs="Times New Roman"/>
                <w:b/>
                <w:color w:val="000000"/>
                <w:kern w:val="3"/>
                <w:sz w:val="20"/>
                <w:szCs w:val="20"/>
              </w:rPr>
              <w:t>)</w:t>
            </w:r>
          </w:p>
          <w:p w:rsidR="00793E70" w:rsidRPr="00C838F0" w:rsidRDefault="00793E70"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 xml:space="preserve">квалификация участников закупки, в </w:t>
            </w:r>
            <w:proofErr w:type="spellStart"/>
            <w:r w:rsidRPr="00C838F0">
              <w:rPr>
                <w:rFonts w:ascii="Times New Roman" w:hAnsi="Times New Roman" w:cs="Times New Roman"/>
                <w:color w:val="000000"/>
                <w:kern w:val="3"/>
                <w:sz w:val="20"/>
                <w:szCs w:val="20"/>
              </w:rPr>
              <w:t>т.ч</w:t>
            </w:r>
            <w:proofErr w:type="spellEnd"/>
            <w:r w:rsidRPr="00C838F0">
              <w:rPr>
                <w:rFonts w:ascii="Times New Roman" w:hAnsi="Times New Roman" w:cs="Times New Roman"/>
                <w:color w:val="000000"/>
                <w:kern w:val="3"/>
                <w:sz w:val="20"/>
                <w:szCs w:val="20"/>
              </w:rPr>
              <w:t>. детализирующие показатели:</w:t>
            </w:r>
          </w:p>
        </w:tc>
        <w:tc>
          <w:tcPr>
            <w:tcW w:w="1041" w:type="dxa"/>
            <w:vMerge w:val="restart"/>
          </w:tcPr>
          <w:p w:rsidR="00793E70" w:rsidRPr="00C838F0" w:rsidRDefault="00F21261" w:rsidP="00EE62CA">
            <w:pPr>
              <w:pStyle w:val="ac"/>
              <w:autoSpaceDN w:val="0"/>
              <w:ind w:left="0"/>
              <w:jc w:val="both"/>
              <w:textAlignment w:val="baseline"/>
              <w:rPr>
                <w:rFonts w:ascii="Times New Roman" w:hAnsi="Times New Roman" w:cs="Times New Roman"/>
                <w:kern w:val="3"/>
                <w:sz w:val="20"/>
                <w:szCs w:val="20"/>
              </w:rPr>
            </w:pPr>
            <w:r>
              <w:rPr>
                <w:rFonts w:ascii="Times New Roman" w:hAnsi="Times New Roman" w:cs="Times New Roman"/>
                <w:kern w:val="3"/>
                <w:sz w:val="20"/>
                <w:szCs w:val="20"/>
              </w:rPr>
              <w:t>5</w:t>
            </w:r>
            <w:r w:rsidR="00793E70" w:rsidRPr="00C838F0">
              <w:rPr>
                <w:rFonts w:ascii="Times New Roman" w:hAnsi="Times New Roman" w:cs="Times New Roman"/>
                <w:kern w:val="3"/>
                <w:sz w:val="20"/>
                <w:szCs w:val="20"/>
              </w:rPr>
              <w:t xml:space="preserve">0% </w:t>
            </w:r>
            <w:r w:rsidR="00793E70" w:rsidRPr="00C838F0">
              <w:rPr>
                <w:sz w:val="20"/>
                <w:szCs w:val="20"/>
              </w:rPr>
              <w:t>(</w:t>
            </w:r>
            <w:r w:rsidR="0083467A">
              <w:rPr>
                <w:sz w:val="20"/>
                <w:szCs w:val="20"/>
              </w:rPr>
              <w:t>максимальное количество баллов 5</w:t>
            </w:r>
            <w:r w:rsidR="00793E70" w:rsidRPr="00C838F0">
              <w:rPr>
                <w:sz w:val="20"/>
                <w:szCs w:val="20"/>
              </w:rPr>
              <w:t>0)</w:t>
            </w:r>
          </w:p>
        </w:tc>
        <w:tc>
          <w:tcPr>
            <w:tcW w:w="1359" w:type="dxa"/>
          </w:tcPr>
          <w:p w:rsidR="00793E70" w:rsidRPr="00C838F0" w:rsidRDefault="00793E70" w:rsidP="00EE62CA">
            <w:pPr>
              <w:pStyle w:val="ac"/>
              <w:autoSpaceDN w:val="0"/>
              <w:ind w:left="0"/>
              <w:jc w:val="both"/>
              <w:textAlignment w:val="baseline"/>
              <w:rPr>
                <w:rFonts w:ascii="Times New Roman" w:hAnsi="Times New Roman" w:cs="Times New Roman"/>
                <w:color w:val="000000"/>
                <w:kern w:val="3"/>
                <w:sz w:val="20"/>
                <w:szCs w:val="20"/>
              </w:rPr>
            </w:pPr>
          </w:p>
        </w:tc>
        <w:tc>
          <w:tcPr>
            <w:tcW w:w="9747" w:type="dxa"/>
          </w:tcPr>
          <w:p w:rsidR="00793E70" w:rsidRPr="00C838F0" w:rsidRDefault="00793E70"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793E70" w:rsidRPr="00C838F0" w:rsidRDefault="00793E70" w:rsidP="00EE62CA">
            <w:pPr>
              <w:pStyle w:val="ac"/>
              <w:autoSpaceDN w:val="0"/>
              <w:ind w:left="0"/>
              <w:jc w:val="both"/>
              <w:textAlignment w:val="baseline"/>
              <w:rPr>
                <w:rFonts w:ascii="Times New Roman" w:hAnsi="Times New Roman" w:cs="Times New Roman"/>
                <w:color w:val="000000"/>
                <w:kern w:val="3"/>
                <w:sz w:val="20"/>
                <w:szCs w:val="20"/>
              </w:rPr>
            </w:pPr>
            <w:r w:rsidRPr="00C838F0">
              <w:rPr>
                <w:rFonts w:ascii="Times New Roman" w:hAnsi="Times New Roman" w:cs="Times New Roman"/>
                <w:color w:val="000000"/>
                <w:kern w:val="3"/>
                <w:sz w:val="20"/>
                <w:szCs w:val="20"/>
              </w:rPr>
              <w:t>Для показателя оценки применяются детализирующие показатели.</w:t>
            </w:r>
          </w:p>
        </w:tc>
      </w:tr>
      <w:tr w:rsidR="0083467A" w:rsidRPr="00C838F0" w:rsidTr="00006663">
        <w:trPr>
          <w:trHeight w:val="273"/>
        </w:trPr>
        <w:tc>
          <w:tcPr>
            <w:tcW w:w="1134" w:type="dxa"/>
            <w:vMerge/>
          </w:tcPr>
          <w:p w:rsidR="0083467A" w:rsidRPr="00C838F0" w:rsidRDefault="0083467A" w:rsidP="00EE62CA">
            <w:pPr>
              <w:pStyle w:val="ac"/>
              <w:autoSpaceDN w:val="0"/>
              <w:ind w:left="0"/>
              <w:jc w:val="both"/>
              <w:textAlignment w:val="baseline"/>
              <w:rPr>
                <w:rFonts w:ascii="Times New Roman" w:hAnsi="Times New Roman" w:cs="Times New Roman"/>
                <w:color w:val="000000"/>
                <w:kern w:val="3"/>
                <w:sz w:val="20"/>
                <w:szCs w:val="20"/>
              </w:rPr>
            </w:pPr>
          </w:p>
        </w:tc>
        <w:tc>
          <w:tcPr>
            <w:tcW w:w="1936" w:type="dxa"/>
          </w:tcPr>
          <w:p w:rsidR="0083467A" w:rsidRDefault="0083467A">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-деловая репутация участника закупки</w:t>
            </w:r>
            <w:r w:rsidR="00482B44">
              <w:rPr>
                <w:rFonts w:ascii="Times New Roman" w:hAnsi="Times New Roman" w:cs="Times New Roman"/>
                <w:b/>
                <w:color w:val="000000"/>
                <w:kern w:val="3"/>
                <w:sz w:val="20"/>
                <w:szCs w:val="20"/>
              </w:rPr>
              <w:t xml:space="preserve"> </w:t>
            </w:r>
            <w:proofErr w:type="spellStart"/>
            <w:r w:rsidR="00482B44">
              <w:rPr>
                <w:rFonts w:ascii="Times New Roman" w:hAnsi="Times New Roman" w:cs="Times New Roman"/>
                <w:b/>
                <w:color w:val="000000"/>
                <w:kern w:val="3"/>
                <w:sz w:val="20"/>
                <w:szCs w:val="20"/>
              </w:rPr>
              <w:t>НЦБ</w:t>
            </w:r>
            <w:proofErr w:type="gramStart"/>
            <w:r w:rsidR="00482B44">
              <w:rPr>
                <w:rFonts w:ascii="Times New Roman" w:hAnsi="Times New Roman" w:cs="Times New Roman"/>
                <w:b/>
                <w:color w:val="000000"/>
                <w:kern w:val="3"/>
                <w:sz w:val="20"/>
                <w:szCs w:val="20"/>
              </w:rPr>
              <w:t>i</w:t>
            </w:r>
            <w:proofErr w:type="spellEnd"/>
            <w:proofErr w:type="gramEnd"/>
            <w:r w:rsidR="00482B44">
              <w:rPr>
                <w:rFonts w:ascii="Times New Roman" w:hAnsi="Times New Roman" w:cs="Times New Roman"/>
                <w:b/>
                <w:color w:val="000000"/>
                <w:kern w:val="3"/>
                <w:sz w:val="20"/>
                <w:szCs w:val="20"/>
              </w:rPr>
              <w:t>(1</w:t>
            </w:r>
            <w:r>
              <w:rPr>
                <w:rFonts w:ascii="Times New Roman" w:hAnsi="Times New Roman" w:cs="Times New Roman"/>
                <w:b/>
                <w:color w:val="000000"/>
                <w:kern w:val="3"/>
                <w:sz w:val="20"/>
                <w:szCs w:val="20"/>
              </w:rPr>
              <w:t>)</w:t>
            </w:r>
          </w:p>
        </w:tc>
        <w:tc>
          <w:tcPr>
            <w:tcW w:w="1041" w:type="dxa"/>
            <w:vMerge/>
          </w:tcPr>
          <w:p w:rsidR="0083467A" w:rsidRPr="00C838F0" w:rsidRDefault="0083467A" w:rsidP="00EE62CA">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83467A" w:rsidRDefault="0083467A">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 xml:space="preserve">25% </w:t>
            </w:r>
            <w:r>
              <w:rPr>
                <w:sz w:val="20"/>
                <w:szCs w:val="20"/>
              </w:rPr>
              <w:t>(максимальное количество баллов 25)</w:t>
            </w:r>
          </w:p>
        </w:tc>
        <w:tc>
          <w:tcPr>
            <w:tcW w:w="9747" w:type="dxa"/>
          </w:tcPr>
          <w:p w:rsidR="0083467A" w:rsidRDefault="0083467A">
            <w:pPr>
              <w:suppressAutoHyphens w:val="0"/>
              <w:autoSpaceDE w:val="0"/>
              <w:autoSpaceDN w:val="0"/>
              <w:adjustRightInd w:val="0"/>
              <w:jc w:val="both"/>
              <w:rPr>
                <w:sz w:val="20"/>
                <w:szCs w:val="20"/>
              </w:rPr>
            </w:pPr>
            <w:proofErr w:type="spellStart"/>
            <w:proofErr w:type="gramStart"/>
            <w:r>
              <w:rPr>
                <w:rFonts w:ascii="Times New Roman" w:hAnsi="Times New Roman" w:cs="Times New Roman"/>
                <w:color w:val="000000"/>
                <w:kern w:val="3"/>
                <w:sz w:val="20"/>
                <w:szCs w:val="20"/>
              </w:rPr>
              <w:t>K</w:t>
            </w:r>
            <w:proofErr w:type="gramEnd"/>
            <w:r>
              <w:rPr>
                <w:rFonts w:ascii="Times New Roman" w:hAnsi="Times New Roman" w:cs="Times New Roman"/>
                <w:color w:val="000000"/>
                <w:kern w:val="3"/>
                <w:sz w:val="20"/>
                <w:szCs w:val="20"/>
              </w:rPr>
              <w:t>пред</w:t>
            </w:r>
            <w:proofErr w:type="spellEnd"/>
            <w:r>
              <w:rPr>
                <w:rFonts w:ascii="Times New Roman" w:hAnsi="Times New Roman" w:cs="Times New Roman"/>
                <w:color w:val="000000"/>
                <w:kern w:val="3"/>
                <w:sz w:val="20"/>
                <w:szCs w:val="20"/>
              </w:rPr>
              <w:t xml:space="preserve"> (</w:t>
            </w:r>
            <w:r>
              <w:rPr>
                <w:sz w:val="20"/>
                <w:szCs w:val="20"/>
              </w:rPr>
              <w:t>предельно необходимое заказчику значение характеристик</w:t>
            </w:r>
            <w:r>
              <w:rPr>
                <w:rFonts w:ascii="Times New Roman" w:hAnsi="Times New Roman" w:cs="Times New Roman"/>
                <w:color w:val="000000"/>
                <w:kern w:val="3"/>
                <w:sz w:val="20"/>
                <w:szCs w:val="20"/>
              </w:rPr>
              <w:t xml:space="preserve">) = 0 решений судов </w:t>
            </w:r>
            <w:r>
              <w:rPr>
                <w:sz w:val="20"/>
                <w:szCs w:val="20"/>
              </w:rPr>
              <w:t xml:space="preserve">(наличие решений= 0 баллов; </w:t>
            </w:r>
            <w:r>
              <w:rPr>
                <w:rFonts w:ascii="Times New Roman" w:hAnsi="Times New Roman" w:cs="Times New Roman"/>
                <w:color w:val="000000"/>
                <w:kern w:val="3"/>
                <w:sz w:val="20"/>
                <w:szCs w:val="20"/>
              </w:rPr>
              <w:t>отсутствие решений</w:t>
            </w:r>
            <w:r>
              <w:rPr>
                <w:sz w:val="20"/>
                <w:szCs w:val="20"/>
              </w:rPr>
              <w:t xml:space="preserve"> судов= 100 баллов)</w:t>
            </w:r>
          </w:p>
          <w:p w:rsidR="0083467A" w:rsidRDefault="0083467A">
            <w:pPr>
              <w:suppressAutoHyphens w:val="0"/>
              <w:autoSpaceDE w:val="0"/>
              <w:autoSpaceDN w:val="0"/>
              <w:adjustRightInd w:val="0"/>
              <w:jc w:val="both"/>
              <w:rPr>
                <w:rFonts w:ascii="Times New Roman" w:hAnsi="Times New Roman" w:cs="Times New Roman"/>
                <w:color w:val="000000"/>
                <w:kern w:val="3"/>
                <w:sz w:val="20"/>
                <w:szCs w:val="20"/>
              </w:rPr>
            </w:pPr>
          </w:p>
          <w:p w:rsidR="0083467A" w:rsidRDefault="0083467A">
            <w:pPr>
              <w:jc w:val="both"/>
              <w:rPr>
                <w:rFonts w:ascii="Times New Roman" w:hAnsi="Times New Roman" w:cs="Times New Roman"/>
                <w:i/>
                <w:color w:val="000000"/>
                <w:kern w:val="3"/>
                <w:sz w:val="20"/>
                <w:szCs w:val="20"/>
              </w:rPr>
            </w:pPr>
            <w:proofErr w:type="gramStart"/>
            <w:r>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в качестве ответчика, связанного с неисполнением и/ или ненадлежащим исполнением обязательств по контракту/ договору в рамках Федерального закона РФ от 18.07.2011 года № 223-ФЗ «О закупках товаров, работ, услуг отдельными видами юридических лиц», Федерального закона РФ от 05.04.2013 № 44-ФЗ «О контрактной системе</w:t>
            </w:r>
            <w:proofErr w:type="gramEnd"/>
            <w:r>
              <w:rPr>
                <w:rFonts w:ascii="Times New Roman" w:hAnsi="Times New Roman" w:cs="Times New Roman"/>
                <w:i/>
                <w:color w:val="000000"/>
                <w:kern w:val="3"/>
                <w:sz w:val="20"/>
                <w:szCs w:val="20"/>
              </w:rPr>
              <w:t xml:space="preserve"> в сфере закупок товаров, работ, услуг для обеспечения государственных и муниципальных нужд», </w:t>
            </w:r>
            <w:proofErr w:type="gramStart"/>
            <w:r>
              <w:rPr>
                <w:rFonts w:ascii="Times New Roman" w:hAnsi="Times New Roman" w:cs="Times New Roman"/>
                <w:i/>
                <w:color w:val="000000"/>
                <w:kern w:val="3"/>
                <w:sz w:val="20"/>
                <w:szCs w:val="20"/>
              </w:rPr>
              <w:t>сопоставимому</w:t>
            </w:r>
            <w:proofErr w:type="gramEnd"/>
            <w:r>
              <w:rPr>
                <w:rFonts w:ascii="Times New Roman" w:hAnsi="Times New Roman" w:cs="Times New Roman"/>
                <w:i/>
                <w:color w:val="000000"/>
                <w:kern w:val="3"/>
                <w:sz w:val="20"/>
                <w:szCs w:val="20"/>
              </w:rPr>
              <w:t xml:space="preserve"> с предметом закупки (общестроительные работы). Участнику необходимо указать «наличие» либо «отсутствие» в соответствующей форме к заявке.</w:t>
            </w:r>
          </w:p>
          <w:p w:rsidR="0083467A" w:rsidRDefault="0083467A">
            <w:pPr>
              <w:jc w:val="both"/>
              <w:rPr>
                <w:rFonts w:ascii="Times New Roman" w:hAnsi="Times New Roman" w:cs="Times New Roman"/>
                <w:color w:val="000000"/>
                <w:kern w:val="3"/>
                <w:sz w:val="20"/>
                <w:szCs w:val="20"/>
              </w:rPr>
            </w:pPr>
            <w:r>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w:t>
            </w:r>
            <w:proofErr w:type="gramStart"/>
            <w:r>
              <w:rPr>
                <w:rFonts w:ascii="Times New Roman" w:hAnsi="Times New Roman" w:cs="Times New Roman"/>
                <w:i/>
                <w:color w:val="000000"/>
                <w:kern w:val="3"/>
                <w:sz w:val="20"/>
                <w:szCs w:val="20"/>
              </w:rPr>
              <w:t>с</w:t>
            </w:r>
            <w:proofErr w:type="gramEnd"/>
            <w:r>
              <w:rPr>
                <w:rFonts w:ascii="Times New Roman" w:hAnsi="Times New Roman" w:cs="Times New Roman"/>
                <w:i/>
                <w:color w:val="000000"/>
                <w:kern w:val="3"/>
                <w:sz w:val="20"/>
                <w:szCs w:val="20"/>
              </w:rPr>
              <w:t xml:space="preserve"> </w:t>
            </w:r>
            <w:proofErr w:type="gramStart"/>
            <w:r>
              <w:rPr>
                <w:rFonts w:ascii="Times New Roman" w:hAnsi="Times New Roman" w:cs="Times New Roman"/>
                <w:i/>
                <w:color w:val="000000"/>
                <w:kern w:val="3"/>
                <w:sz w:val="20"/>
                <w:szCs w:val="20"/>
              </w:rPr>
              <w:t>данным</w:t>
            </w:r>
            <w:proofErr w:type="gramEnd"/>
            <w:r>
              <w:rPr>
                <w:rFonts w:ascii="Times New Roman" w:hAnsi="Times New Roman" w:cs="Times New Roman"/>
                <w:i/>
                <w:color w:val="000000"/>
                <w:kern w:val="3"/>
                <w:sz w:val="20"/>
                <w:szCs w:val="20"/>
              </w:rPr>
              <w:t xml:space="preserve"> подкритерием, оцениваются сведения, содержащиеся в официальных </w:t>
            </w:r>
            <w:proofErr w:type="spellStart"/>
            <w:r>
              <w:rPr>
                <w:rFonts w:ascii="Times New Roman" w:hAnsi="Times New Roman" w:cs="Times New Roman"/>
                <w:i/>
                <w:color w:val="000000"/>
                <w:kern w:val="3"/>
                <w:sz w:val="20"/>
                <w:szCs w:val="20"/>
              </w:rPr>
              <w:t>интернет-ресурсах</w:t>
            </w:r>
            <w:proofErr w:type="spellEnd"/>
            <w:r>
              <w:rPr>
                <w:rFonts w:ascii="Times New Roman" w:hAnsi="Times New Roman" w:cs="Times New Roman"/>
                <w:i/>
                <w:color w:val="000000"/>
                <w:kern w:val="3"/>
                <w:sz w:val="20"/>
                <w:szCs w:val="20"/>
              </w:rPr>
              <w:t xml:space="preserve"> судов в отношении участника закупки</w:t>
            </w:r>
            <w:r>
              <w:rPr>
                <w:rFonts w:ascii="Times New Roman" w:hAnsi="Times New Roman" w:cs="Times New Roman"/>
                <w:color w:val="000000"/>
                <w:kern w:val="3"/>
                <w:sz w:val="20"/>
                <w:szCs w:val="20"/>
              </w:rPr>
              <w:t xml:space="preserve">. </w:t>
            </w:r>
          </w:p>
        </w:tc>
      </w:tr>
      <w:tr w:rsidR="0083467A" w:rsidRPr="00C838F0" w:rsidTr="00006663">
        <w:trPr>
          <w:trHeight w:val="4736"/>
        </w:trPr>
        <w:tc>
          <w:tcPr>
            <w:tcW w:w="1134" w:type="dxa"/>
            <w:vMerge/>
          </w:tcPr>
          <w:p w:rsidR="0083467A" w:rsidRPr="00C838F0" w:rsidRDefault="0083467A" w:rsidP="00E21E35">
            <w:pPr>
              <w:pStyle w:val="ac"/>
              <w:autoSpaceDN w:val="0"/>
              <w:ind w:left="0"/>
              <w:jc w:val="both"/>
              <w:textAlignment w:val="baseline"/>
              <w:rPr>
                <w:rFonts w:ascii="Times New Roman" w:hAnsi="Times New Roman" w:cs="Times New Roman"/>
                <w:color w:val="000000"/>
                <w:kern w:val="3"/>
                <w:sz w:val="20"/>
                <w:szCs w:val="20"/>
              </w:rPr>
            </w:pPr>
          </w:p>
        </w:tc>
        <w:tc>
          <w:tcPr>
            <w:tcW w:w="1936" w:type="dxa"/>
          </w:tcPr>
          <w:p w:rsidR="0083467A" w:rsidRDefault="0083467A">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-деловая репутация участника закупки</w:t>
            </w:r>
            <w:r>
              <w:rPr>
                <w:rFonts w:ascii="Times New Roman" w:hAnsi="Times New Roman" w:cs="Times New Roman"/>
                <w:b/>
                <w:color w:val="000000"/>
                <w:kern w:val="3"/>
                <w:sz w:val="20"/>
                <w:szCs w:val="20"/>
              </w:rPr>
              <w:t xml:space="preserve"> </w:t>
            </w:r>
            <w:proofErr w:type="spellStart"/>
            <w:r>
              <w:rPr>
                <w:rFonts w:ascii="Times New Roman" w:hAnsi="Times New Roman" w:cs="Times New Roman"/>
                <w:b/>
                <w:color w:val="000000"/>
                <w:kern w:val="3"/>
                <w:sz w:val="20"/>
                <w:szCs w:val="20"/>
              </w:rPr>
              <w:t>НЦБ</w:t>
            </w:r>
            <w:proofErr w:type="gramStart"/>
            <w:r>
              <w:rPr>
                <w:rFonts w:ascii="Times New Roman" w:hAnsi="Times New Roman" w:cs="Times New Roman"/>
                <w:b/>
                <w:color w:val="000000"/>
                <w:kern w:val="3"/>
                <w:sz w:val="20"/>
                <w:szCs w:val="20"/>
              </w:rPr>
              <w:t>i</w:t>
            </w:r>
            <w:proofErr w:type="spellEnd"/>
            <w:proofErr w:type="gramEnd"/>
            <w:r>
              <w:rPr>
                <w:rFonts w:ascii="Times New Roman" w:hAnsi="Times New Roman" w:cs="Times New Roman"/>
                <w:b/>
                <w:color w:val="000000"/>
                <w:kern w:val="3"/>
                <w:sz w:val="20"/>
                <w:szCs w:val="20"/>
              </w:rPr>
              <w:t>(3)</w:t>
            </w:r>
          </w:p>
        </w:tc>
        <w:tc>
          <w:tcPr>
            <w:tcW w:w="1041" w:type="dxa"/>
            <w:vMerge/>
          </w:tcPr>
          <w:p w:rsidR="0083467A" w:rsidRPr="00C838F0" w:rsidRDefault="0083467A" w:rsidP="00E21E35">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83467A" w:rsidRDefault="0083467A">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 xml:space="preserve">25% </w:t>
            </w:r>
            <w:r>
              <w:rPr>
                <w:sz w:val="20"/>
                <w:szCs w:val="20"/>
              </w:rPr>
              <w:t>(максимальное количество баллов 25)</w:t>
            </w:r>
          </w:p>
        </w:tc>
        <w:tc>
          <w:tcPr>
            <w:tcW w:w="9747" w:type="dxa"/>
          </w:tcPr>
          <w:p w:rsidR="0083467A" w:rsidRDefault="0083467A">
            <w:pPr>
              <w:suppressAutoHyphens w:val="0"/>
              <w:autoSpaceDE w:val="0"/>
              <w:autoSpaceDN w:val="0"/>
              <w:adjustRightInd w:val="0"/>
              <w:jc w:val="both"/>
              <w:rPr>
                <w:sz w:val="20"/>
                <w:szCs w:val="20"/>
              </w:rPr>
            </w:pPr>
            <w:proofErr w:type="spellStart"/>
            <w:proofErr w:type="gramStart"/>
            <w:r>
              <w:rPr>
                <w:rFonts w:ascii="Times New Roman" w:hAnsi="Times New Roman" w:cs="Times New Roman"/>
                <w:color w:val="000000"/>
                <w:kern w:val="3"/>
                <w:sz w:val="20"/>
                <w:szCs w:val="20"/>
              </w:rPr>
              <w:t>K</w:t>
            </w:r>
            <w:proofErr w:type="gramEnd"/>
            <w:r>
              <w:rPr>
                <w:rFonts w:ascii="Times New Roman" w:hAnsi="Times New Roman" w:cs="Times New Roman"/>
                <w:color w:val="000000"/>
                <w:kern w:val="3"/>
                <w:sz w:val="20"/>
                <w:szCs w:val="20"/>
              </w:rPr>
              <w:t>пред</w:t>
            </w:r>
            <w:proofErr w:type="spellEnd"/>
            <w:r>
              <w:rPr>
                <w:rFonts w:ascii="Times New Roman" w:hAnsi="Times New Roman" w:cs="Times New Roman"/>
                <w:color w:val="000000"/>
                <w:kern w:val="3"/>
                <w:sz w:val="20"/>
                <w:szCs w:val="20"/>
              </w:rPr>
              <w:t xml:space="preserve"> (</w:t>
            </w:r>
            <w:r>
              <w:rPr>
                <w:sz w:val="20"/>
                <w:szCs w:val="20"/>
              </w:rPr>
              <w:t>предельно необходимое заказчику значение характеристик</w:t>
            </w:r>
            <w:r>
              <w:rPr>
                <w:rFonts w:ascii="Times New Roman" w:hAnsi="Times New Roman" w:cs="Times New Roman"/>
                <w:color w:val="000000"/>
                <w:kern w:val="3"/>
                <w:sz w:val="20"/>
                <w:szCs w:val="20"/>
              </w:rPr>
              <w:t xml:space="preserve">) = 0 решений судов </w:t>
            </w:r>
            <w:r>
              <w:rPr>
                <w:sz w:val="20"/>
                <w:szCs w:val="20"/>
              </w:rPr>
              <w:t xml:space="preserve">(наличие решений= 0 баллов; </w:t>
            </w:r>
            <w:r>
              <w:rPr>
                <w:rFonts w:ascii="Times New Roman" w:hAnsi="Times New Roman" w:cs="Times New Roman"/>
                <w:color w:val="000000"/>
                <w:kern w:val="3"/>
                <w:sz w:val="20"/>
                <w:szCs w:val="20"/>
              </w:rPr>
              <w:t>отсутствие решений</w:t>
            </w:r>
            <w:r>
              <w:rPr>
                <w:sz w:val="20"/>
                <w:szCs w:val="20"/>
              </w:rPr>
              <w:t xml:space="preserve"> судов= 100 баллов)</w:t>
            </w:r>
          </w:p>
          <w:p w:rsidR="0083467A" w:rsidRDefault="0083467A">
            <w:pPr>
              <w:suppressAutoHyphens w:val="0"/>
              <w:autoSpaceDE w:val="0"/>
              <w:autoSpaceDN w:val="0"/>
              <w:adjustRightInd w:val="0"/>
              <w:jc w:val="both"/>
              <w:rPr>
                <w:rFonts w:ascii="Times New Roman" w:hAnsi="Times New Roman" w:cs="Times New Roman"/>
                <w:color w:val="000000"/>
                <w:kern w:val="3"/>
                <w:sz w:val="20"/>
                <w:szCs w:val="20"/>
              </w:rPr>
            </w:pPr>
          </w:p>
          <w:p w:rsidR="0083467A" w:rsidRDefault="0083467A">
            <w:pPr>
              <w:jc w:val="both"/>
              <w:rPr>
                <w:rFonts w:ascii="Times New Roman" w:hAnsi="Times New Roman" w:cs="Times New Roman"/>
                <w:i/>
                <w:color w:val="000000"/>
                <w:kern w:val="3"/>
                <w:sz w:val="20"/>
                <w:szCs w:val="20"/>
              </w:rPr>
            </w:pPr>
            <w:proofErr w:type="gramStart"/>
            <w:r>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с контрагентами о взыскании денежных средств, в которых участник закупки привлечен в качестве ответчика, связанного с неисполнением и/ или ненадлежащим исполнением обязательств по договору, сопоставимому с предметом договора (общестроительные работы)</w:t>
            </w:r>
            <w:r w:rsidR="00482B44">
              <w:rPr>
                <w:rFonts w:ascii="Times New Roman" w:hAnsi="Times New Roman" w:cs="Times New Roman"/>
                <w:i/>
                <w:color w:val="000000"/>
                <w:kern w:val="3"/>
                <w:sz w:val="20"/>
                <w:szCs w:val="20"/>
              </w:rPr>
              <w:t xml:space="preserve"> (за исключением договоров</w:t>
            </w:r>
            <w:r w:rsidR="00482B44" w:rsidRPr="00482B44">
              <w:rPr>
                <w:rFonts w:ascii="Times New Roman" w:hAnsi="Times New Roman" w:cs="Times New Roman"/>
                <w:i/>
                <w:color w:val="000000"/>
                <w:kern w:val="3"/>
                <w:sz w:val="20"/>
                <w:szCs w:val="20"/>
              </w:rPr>
              <w:t xml:space="preserve"> в рамках Федерального закона РФ от 18.07.2011 года</w:t>
            </w:r>
            <w:proofErr w:type="gramEnd"/>
            <w:r w:rsidR="00482B44" w:rsidRPr="00482B44">
              <w:rPr>
                <w:rFonts w:ascii="Times New Roman" w:hAnsi="Times New Roman" w:cs="Times New Roman"/>
                <w:i/>
                <w:color w:val="000000"/>
                <w:kern w:val="3"/>
                <w:sz w:val="20"/>
                <w:szCs w:val="20"/>
              </w:rPr>
              <w:t xml:space="preserve"> № </w:t>
            </w:r>
            <w:proofErr w:type="gramStart"/>
            <w:r w:rsidR="00482B44" w:rsidRPr="00482B44">
              <w:rPr>
                <w:rFonts w:ascii="Times New Roman" w:hAnsi="Times New Roman" w:cs="Times New Roman"/>
                <w:i/>
                <w:color w:val="000000"/>
                <w:kern w:val="3"/>
                <w:sz w:val="20"/>
                <w:szCs w:val="20"/>
              </w:rPr>
              <w:t>223-ФЗ «О закупках товаров, работ, услуг отдельными видами юридических лиц», Федерального закона РФ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color w:val="000000"/>
                <w:kern w:val="3"/>
                <w:sz w:val="20"/>
                <w:szCs w:val="20"/>
              </w:rPr>
              <w:t>.</w:t>
            </w:r>
            <w:proofErr w:type="gramEnd"/>
            <w:r>
              <w:rPr>
                <w:rFonts w:ascii="Times New Roman" w:hAnsi="Times New Roman" w:cs="Times New Roman"/>
                <w:i/>
                <w:color w:val="000000"/>
                <w:kern w:val="3"/>
                <w:sz w:val="20"/>
                <w:szCs w:val="20"/>
              </w:rPr>
              <w:t xml:space="preserve"> </w:t>
            </w:r>
            <w:proofErr w:type="gramStart"/>
            <w:r>
              <w:rPr>
                <w:rFonts w:ascii="Times New Roman" w:hAnsi="Times New Roman" w:cs="Times New Roman"/>
                <w:i/>
                <w:color w:val="000000"/>
                <w:kern w:val="3"/>
                <w:sz w:val="20"/>
                <w:szCs w:val="20"/>
              </w:rPr>
              <w:t>Участнику необходимо указать «наличие» либо «отсутствие» в соответствующей форме к заявке.</w:t>
            </w:r>
            <w:proofErr w:type="gramEnd"/>
          </w:p>
          <w:p w:rsidR="0083467A" w:rsidRDefault="0083467A">
            <w:pPr>
              <w:jc w:val="both"/>
              <w:rPr>
                <w:rFonts w:ascii="Times New Roman" w:hAnsi="Times New Roman" w:cs="Times New Roman"/>
                <w:color w:val="000000"/>
                <w:kern w:val="3"/>
                <w:sz w:val="20"/>
                <w:szCs w:val="20"/>
              </w:rPr>
            </w:pPr>
            <w:r>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w:t>
            </w:r>
            <w:proofErr w:type="gramStart"/>
            <w:r>
              <w:rPr>
                <w:rFonts w:ascii="Times New Roman" w:hAnsi="Times New Roman" w:cs="Times New Roman"/>
                <w:i/>
                <w:color w:val="000000"/>
                <w:kern w:val="3"/>
                <w:sz w:val="20"/>
                <w:szCs w:val="20"/>
              </w:rPr>
              <w:t>с</w:t>
            </w:r>
            <w:proofErr w:type="gramEnd"/>
            <w:r>
              <w:rPr>
                <w:rFonts w:ascii="Times New Roman" w:hAnsi="Times New Roman" w:cs="Times New Roman"/>
                <w:i/>
                <w:color w:val="000000"/>
                <w:kern w:val="3"/>
                <w:sz w:val="20"/>
                <w:szCs w:val="20"/>
              </w:rPr>
              <w:t xml:space="preserve"> </w:t>
            </w:r>
            <w:proofErr w:type="gramStart"/>
            <w:r>
              <w:rPr>
                <w:rFonts w:ascii="Times New Roman" w:hAnsi="Times New Roman" w:cs="Times New Roman"/>
                <w:i/>
                <w:color w:val="000000"/>
                <w:kern w:val="3"/>
                <w:sz w:val="20"/>
                <w:szCs w:val="20"/>
              </w:rPr>
              <w:t>данным</w:t>
            </w:r>
            <w:proofErr w:type="gramEnd"/>
            <w:r>
              <w:rPr>
                <w:rFonts w:ascii="Times New Roman" w:hAnsi="Times New Roman" w:cs="Times New Roman"/>
                <w:i/>
                <w:color w:val="000000"/>
                <w:kern w:val="3"/>
                <w:sz w:val="20"/>
                <w:szCs w:val="20"/>
              </w:rPr>
              <w:t xml:space="preserve"> подкритерием, оцениваются сведения, содержащиеся в официальных </w:t>
            </w:r>
            <w:proofErr w:type="spellStart"/>
            <w:r>
              <w:rPr>
                <w:rFonts w:ascii="Times New Roman" w:hAnsi="Times New Roman" w:cs="Times New Roman"/>
                <w:i/>
                <w:color w:val="000000"/>
                <w:kern w:val="3"/>
                <w:sz w:val="20"/>
                <w:szCs w:val="20"/>
              </w:rPr>
              <w:t>интернет-ресурсах</w:t>
            </w:r>
            <w:proofErr w:type="spellEnd"/>
            <w:r>
              <w:rPr>
                <w:rFonts w:ascii="Times New Roman" w:hAnsi="Times New Roman" w:cs="Times New Roman"/>
                <w:i/>
                <w:color w:val="000000"/>
                <w:kern w:val="3"/>
                <w:sz w:val="20"/>
                <w:szCs w:val="20"/>
              </w:rPr>
              <w:t xml:space="preserve"> судов в отношении участника закупки</w:t>
            </w:r>
            <w:r>
              <w:rPr>
                <w:rFonts w:ascii="Times New Roman" w:hAnsi="Times New Roman" w:cs="Times New Roman"/>
                <w:color w:val="000000"/>
                <w:kern w:val="3"/>
                <w:sz w:val="20"/>
                <w:szCs w:val="20"/>
              </w:rPr>
              <w:t xml:space="preserve">. </w:t>
            </w:r>
          </w:p>
        </w:tc>
      </w:tr>
    </w:tbl>
    <w:p w:rsidR="00CE775C" w:rsidRPr="00C838F0" w:rsidRDefault="00CE775C" w:rsidP="00EE62CA">
      <w:pPr>
        <w:pStyle w:val="ac"/>
        <w:autoSpaceDN w:val="0"/>
        <w:ind w:left="0"/>
        <w:jc w:val="both"/>
        <w:textAlignment w:val="baseline"/>
        <w:rPr>
          <w:rFonts w:ascii="Times New Roman" w:hAnsi="Times New Roman" w:cs="Times New Roman"/>
          <w:color w:val="000000"/>
          <w:kern w:val="3"/>
          <w:sz w:val="22"/>
          <w:szCs w:val="22"/>
        </w:rPr>
      </w:pPr>
    </w:p>
    <w:p w:rsidR="000975B9" w:rsidRPr="00C838F0" w:rsidRDefault="000975B9" w:rsidP="00EE62CA">
      <w:pPr>
        <w:pStyle w:val="Standard"/>
        <w:numPr>
          <w:ilvl w:val="0"/>
          <w:numId w:val="1"/>
        </w:numPr>
        <w:spacing w:after="0" w:line="240" w:lineRule="auto"/>
        <w:ind w:left="0" w:firstLine="0"/>
        <w:jc w:val="both"/>
        <w:rPr>
          <w:rFonts w:cs="Times New Roman"/>
          <w:b/>
          <w:bCs/>
        </w:rPr>
      </w:pPr>
      <w:r w:rsidRPr="00C838F0">
        <w:rPr>
          <w:rFonts w:cs="Times New Roman"/>
          <w:b/>
          <w:bCs/>
        </w:rPr>
        <w:t xml:space="preserve">Порядок оценки заявок на участие в конкурсе в электронной форме </w:t>
      </w:r>
    </w:p>
    <w:p w:rsidR="00CE775C" w:rsidRPr="00C838F0" w:rsidRDefault="00784848" w:rsidP="00EE62CA">
      <w:pPr>
        <w:pStyle w:val="Standard"/>
        <w:spacing w:after="0" w:line="240" w:lineRule="auto"/>
        <w:jc w:val="both"/>
        <w:rPr>
          <w:rFonts w:cs="Times New Roman"/>
        </w:rPr>
      </w:pPr>
      <w:r w:rsidRPr="00C838F0">
        <w:rPr>
          <w:rFonts w:cs="Times New Roman"/>
        </w:rPr>
        <w:t>3</w:t>
      </w:r>
      <w:r w:rsidR="001726EB" w:rsidRPr="00C838F0">
        <w:rPr>
          <w:rFonts w:cs="Times New Roman"/>
        </w:rPr>
        <w:t xml:space="preserve">.1. </w:t>
      </w:r>
      <w:r w:rsidR="00CE775C" w:rsidRPr="00C838F0">
        <w:rPr>
          <w:rFonts w:cs="Times New Roman"/>
        </w:rPr>
        <w:t>Для оценки заявок (предложений) заказчик устанавливает в документации о закупке следующие критерии оценки:</w:t>
      </w:r>
    </w:p>
    <w:p w:rsidR="00CE775C" w:rsidRPr="00C838F0" w:rsidRDefault="00CE775C" w:rsidP="00EE62CA">
      <w:pPr>
        <w:pStyle w:val="Standard"/>
        <w:spacing w:after="0" w:line="240" w:lineRule="auto"/>
        <w:jc w:val="both"/>
        <w:rPr>
          <w:rFonts w:cs="Times New Roman"/>
        </w:rPr>
      </w:pPr>
      <w:r w:rsidRPr="00C838F0">
        <w:rPr>
          <w:rFonts w:cs="Times New Roman"/>
        </w:rPr>
        <w:t>а) характеризующиеся как стоимостные критерии оценки:</w:t>
      </w:r>
    </w:p>
    <w:p w:rsidR="00CE775C" w:rsidRPr="00C838F0" w:rsidRDefault="000975B9" w:rsidP="00EE62CA">
      <w:pPr>
        <w:pStyle w:val="Standard"/>
        <w:spacing w:after="0" w:line="240" w:lineRule="auto"/>
        <w:jc w:val="both"/>
        <w:rPr>
          <w:rFonts w:cs="Times New Roman"/>
        </w:rPr>
      </w:pPr>
      <w:r w:rsidRPr="00006663">
        <w:rPr>
          <w:rFonts w:cs="Times New Roman"/>
          <w:highlight w:val="lightGray"/>
        </w:rPr>
        <w:t xml:space="preserve">- </w:t>
      </w:r>
      <w:r w:rsidR="00CE775C" w:rsidRPr="00006663">
        <w:rPr>
          <w:rFonts w:cs="Times New Roman"/>
          <w:highlight w:val="lightGray"/>
        </w:rPr>
        <w:t xml:space="preserve">цена договора </w:t>
      </w:r>
      <w:r w:rsidR="00CE775C" w:rsidRPr="00C838F0">
        <w:rPr>
          <w:rFonts w:cs="Times New Roman"/>
        </w:rPr>
        <w:t>или сумма цен единиц товара, работы, услуги;</w:t>
      </w:r>
    </w:p>
    <w:p w:rsidR="00CE775C" w:rsidRPr="00C838F0" w:rsidRDefault="00CE775C" w:rsidP="00EE62CA">
      <w:pPr>
        <w:pStyle w:val="Standard"/>
        <w:spacing w:after="0" w:line="240" w:lineRule="auto"/>
        <w:jc w:val="both"/>
        <w:rPr>
          <w:rFonts w:cs="Times New Roman"/>
        </w:rPr>
      </w:pPr>
      <w:r w:rsidRPr="00C838F0">
        <w:rPr>
          <w:rFonts w:cs="Times New Roman"/>
        </w:rPr>
        <w:t xml:space="preserve">б) характеризующиеся как </w:t>
      </w:r>
      <w:proofErr w:type="spellStart"/>
      <w:r w:rsidRPr="00C838F0">
        <w:rPr>
          <w:rFonts w:cs="Times New Roman"/>
        </w:rPr>
        <w:t>нестоимостные</w:t>
      </w:r>
      <w:proofErr w:type="spellEnd"/>
      <w:r w:rsidRPr="00C838F0">
        <w:rPr>
          <w:rFonts w:cs="Times New Roman"/>
        </w:rPr>
        <w:t xml:space="preserve"> критерии оценки:</w:t>
      </w:r>
    </w:p>
    <w:p w:rsidR="00CE775C" w:rsidRPr="00482B44" w:rsidRDefault="000975B9" w:rsidP="00EE62CA">
      <w:pPr>
        <w:pStyle w:val="Standard"/>
        <w:spacing w:after="0" w:line="240" w:lineRule="auto"/>
        <w:jc w:val="both"/>
        <w:rPr>
          <w:rFonts w:cs="Times New Roman"/>
        </w:rPr>
      </w:pPr>
      <w:r w:rsidRPr="00482B44">
        <w:rPr>
          <w:rFonts w:cs="Times New Roman"/>
        </w:rPr>
        <w:t xml:space="preserve">- </w:t>
      </w:r>
      <w:r w:rsidR="00CE775C" w:rsidRPr="00482B44">
        <w:rPr>
          <w:rFonts w:cs="Times New Roman"/>
        </w:rPr>
        <w:t>качественные характеристики объекта закупок;</w:t>
      </w:r>
    </w:p>
    <w:p w:rsidR="00CE775C" w:rsidRPr="00C838F0" w:rsidRDefault="000975B9" w:rsidP="00EE62CA">
      <w:pPr>
        <w:pStyle w:val="Standard"/>
        <w:spacing w:after="0" w:line="240" w:lineRule="auto"/>
        <w:jc w:val="both"/>
        <w:rPr>
          <w:rFonts w:cs="Times New Roman"/>
        </w:rPr>
      </w:pPr>
      <w:r w:rsidRPr="00C838F0">
        <w:rPr>
          <w:rFonts w:cs="Times New Roman"/>
        </w:rPr>
        <w:t xml:space="preserve">- </w:t>
      </w:r>
      <w:r w:rsidR="00CE775C" w:rsidRPr="00C838F0">
        <w:rPr>
          <w:rFonts w:cs="Times New Roman"/>
        </w:rPr>
        <w:t xml:space="preserve">квалификация участников закупки, в том числе наличие у них финансовых ресурсов, </w:t>
      </w:r>
      <w:r w:rsidR="00CE775C" w:rsidRPr="00006663">
        <w:rPr>
          <w:rFonts w:cs="Times New Roman"/>
        </w:rPr>
        <w:t>оборудования и других</w:t>
      </w:r>
      <w:r w:rsidR="00CE775C" w:rsidRPr="008B4D31">
        <w:rPr>
          <w:rFonts w:cs="Times New Roman"/>
          <w:b/>
          <w:i/>
        </w:rPr>
        <w:t xml:space="preserve"> </w:t>
      </w:r>
      <w:r w:rsidR="00CE775C" w:rsidRPr="00482B44">
        <w:rPr>
          <w:rFonts w:cs="Times New Roman"/>
        </w:rPr>
        <w:t xml:space="preserve">материальных ресурсов, принадлежащих им на праве собственности или на ином законном основании, опыта работы, связанного с предметом договора, </w:t>
      </w:r>
      <w:r w:rsidR="00CE775C" w:rsidRPr="00482B44">
        <w:rPr>
          <w:rFonts w:cs="Times New Roman"/>
          <w:highlight w:val="lightGray"/>
        </w:rPr>
        <w:t>и деловой репутации,</w:t>
      </w:r>
      <w:r w:rsidR="00CE775C" w:rsidRPr="00C838F0">
        <w:rPr>
          <w:rFonts w:cs="Times New Roman"/>
        </w:rPr>
        <w:t xml:space="preserve"> </w:t>
      </w:r>
      <w:r w:rsidR="00CE775C" w:rsidRPr="008B4D31">
        <w:rPr>
          <w:rFonts w:cs="Times New Roman"/>
        </w:rPr>
        <w:t>специалистов и иных работников определенного уровня квалификации</w:t>
      </w:r>
      <w:r w:rsidR="00CE775C" w:rsidRPr="00C838F0">
        <w:rPr>
          <w:rFonts w:cs="Times New Roman"/>
        </w:rPr>
        <w:t>;</w:t>
      </w:r>
    </w:p>
    <w:p w:rsidR="00CE775C" w:rsidRPr="00C838F0" w:rsidRDefault="000975B9" w:rsidP="00EE62CA">
      <w:pPr>
        <w:pStyle w:val="Standard"/>
        <w:spacing w:after="0" w:line="240" w:lineRule="auto"/>
        <w:jc w:val="both"/>
        <w:rPr>
          <w:rFonts w:cs="Times New Roman"/>
        </w:rPr>
      </w:pPr>
      <w:r w:rsidRPr="00C838F0">
        <w:rPr>
          <w:rFonts w:cs="Times New Roman"/>
        </w:rPr>
        <w:t xml:space="preserve">- </w:t>
      </w:r>
      <w:r w:rsidR="00CE775C" w:rsidRPr="00C838F0">
        <w:rPr>
          <w:rFonts w:cs="Times New Roman"/>
        </w:rPr>
        <w:t>срок предоставления гарантии качества товара, работ, услуг.</w:t>
      </w:r>
    </w:p>
    <w:p w:rsidR="00CE775C" w:rsidRPr="00C838F0" w:rsidRDefault="00784848" w:rsidP="00EE62CA">
      <w:pPr>
        <w:pStyle w:val="Standard"/>
        <w:spacing w:after="0" w:line="240" w:lineRule="auto"/>
        <w:jc w:val="both"/>
        <w:rPr>
          <w:rFonts w:cs="Times New Roman"/>
        </w:rPr>
      </w:pPr>
      <w:r w:rsidRPr="00C838F0">
        <w:rPr>
          <w:rFonts w:cs="Times New Roman"/>
        </w:rPr>
        <w:lastRenderedPageBreak/>
        <w:t>3</w:t>
      </w:r>
      <w:r w:rsidR="001726EB" w:rsidRPr="00C838F0">
        <w:rPr>
          <w:rFonts w:cs="Times New Roman"/>
        </w:rPr>
        <w:t xml:space="preserve">.2. </w:t>
      </w:r>
      <w:r w:rsidR="00CE775C" w:rsidRPr="00C838F0">
        <w:rPr>
          <w:rFonts w:cs="Times New Roman"/>
        </w:rPr>
        <w:t xml:space="preserve">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00CE775C" w:rsidRPr="00C838F0">
        <w:rPr>
          <w:rFonts w:cs="Times New Roman"/>
        </w:rPr>
        <w:t>нестоимостные</w:t>
      </w:r>
      <w:proofErr w:type="spellEnd"/>
      <w:r w:rsidR="00CE775C" w:rsidRPr="00C838F0">
        <w:rPr>
          <w:rFonts w:cs="Times New Roman"/>
        </w:rPr>
        <w:t xml:space="preserve"> критерии (</w:t>
      </w:r>
      <w:proofErr w:type="spellStart"/>
      <w:r w:rsidR="00CE775C" w:rsidRPr="00C838F0">
        <w:rPr>
          <w:rFonts w:cs="Times New Roman"/>
        </w:rPr>
        <w:t>нестоимостной</w:t>
      </w:r>
      <w:proofErr w:type="spellEnd"/>
      <w:r w:rsidR="00CE775C" w:rsidRPr="00C838F0">
        <w:rPr>
          <w:rFonts w:cs="Times New Roman"/>
        </w:rPr>
        <w:t xml:space="preserve"> критерий).</w:t>
      </w:r>
    </w:p>
    <w:p w:rsidR="00CE775C" w:rsidRPr="00C838F0" w:rsidRDefault="00784848" w:rsidP="00EE62CA">
      <w:pPr>
        <w:pStyle w:val="Standard"/>
        <w:spacing w:after="0" w:line="240" w:lineRule="auto"/>
        <w:jc w:val="both"/>
        <w:rPr>
          <w:rFonts w:cs="Times New Roman"/>
        </w:rPr>
      </w:pPr>
      <w:r w:rsidRPr="00C838F0">
        <w:rPr>
          <w:rFonts w:cs="Times New Roman"/>
        </w:rPr>
        <w:t>3</w:t>
      </w:r>
      <w:r w:rsidR="001726EB" w:rsidRPr="00C838F0">
        <w:rPr>
          <w:rFonts w:cs="Times New Roman"/>
        </w:rPr>
        <w:t xml:space="preserve">.3. </w:t>
      </w:r>
      <w:r w:rsidR="00CE775C" w:rsidRPr="00C838F0">
        <w:rPr>
          <w:rFonts w:cs="Times New Roman"/>
        </w:rPr>
        <w:t xml:space="preserve">В документации о закупке в отношении </w:t>
      </w:r>
      <w:proofErr w:type="spellStart"/>
      <w:r w:rsidR="00CE775C" w:rsidRPr="00C838F0">
        <w:rPr>
          <w:rFonts w:cs="Times New Roman"/>
        </w:rPr>
        <w:t>нестоимостных</w:t>
      </w:r>
      <w:proofErr w:type="spellEnd"/>
      <w:r w:rsidR="00CE775C" w:rsidRPr="00C838F0">
        <w:rPr>
          <w:rFonts w:cs="Times New Roman"/>
        </w:rPr>
        <w:t xml:space="preserve"> критериев оценки могут быть предусмотрены показатели, раскрывающие содержание </w:t>
      </w:r>
      <w:proofErr w:type="spellStart"/>
      <w:r w:rsidR="00CE775C" w:rsidRPr="00C838F0">
        <w:rPr>
          <w:rFonts w:cs="Times New Roman"/>
        </w:rPr>
        <w:t>нестоимостных</w:t>
      </w:r>
      <w:proofErr w:type="spellEnd"/>
      <w:r w:rsidR="00CE775C" w:rsidRPr="00C838F0">
        <w:rPr>
          <w:rFonts w:cs="Times New Roman"/>
        </w:rPr>
        <w:t xml:space="preserve"> критериев оценки и учитывающие особенности оценки закупаемых товаров, услуг по </w:t>
      </w:r>
      <w:proofErr w:type="spellStart"/>
      <w:r w:rsidR="00CE775C" w:rsidRPr="00C838F0">
        <w:rPr>
          <w:rFonts w:cs="Times New Roman"/>
        </w:rPr>
        <w:t>нестоимостным</w:t>
      </w:r>
      <w:proofErr w:type="spellEnd"/>
      <w:r w:rsidR="00CE775C" w:rsidRPr="00C838F0">
        <w:rPr>
          <w:rFonts w:cs="Times New Roman"/>
        </w:rPr>
        <w:t xml:space="preserve"> критериям оценки.</w:t>
      </w:r>
    </w:p>
    <w:p w:rsidR="00CE775C" w:rsidRPr="00C838F0" w:rsidRDefault="00CE775C" w:rsidP="00EE62CA">
      <w:pPr>
        <w:pStyle w:val="Standard"/>
        <w:spacing w:after="0" w:line="240" w:lineRule="auto"/>
        <w:jc w:val="both"/>
        <w:rPr>
          <w:rFonts w:cs="Times New Roman"/>
        </w:rPr>
      </w:pPr>
      <w:r w:rsidRPr="00C838F0">
        <w:rPr>
          <w:rFonts w:cs="Times New Roman"/>
        </w:rPr>
        <w:t xml:space="preserve">Для оценки заявок (предложений) по каждому </w:t>
      </w:r>
      <w:proofErr w:type="spellStart"/>
      <w:r w:rsidRPr="00C838F0">
        <w:rPr>
          <w:rFonts w:cs="Times New Roman"/>
        </w:rPr>
        <w:t>нестоимостному</w:t>
      </w:r>
      <w:proofErr w:type="spellEnd"/>
      <w:r w:rsidRPr="00C838F0">
        <w:rPr>
          <w:rFonts w:cs="Times New Roman"/>
        </w:rPr>
        <w:t xml:space="preserve"> критерию оценки используется 100-балльная шкала оценки. Если в отношении </w:t>
      </w:r>
      <w:proofErr w:type="spellStart"/>
      <w:r w:rsidRPr="00C838F0">
        <w:rPr>
          <w:rFonts w:cs="Times New Roman"/>
        </w:rPr>
        <w:t>нестоимостого</w:t>
      </w:r>
      <w:proofErr w:type="spellEnd"/>
      <w:r w:rsidRPr="00C838F0">
        <w:rPr>
          <w:rFonts w:cs="Times New Roman"/>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CE775C" w:rsidRPr="00C838F0" w:rsidRDefault="00CE775C" w:rsidP="00EE62CA">
      <w:pPr>
        <w:pStyle w:val="Standard"/>
        <w:spacing w:after="0" w:line="240" w:lineRule="auto"/>
        <w:jc w:val="both"/>
        <w:rPr>
          <w:rFonts w:cs="Times New Roman"/>
        </w:rPr>
      </w:pPr>
      <w:r w:rsidRPr="00C838F0">
        <w:rPr>
          <w:rFonts w:cs="Times New Roman"/>
        </w:rPr>
        <w:t xml:space="preserve">Для оценки заявок (предложений) по </w:t>
      </w:r>
      <w:proofErr w:type="spellStart"/>
      <w:r w:rsidRPr="00C838F0">
        <w:rPr>
          <w:rFonts w:cs="Times New Roman"/>
        </w:rPr>
        <w:t>нестоимостным</w:t>
      </w:r>
      <w:proofErr w:type="spellEnd"/>
      <w:r w:rsidRPr="00C838F0">
        <w:rPr>
          <w:rFonts w:cs="Times New Roman"/>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CE775C" w:rsidRPr="00C838F0" w:rsidRDefault="00784848" w:rsidP="00EE62CA">
      <w:pPr>
        <w:pStyle w:val="Standard"/>
        <w:spacing w:after="0" w:line="240" w:lineRule="auto"/>
        <w:jc w:val="both"/>
        <w:rPr>
          <w:rFonts w:cs="Times New Roman"/>
        </w:rPr>
      </w:pPr>
      <w:r w:rsidRPr="00C838F0">
        <w:rPr>
          <w:rFonts w:cs="Times New Roman"/>
        </w:rPr>
        <w:t>3</w:t>
      </w:r>
      <w:r w:rsidR="001726EB" w:rsidRPr="00C838F0">
        <w:rPr>
          <w:rFonts w:cs="Times New Roman"/>
        </w:rPr>
        <w:t xml:space="preserve">.4. </w:t>
      </w:r>
      <w:r w:rsidR="00CE775C" w:rsidRPr="00C838F0">
        <w:rPr>
          <w:rFonts w:cs="Times New Roman"/>
        </w:rPr>
        <w:t>Сумма величин значимости показателей критерия оценки должна составлять 100 процентов.</w:t>
      </w:r>
    </w:p>
    <w:p w:rsidR="00CE775C" w:rsidRPr="00C838F0" w:rsidRDefault="00CE775C" w:rsidP="00EE62CA">
      <w:pPr>
        <w:pStyle w:val="Standard"/>
        <w:spacing w:after="0" w:line="240" w:lineRule="auto"/>
        <w:jc w:val="both"/>
        <w:rPr>
          <w:rFonts w:cs="Times New Roman"/>
        </w:rPr>
      </w:pPr>
      <w:r w:rsidRPr="00C838F0">
        <w:rPr>
          <w:rFonts w:cs="Times New Roman"/>
        </w:rPr>
        <w:t>Предельные величины значимости критериев устанавливаются в следующем порядке:</w:t>
      </w:r>
    </w:p>
    <w:tbl>
      <w:tblPr>
        <w:tblW w:w="9525" w:type="dxa"/>
        <w:tblInd w:w="66" w:type="dxa"/>
        <w:tblLayout w:type="fixed"/>
        <w:tblCellMar>
          <w:left w:w="10" w:type="dxa"/>
          <w:right w:w="10" w:type="dxa"/>
        </w:tblCellMar>
        <w:tblLook w:val="0000" w:firstRow="0" w:lastRow="0" w:firstColumn="0" w:lastColumn="0" w:noHBand="0" w:noVBand="0"/>
      </w:tblPr>
      <w:tblGrid>
        <w:gridCol w:w="4305"/>
        <w:gridCol w:w="5220"/>
      </w:tblGrid>
      <w:tr w:rsidR="00CE775C" w:rsidRPr="00C838F0" w:rsidTr="00943317">
        <w:tc>
          <w:tcPr>
            <w:tcW w:w="9525" w:type="dxa"/>
            <w:gridSpan w:val="2"/>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CE775C" w:rsidRPr="00C838F0" w:rsidRDefault="00CE775C" w:rsidP="00EE62CA">
            <w:pPr>
              <w:pStyle w:val="Standard"/>
              <w:spacing w:after="0" w:line="240" w:lineRule="auto"/>
              <w:jc w:val="center"/>
              <w:rPr>
                <w:rFonts w:cs="Times New Roman"/>
              </w:rPr>
            </w:pPr>
            <w:r w:rsidRPr="00C838F0">
              <w:rPr>
                <w:rFonts w:cs="Times New Roman"/>
              </w:rPr>
              <w:t>Предельные величины значимости критериев оценки</w:t>
            </w:r>
          </w:p>
        </w:tc>
      </w:tr>
      <w:tr w:rsidR="00CE775C" w:rsidRPr="00C838F0" w:rsidTr="00943317">
        <w:tc>
          <w:tcPr>
            <w:tcW w:w="430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CE775C" w:rsidRPr="00C838F0" w:rsidRDefault="00CE775C" w:rsidP="00EE62CA">
            <w:pPr>
              <w:pStyle w:val="Standard"/>
              <w:spacing w:after="0" w:line="240" w:lineRule="auto"/>
              <w:jc w:val="center"/>
              <w:rPr>
                <w:rFonts w:cs="Times New Roman"/>
              </w:rPr>
            </w:pPr>
            <w:r w:rsidRPr="00C838F0">
              <w:rPr>
                <w:rFonts w:cs="Times New Roman"/>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CE775C" w:rsidRPr="00C838F0" w:rsidRDefault="00CE775C" w:rsidP="00EE62CA">
            <w:pPr>
              <w:pStyle w:val="Standard"/>
              <w:spacing w:after="0" w:line="240" w:lineRule="auto"/>
              <w:jc w:val="center"/>
              <w:rPr>
                <w:rFonts w:cs="Times New Roman"/>
              </w:rPr>
            </w:pPr>
            <w:r w:rsidRPr="00C838F0">
              <w:rPr>
                <w:rFonts w:cs="Times New Roman"/>
              </w:rPr>
              <w:t xml:space="preserve">максимальная значимость </w:t>
            </w:r>
            <w:proofErr w:type="spellStart"/>
            <w:r w:rsidRPr="00C838F0">
              <w:rPr>
                <w:rFonts w:cs="Times New Roman"/>
              </w:rPr>
              <w:t>нестоимостных</w:t>
            </w:r>
            <w:proofErr w:type="spellEnd"/>
            <w:r w:rsidRPr="00C838F0">
              <w:rPr>
                <w:rFonts w:cs="Times New Roman"/>
              </w:rPr>
              <w:t xml:space="preserve"> критериев оценки (процентов)</w:t>
            </w:r>
          </w:p>
        </w:tc>
      </w:tr>
      <w:tr w:rsidR="00CE775C" w:rsidRPr="00C838F0" w:rsidTr="00943317">
        <w:tc>
          <w:tcPr>
            <w:tcW w:w="4305"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CE775C" w:rsidRPr="00C838F0" w:rsidRDefault="00771064" w:rsidP="00EE62CA">
            <w:pPr>
              <w:pStyle w:val="Standard"/>
              <w:spacing w:after="0" w:line="240" w:lineRule="auto"/>
              <w:jc w:val="center"/>
              <w:rPr>
                <w:rFonts w:cs="Times New Roman"/>
              </w:rPr>
            </w:pPr>
            <w:r>
              <w:rPr>
                <w:rFonts w:cs="Times New Roman"/>
              </w:rPr>
              <w:t>5</w:t>
            </w:r>
            <w:r w:rsidR="00CE775C" w:rsidRPr="00C838F0">
              <w:rPr>
                <w:rFonts w:cs="Times New Roman"/>
              </w:rPr>
              <w:t>0</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top w:w="102" w:type="dxa"/>
              <w:left w:w="0" w:type="dxa"/>
              <w:bottom w:w="102" w:type="dxa"/>
              <w:right w:w="62" w:type="dxa"/>
            </w:tcMar>
          </w:tcPr>
          <w:p w:rsidR="00CE775C" w:rsidRPr="00C838F0" w:rsidRDefault="00771064" w:rsidP="00EE62CA">
            <w:pPr>
              <w:pStyle w:val="Standard"/>
              <w:spacing w:after="0" w:line="240" w:lineRule="auto"/>
              <w:jc w:val="center"/>
              <w:rPr>
                <w:rFonts w:cs="Times New Roman"/>
              </w:rPr>
            </w:pPr>
            <w:r>
              <w:rPr>
                <w:rFonts w:cs="Times New Roman"/>
              </w:rPr>
              <w:t>5</w:t>
            </w:r>
            <w:r w:rsidR="00CE775C" w:rsidRPr="00C838F0">
              <w:rPr>
                <w:rFonts w:cs="Times New Roman"/>
              </w:rPr>
              <w:t>0</w:t>
            </w:r>
          </w:p>
        </w:tc>
      </w:tr>
    </w:tbl>
    <w:p w:rsidR="00CE775C" w:rsidRPr="00C838F0" w:rsidRDefault="00784848" w:rsidP="00EE62CA">
      <w:pPr>
        <w:pStyle w:val="Standard"/>
        <w:spacing w:after="0" w:line="240" w:lineRule="auto"/>
        <w:jc w:val="both"/>
        <w:rPr>
          <w:rFonts w:cs="Times New Roman"/>
        </w:rPr>
      </w:pPr>
      <w:r w:rsidRPr="00C838F0">
        <w:rPr>
          <w:rFonts w:cs="Times New Roman"/>
        </w:rPr>
        <w:t>3</w:t>
      </w:r>
      <w:r w:rsidR="001726EB" w:rsidRPr="00C838F0">
        <w:rPr>
          <w:rFonts w:cs="Times New Roman"/>
        </w:rPr>
        <w:t xml:space="preserve">.5. </w:t>
      </w:r>
      <w:r w:rsidR="00CE775C" w:rsidRPr="00C838F0">
        <w:rPr>
          <w:rFonts w:cs="Times New Roman"/>
        </w:rPr>
        <w:t>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CE775C" w:rsidRPr="00C838F0" w:rsidRDefault="00784848" w:rsidP="00EE62CA">
      <w:pPr>
        <w:pStyle w:val="Standard"/>
        <w:spacing w:after="0" w:line="240" w:lineRule="auto"/>
        <w:jc w:val="both"/>
        <w:rPr>
          <w:rFonts w:cs="Times New Roman"/>
        </w:rPr>
      </w:pPr>
      <w:r w:rsidRPr="00C838F0">
        <w:rPr>
          <w:rFonts w:cs="Times New Roman"/>
        </w:rPr>
        <w:t>3</w:t>
      </w:r>
      <w:r w:rsidR="001726EB" w:rsidRPr="00C838F0">
        <w:rPr>
          <w:rFonts w:cs="Times New Roman"/>
        </w:rPr>
        <w:t xml:space="preserve">.6. </w:t>
      </w:r>
      <w:r w:rsidR="00CE775C" w:rsidRPr="00C838F0">
        <w:rPr>
          <w:rFonts w:cs="Times New Roman"/>
        </w:rPr>
        <w:t>Итоговый рейтинг заявки (предложения) вычисляется как сумма рейтингов по каждому критерию оценки заявки (предложения).</w:t>
      </w:r>
    </w:p>
    <w:p w:rsidR="00CE48CF" w:rsidRPr="00C838F0" w:rsidRDefault="00CE48CF" w:rsidP="00EE62CA">
      <w:pPr>
        <w:autoSpaceDN w:val="0"/>
        <w:jc w:val="both"/>
        <w:textAlignment w:val="baseline"/>
        <w:rPr>
          <w:rFonts w:ascii="Times New Roman" w:hAnsi="Times New Roman" w:cs="Times New Roman"/>
          <w:color w:val="000000"/>
          <w:kern w:val="3"/>
          <w:sz w:val="22"/>
          <w:szCs w:val="22"/>
        </w:rPr>
      </w:pPr>
      <w:r w:rsidRPr="00C838F0">
        <w:rPr>
          <w:rFonts w:ascii="Times New Roman" w:hAnsi="Times New Roman" w:cs="Times New Roman"/>
          <w:color w:val="000000"/>
          <w:kern w:val="3"/>
          <w:sz w:val="22"/>
          <w:szCs w:val="22"/>
        </w:rPr>
        <w:t>Итоговый рейтинг заявки рассчитывается путем сложения баллов (рейтингов) по каждому критерию оценки заявки, установленному в документации:</w:t>
      </w:r>
    </w:p>
    <w:p w:rsidR="00CE48CF" w:rsidRPr="006D06A6" w:rsidRDefault="00CE48CF" w:rsidP="00EE62CA">
      <w:pPr>
        <w:autoSpaceDN w:val="0"/>
        <w:jc w:val="both"/>
        <w:textAlignment w:val="baseline"/>
        <w:rPr>
          <w:rFonts w:ascii="Times New Roman" w:hAnsi="Times New Roman" w:cs="Times New Roman"/>
          <w:b/>
          <w:color w:val="000000"/>
          <w:kern w:val="3"/>
          <w:sz w:val="20"/>
          <w:szCs w:val="20"/>
        </w:rPr>
      </w:pPr>
      <w:proofErr w:type="gramStart"/>
      <w:r w:rsidRPr="00712302">
        <w:rPr>
          <w:rFonts w:ascii="Times New Roman" w:hAnsi="Times New Roman" w:cs="Times New Roman"/>
          <w:b/>
          <w:color w:val="000000"/>
          <w:kern w:val="3"/>
          <w:sz w:val="22"/>
          <w:szCs w:val="22"/>
          <w:highlight w:val="lightGray"/>
        </w:rPr>
        <w:t>Итоговый рейтинг =</w:t>
      </w:r>
      <w:r w:rsidRPr="00712302">
        <w:rPr>
          <w:rFonts w:ascii="Times New Roman" w:hAnsi="Times New Roman" w:cs="Times New Roman"/>
          <w:color w:val="000000"/>
          <w:kern w:val="3"/>
          <w:sz w:val="22"/>
          <w:szCs w:val="22"/>
          <w:highlight w:val="lightGray"/>
        </w:rPr>
        <w:t xml:space="preserve"> </w:t>
      </w:r>
      <w:proofErr w:type="spellStart"/>
      <w:r w:rsidRPr="00712302">
        <w:rPr>
          <w:rFonts w:ascii="Times New Roman" w:hAnsi="Times New Roman" w:cs="Times New Roman"/>
          <w:b/>
          <w:color w:val="000000"/>
          <w:kern w:val="3"/>
          <w:sz w:val="20"/>
          <w:szCs w:val="20"/>
          <w:highlight w:val="lightGray"/>
        </w:rPr>
        <w:t>ЦБi</w:t>
      </w:r>
      <w:proofErr w:type="spellEnd"/>
      <w:r w:rsidRPr="00712302">
        <w:rPr>
          <w:rFonts w:ascii="Times New Roman" w:hAnsi="Times New Roman" w:cs="Times New Roman"/>
          <w:b/>
          <w:color w:val="000000"/>
          <w:kern w:val="3"/>
          <w:sz w:val="20"/>
          <w:szCs w:val="20"/>
          <w:highlight w:val="lightGray"/>
        </w:rPr>
        <w:t xml:space="preserve">+ </w:t>
      </w:r>
      <w:proofErr w:type="spellStart"/>
      <w:r w:rsidRPr="00712302">
        <w:rPr>
          <w:rFonts w:ascii="Times New Roman" w:hAnsi="Times New Roman" w:cs="Times New Roman"/>
          <w:b/>
          <w:color w:val="000000"/>
          <w:kern w:val="3"/>
          <w:sz w:val="20"/>
          <w:szCs w:val="20"/>
          <w:highlight w:val="lightGray"/>
        </w:rPr>
        <w:t>НЦБi</w:t>
      </w:r>
      <w:proofErr w:type="spellEnd"/>
      <w:r w:rsidRPr="00712302">
        <w:rPr>
          <w:rFonts w:ascii="Times New Roman" w:hAnsi="Times New Roman" w:cs="Times New Roman"/>
          <w:b/>
          <w:color w:val="000000"/>
          <w:kern w:val="3"/>
          <w:sz w:val="20"/>
          <w:szCs w:val="20"/>
          <w:highlight w:val="lightGray"/>
        </w:rPr>
        <w:t xml:space="preserve"> (</w:t>
      </w:r>
      <w:proofErr w:type="spellStart"/>
      <w:r w:rsidRPr="00712302">
        <w:rPr>
          <w:rFonts w:ascii="Times New Roman" w:hAnsi="Times New Roman" w:cs="Times New Roman"/>
          <w:b/>
          <w:color w:val="000000"/>
          <w:kern w:val="3"/>
          <w:sz w:val="20"/>
          <w:szCs w:val="20"/>
          <w:highlight w:val="lightGray"/>
        </w:rPr>
        <w:t>НЦБi</w:t>
      </w:r>
      <w:proofErr w:type="spellEnd"/>
      <w:r w:rsidRPr="00712302">
        <w:rPr>
          <w:rFonts w:ascii="Times New Roman" w:hAnsi="Times New Roman" w:cs="Times New Roman"/>
          <w:b/>
          <w:color w:val="000000"/>
          <w:kern w:val="3"/>
          <w:sz w:val="20"/>
          <w:szCs w:val="20"/>
          <w:highlight w:val="lightGray"/>
        </w:rPr>
        <w:t xml:space="preserve">(1)+ </w:t>
      </w:r>
      <w:proofErr w:type="spellStart"/>
      <w:r w:rsidRPr="00712302">
        <w:rPr>
          <w:rFonts w:ascii="Times New Roman" w:hAnsi="Times New Roman" w:cs="Times New Roman"/>
          <w:b/>
          <w:color w:val="000000"/>
          <w:kern w:val="3"/>
          <w:sz w:val="20"/>
          <w:szCs w:val="20"/>
          <w:highlight w:val="lightGray"/>
        </w:rPr>
        <w:t>НЦБi</w:t>
      </w:r>
      <w:proofErr w:type="spellEnd"/>
      <w:r w:rsidRPr="00712302">
        <w:rPr>
          <w:rFonts w:ascii="Times New Roman" w:hAnsi="Times New Roman" w:cs="Times New Roman"/>
          <w:b/>
          <w:color w:val="000000"/>
          <w:kern w:val="3"/>
          <w:sz w:val="20"/>
          <w:szCs w:val="20"/>
          <w:highlight w:val="lightGray"/>
        </w:rPr>
        <w:t>(2</w:t>
      </w:r>
      <w:r w:rsidR="00482B44">
        <w:rPr>
          <w:rFonts w:ascii="Times New Roman" w:hAnsi="Times New Roman" w:cs="Times New Roman"/>
          <w:b/>
          <w:color w:val="000000"/>
          <w:kern w:val="3"/>
          <w:sz w:val="20"/>
          <w:szCs w:val="20"/>
        </w:rPr>
        <w:t>)</w:t>
      </w:r>
      <w:proofErr w:type="gramEnd"/>
    </w:p>
    <w:p w:rsidR="00CE48CF" w:rsidRPr="00C838F0" w:rsidRDefault="00CE48CF" w:rsidP="00EE62CA">
      <w:pPr>
        <w:autoSpaceDN w:val="0"/>
        <w:jc w:val="both"/>
        <w:textAlignment w:val="baseline"/>
        <w:rPr>
          <w:rFonts w:ascii="Times New Roman" w:hAnsi="Times New Roman" w:cs="Times New Roman"/>
          <w:color w:val="000000"/>
          <w:kern w:val="3"/>
          <w:sz w:val="22"/>
          <w:szCs w:val="22"/>
        </w:rPr>
      </w:pPr>
      <w:r w:rsidRPr="00C838F0">
        <w:rPr>
          <w:rFonts w:ascii="Times New Roman" w:hAnsi="Times New Roman" w:cs="Times New Roman"/>
          <w:color w:val="000000"/>
          <w:kern w:val="3"/>
          <w:sz w:val="22"/>
          <w:szCs w:val="22"/>
        </w:rPr>
        <w:t xml:space="preserve">По результатам расчета итогового рейтинга для каждой заявки им присуждаются порядковые номера. </w:t>
      </w:r>
    </w:p>
    <w:p w:rsidR="00CE48CF" w:rsidRPr="00C838F0" w:rsidRDefault="00CE48CF" w:rsidP="00EE62CA">
      <w:pPr>
        <w:autoSpaceDN w:val="0"/>
        <w:jc w:val="both"/>
        <w:textAlignment w:val="baseline"/>
        <w:rPr>
          <w:rFonts w:ascii="Times New Roman" w:hAnsi="Times New Roman" w:cs="Times New Roman"/>
          <w:color w:val="000000"/>
          <w:kern w:val="3"/>
          <w:sz w:val="22"/>
          <w:szCs w:val="22"/>
        </w:rPr>
      </w:pPr>
      <w:r w:rsidRPr="00C838F0">
        <w:rPr>
          <w:rFonts w:ascii="Times New Roman" w:hAnsi="Times New Roman" w:cs="Times New Roman"/>
          <w:color w:val="000000"/>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C838F0">
        <w:rPr>
          <w:rFonts w:ascii="Times New Roman" w:hAnsi="Times New Roman" w:cs="Times New Roman"/>
          <w:color w:val="000000"/>
          <w:kern w:val="3"/>
          <w:sz w:val="22"/>
          <w:szCs w:val="22"/>
        </w:rPr>
        <w:t xml:space="preserve"> Последующие номера присваиваются заявкам по мере уменьшения их итогового рейтинга. При равенстве оценок по всем критериям предпочтение отдается заявке, которая поступила ранее.</w:t>
      </w:r>
    </w:p>
    <w:p w:rsidR="00CE775C" w:rsidRPr="00C838F0" w:rsidRDefault="00CE775C" w:rsidP="00EE62CA">
      <w:pPr>
        <w:pStyle w:val="Standard"/>
        <w:spacing w:after="0" w:line="240" w:lineRule="auto"/>
        <w:jc w:val="both"/>
        <w:rPr>
          <w:rFonts w:cs="Times New Roman"/>
        </w:rPr>
      </w:pPr>
    </w:p>
    <w:p w:rsidR="00CE775C" w:rsidRPr="00C838F0" w:rsidRDefault="00CE775C" w:rsidP="00EE62CA">
      <w:pPr>
        <w:pStyle w:val="Standard"/>
        <w:numPr>
          <w:ilvl w:val="0"/>
          <w:numId w:val="1"/>
        </w:numPr>
        <w:spacing w:after="0" w:line="240" w:lineRule="auto"/>
        <w:ind w:left="0" w:firstLine="0"/>
        <w:jc w:val="center"/>
        <w:rPr>
          <w:rFonts w:cs="Times New Roman"/>
          <w:b/>
          <w:bCs/>
        </w:rPr>
      </w:pPr>
      <w:r w:rsidRPr="00C838F0">
        <w:rPr>
          <w:rFonts w:cs="Times New Roman"/>
          <w:b/>
          <w:bCs/>
        </w:rPr>
        <w:t>Оценка заявок (предложений) по стоимостным критериям оценки</w:t>
      </w:r>
      <w:r w:rsidR="00BF11FC" w:rsidRPr="00C838F0">
        <w:rPr>
          <w:rFonts w:cs="Times New Roman"/>
          <w:b/>
          <w:bCs/>
        </w:rPr>
        <w:t xml:space="preserve"> (указанным в п.</w:t>
      </w:r>
      <w:r w:rsidR="00793E70">
        <w:rPr>
          <w:rFonts w:cs="Times New Roman"/>
          <w:b/>
          <w:bCs/>
        </w:rPr>
        <w:t>2</w:t>
      </w:r>
      <w:r w:rsidR="00BF11FC" w:rsidRPr="00C838F0">
        <w:rPr>
          <w:rFonts w:cs="Times New Roman"/>
          <w:b/>
          <w:bCs/>
        </w:rPr>
        <w:t xml:space="preserve"> </w:t>
      </w:r>
      <w:r w:rsidR="00784848" w:rsidRPr="00C838F0">
        <w:rPr>
          <w:rFonts w:cs="Times New Roman"/>
          <w:b/>
          <w:kern w:val="3"/>
        </w:rPr>
        <w:t>Критериев</w:t>
      </w:r>
      <w:r w:rsidR="00BF11FC" w:rsidRPr="00C838F0">
        <w:rPr>
          <w:rFonts w:cs="Times New Roman"/>
          <w:b/>
          <w:kern w:val="3"/>
        </w:rPr>
        <w:t xml:space="preserve"> оценки заявок)</w:t>
      </w:r>
    </w:p>
    <w:p w:rsidR="00CE775C" w:rsidRPr="00C838F0" w:rsidRDefault="00CE775C" w:rsidP="00EE62CA">
      <w:pPr>
        <w:pStyle w:val="Standard"/>
        <w:spacing w:after="0" w:line="240" w:lineRule="auto"/>
        <w:jc w:val="both"/>
        <w:rPr>
          <w:rFonts w:cs="Times New Roman"/>
        </w:rPr>
      </w:pPr>
    </w:p>
    <w:p w:rsidR="00CE775C" w:rsidRPr="00C838F0" w:rsidRDefault="00CE775C" w:rsidP="00EE62CA">
      <w:pPr>
        <w:pStyle w:val="Standard"/>
        <w:numPr>
          <w:ilvl w:val="1"/>
          <w:numId w:val="1"/>
        </w:numPr>
        <w:spacing w:after="0" w:line="240" w:lineRule="auto"/>
        <w:ind w:left="0" w:firstLine="0"/>
        <w:jc w:val="both"/>
        <w:rPr>
          <w:rFonts w:cs="Times New Roman"/>
        </w:rPr>
      </w:pPr>
      <w:r w:rsidRPr="00C838F0">
        <w:rPr>
          <w:rFonts w:cs="Times New Roman"/>
        </w:rPr>
        <w:t xml:space="preserve">Количество баллов, присуждаемых по критериям оценки </w:t>
      </w:r>
      <w:r w:rsidRPr="00712302">
        <w:rPr>
          <w:rFonts w:cs="Times New Roman"/>
          <w:highlight w:val="lightGray"/>
        </w:rPr>
        <w:t>«цена договора или сумма цен единиц товара, работы, услуги» (</w:t>
      </w:r>
      <w:proofErr w:type="spellStart"/>
      <w:r w:rsidRPr="00712302">
        <w:rPr>
          <w:rFonts w:cs="Times New Roman"/>
          <w:highlight w:val="lightGray"/>
        </w:rPr>
        <w:t>ЦБ</w:t>
      </w:r>
      <w:proofErr w:type="gramStart"/>
      <w:r w:rsidRPr="00712302">
        <w:rPr>
          <w:rFonts w:cs="Times New Roman"/>
          <w:highlight w:val="lightGray"/>
        </w:rPr>
        <w:t>i</w:t>
      </w:r>
      <w:proofErr w:type="spellEnd"/>
      <w:proofErr w:type="gramEnd"/>
      <w:r w:rsidRPr="00712302">
        <w:rPr>
          <w:rFonts w:cs="Times New Roman"/>
          <w:highlight w:val="lightGray"/>
        </w:rPr>
        <w:t>)</w:t>
      </w:r>
      <w:r w:rsidRPr="00C838F0">
        <w:rPr>
          <w:rFonts w:cs="Times New Roman"/>
        </w:rPr>
        <w:t xml:space="preserve">  определяется по формуле:</w:t>
      </w:r>
    </w:p>
    <w:p w:rsidR="00CE775C" w:rsidRPr="00C838F0" w:rsidRDefault="00CE775C" w:rsidP="00EE62CA">
      <w:pPr>
        <w:pStyle w:val="Standard"/>
        <w:spacing w:after="0" w:line="240" w:lineRule="auto"/>
        <w:jc w:val="both"/>
        <w:rPr>
          <w:rFonts w:cs="Times New Roman"/>
        </w:rPr>
      </w:pPr>
    </w:p>
    <w:tbl>
      <w:tblPr>
        <w:tblW w:w="3120" w:type="dxa"/>
        <w:tblInd w:w="294" w:type="dxa"/>
        <w:tblLayout w:type="fixed"/>
        <w:tblCellMar>
          <w:left w:w="10" w:type="dxa"/>
          <w:right w:w="10" w:type="dxa"/>
        </w:tblCellMar>
        <w:tblLook w:val="0000" w:firstRow="0" w:lastRow="0" w:firstColumn="0" w:lastColumn="0" w:noHBand="0" w:noVBand="0"/>
      </w:tblPr>
      <w:tblGrid>
        <w:gridCol w:w="900"/>
        <w:gridCol w:w="1200"/>
        <w:gridCol w:w="1020"/>
      </w:tblGrid>
      <w:tr w:rsidR="00CE775C" w:rsidRPr="00C838F0" w:rsidTr="00943317">
        <w:tc>
          <w:tcPr>
            <w:tcW w:w="900" w:type="dxa"/>
            <w:vMerge w:val="restart"/>
            <w:shd w:val="clear" w:color="auto" w:fill="FFFFFF"/>
            <w:tcMar>
              <w:top w:w="55" w:type="dxa"/>
              <w:left w:w="55" w:type="dxa"/>
              <w:bottom w:w="55" w:type="dxa"/>
              <w:right w:w="55" w:type="dxa"/>
            </w:tcMar>
            <w:vAlign w:val="center"/>
          </w:tcPr>
          <w:p w:rsidR="00CE775C" w:rsidRPr="00C838F0" w:rsidRDefault="00CE775C" w:rsidP="00EE62CA">
            <w:pPr>
              <w:pStyle w:val="Standard"/>
              <w:spacing w:after="0" w:line="240" w:lineRule="auto"/>
              <w:jc w:val="both"/>
              <w:rPr>
                <w:rFonts w:cs="Times New Roman"/>
                <w:b/>
              </w:rPr>
            </w:pPr>
            <w:proofErr w:type="spellStart"/>
            <w:r w:rsidRPr="00C838F0">
              <w:rPr>
                <w:rFonts w:cs="Times New Roman"/>
                <w:b/>
              </w:rPr>
              <w:lastRenderedPageBreak/>
              <w:t>ЦБi</w:t>
            </w:r>
            <w:proofErr w:type="spellEnd"/>
            <w:r w:rsidRPr="00C838F0">
              <w:rPr>
                <w:rFonts w:cs="Times New Roman"/>
                <w:b/>
              </w:rPr>
              <w:t xml:space="preserve">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CE775C" w:rsidRPr="00C838F0" w:rsidRDefault="00CE775C" w:rsidP="00EE62CA">
            <w:pPr>
              <w:pStyle w:val="Standard"/>
              <w:spacing w:after="0" w:line="240" w:lineRule="auto"/>
              <w:jc w:val="both"/>
              <w:rPr>
                <w:rFonts w:cs="Times New Roman"/>
                <w:b/>
              </w:rPr>
            </w:pPr>
            <w:proofErr w:type="spellStart"/>
            <w:r w:rsidRPr="00C838F0">
              <w:rPr>
                <w:rFonts w:cs="Times New Roman"/>
                <w:b/>
              </w:rPr>
              <w:t>Цmin</w:t>
            </w:r>
            <w:proofErr w:type="spellEnd"/>
          </w:p>
        </w:tc>
        <w:tc>
          <w:tcPr>
            <w:tcW w:w="1020" w:type="dxa"/>
            <w:vMerge w:val="restart"/>
            <w:shd w:val="clear" w:color="auto" w:fill="FFFFFF"/>
            <w:tcMar>
              <w:top w:w="55" w:type="dxa"/>
              <w:left w:w="55" w:type="dxa"/>
              <w:bottom w:w="55" w:type="dxa"/>
              <w:right w:w="55" w:type="dxa"/>
            </w:tcMar>
            <w:vAlign w:val="center"/>
          </w:tcPr>
          <w:p w:rsidR="00CE775C" w:rsidRPr="00C838F0" w:rsidRDefault="00CE775C" w:rsidP="00EE62CA">
            <w:pPr>
              <w:pStyle w:val="Standard"/>
              <w:spacing w:after="0" w:line="240" w:lineRule="auto"/>
              <w:jc w:val="both"/>
              <w:rPr>
                <w:rFonts w:cs="Times New Roman"/>
                <w:b/>
              </w:rPr>
            </w:pPr>
            <w:r w:rsidRPr="00C838F0">
              <w:rPr>
                <w:rFonts w:cs="Times New Roman"/>
                <w:b/>
              </w:rPr>
              <w:t xml:space="preserve"> × 100</w:t>
            </w:r>
          </w:p>
        </w:tc>
      </w:tr>
      <w:tr w:rsidR="00CE775C" w:rsidRPr="00C838F0" w:rsidTr="00943317">
        <w:tc>
          <w:tcPr>
            <w:tcW w:w="900" w:type="dxa"/>
            <w:vMerge/>
            <w:shd w:val="clear" w:color="auto" w:fill="FFFFFF"/>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c>
          <w:tcPr>
            <w:tcW w:w="1200" w:type="dxa"/>
            <w:shd w:val="clear" w:color="auto" w:fill="FFFFFF"/>
            <w:tcMar>
              <w:top w:w="55" w:type="dxa"/>
              <w:left w:w="55" w:type="dxa"/>
              <w:bottom w:w="55" w:type="dxa"/>
              <w:right w:w="55" w:type="dxa"/>
            </w:tcMar>
          </w:tcPr>
          <w:p w:rsidR="00CE775C" w:rsidRPr="00C838F0" w:rsidRDefault="00CE775C" w:rsidP="00EE62CA">
            <w:pPr>
              <w:pStyle w:val="Standard"/>
              <w:spacing w:after="0" w:line="240" w:lineRule="auto"/>
              <w:jc w:val="both"/>
              <w:rPr>
                <w:rFonts w:cs="Times New Roman"/>
                <w:b/>
              </w:rPr>
            </w:pPr>
            <w:proofErr w:type="spellStart"/>
            <w:r w:rsidRPr="00C838F0">
              <w:rPr>
                <w:rFonts w:cs="Times New Roman"/>
                <w:b/>
              </w:rPr>
              <w:t>Цi</w:t>
            </w:r>
            <w:proofErr w:type="spellEnd"/>
          </w:p>
        </w:tc>
        <w:tc>
          <w:tcPr>
            <w:tcW w:w="1020" w:type="dxa"/>
            <w:vMerge/>
            <w:shd w:val="clear" w:color="auto" w:fill="FFFFFF"/>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r>
    </w:tbl>
    <w:p w:rsidR="00CE775C" w:rsidRPr="00C838F0" w:rsidRDefault="00CE775C" w:rsidP="00EE62CA">
      <w:pPr>
        <w:pStyle w:val="Standard"/>
        <w:spacing w:after="0" w:line="240" w:lineRule="auto"/>
        <w:jc w:val="both"/>
        <w:rPr>
          <w:rFonts w:cs="Times New Roman"/>
        </w:rPr>
      </w:pPr>
      <w:r w:rsidRPr="00C838F0">
        <w:rPr>
          <w:rFonts w:cs="Times New Roman"/>
        </w:rPr>
        <w:t>где:</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Цi</w:t>
      </w:r>
      <w:proofErr w:type="spellEnd"/>
      <w:r w:rsidRPr="00C838F0">
        <w:rPr>
          <w:rFonts w:cs="Times New Roman"/>
        </w:rPr>
        <w:t xml:space="preserve"> – ценовое предложение участника закупки, заявка (предложение) которого оценивается;</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Цmin</w:t>
      </w:r>
      <w:proofErr w:type="spellEnd"/>
      <w:r w:rsidRPr="00C838F0">
        <w:rPr>
          <w:rFonts w:cs="Times New Roman"/>
        </w:rPr>
        <w:t xml:space="preserve"> – минимальное ценовое предложение из ценовых предложений по критерию оценки, сделанных участниками закупки;</w:t>
      </w:r>
    </w:p>
    <w:p w:rsidR="00CE775C" w:rsidRPr="00C838F0" w:rsidRDefault="00CE775C" w:rsidP="00EE62CA">
      <w:pPr>
        <w:pStyle w:val="Standard"/>
        <w:spacing w:after="0" w:line="240" w:lineRule="auto"/>
        <w:jc w:val="both"/>
        <w:rPr>
          <w:rFonts w:cs="Times New Roman"/>
        </w:rPr>
      </w:pPr>
      <w:r w:rsidRPr="00C838F0">
        <w:rPr>
          <w:rFonts w:cs="Times New Roman"/>
        </w:rPr>
        <w:t>Для расчета итогового рейтинга заявки (предложения) по критерию (</w:t>
      </w:r>
      <w:proofErr w:type="spellStart"/>
      <w:r w:rsidRPr="00C838F0">
        <w:rPr>
          <w:rFonts w:cs="Times New Roman"/>
        </w:rPr>
        <w:t>ЦБi</w:t>
      </w:r>
      <w:proofErr w:type="spellEnd"/>
      <w:r w:rsidRPr="00C838F0">
        <w:rPr>
          <w:rFonts w:cs="Times New Roman"/>
        </w:rPr>
        <w:t xml:space="preserve">) «цена договора или сумма цен единиц товара, работы, услуги» в соответствии с пунктом </w:t>
      </w:r>
      <w:r w:rsidR="00EB50CB" w:rsidRPr="00C838F0">
        <w:rPr>
          <w:rFonts w:cs="Times New Roman"/>
        </w:rPr>
        <w:t>3</w:t>
      </w:r>
      <w:r w:rsidR="001726EB" w:rsidRPr="00C838F0">
        <w:rPr>
          <w:rFonts w:cs="Times New Roman"/>
        </w:rPr>
        <w:t>.6.</w:t>
      </w:r>
      <w:r w:rsidRPr="00C838F0">
        <w:rPr>
          <w:rFonts w:cs="Times New Roman"/>
        </w:rPr>
        <w:t xml:space="preserve"> настоящего Порядка, количество баллов (рейтинг), присуждаемых заявке по критерию (</w:t>
      </w:r>
      <w:proofErr w:type="spellStart"/>
      <w:r w:rsidRPr="00C838F0">
        <w:rPr>
          <w:rFonts w:cs="Times New Roman"/>
        </w:rPr>
        <w:t>ЦБi</w:t>
      </w:r>
      <w:proofErr w:type="spellEnd"/>
      <w:r w:rsidRPr="00C838F0">
        <w:rPr>
          <w:rFonts w:cs="Times New Roman"/>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CE775C" w:rsidRPr="00C838F0" w:rsidRDefault="00CE775C" w:rsidP="00EE62CA">
      <w:pPr>
        <w:pStyle w:val="Standard"/>
        <w:spacing w:after="0" w:line="240" w:lineRule="auto"/>
        <w:jc w:val="both"/>
        <w:rPr>
          <w:rFonts w:cs="Times New Roman"/>
          <w:b/>
          <w:bCs/>
          <w:shd w:val="clear" w:color="auto" w:fill="FFFF00"/>
        </w:rPr>
      </w:pPr>
    </w:p>
    <w:p w:rsidR="00CE775C" w:rsidRPr="00C838F0" w:rsidRDefault="00CE775C" w:rsidP="00EE62CA">
      <w:pPr>
        <w:pStyle w:val="Standard"/>
        <w:numPr>
          <w:ilvl w:val="0"/>
          <w:numId w:val="1"/>
        </w:numPr>
        <w:spacing w:after="0" w:line="240" w:lineRule="auto"/>
        <w:ind w:left="0" w:firstLine="0"/>
        <w:jc w:val="center"/>
        <w:rPr>
          <w:rFonts w:cs="Times New Roman"/>
          <w:b/>
          <w:bCs/>
        </w:rPr>
      </w:pPr>
      <w:r w:rsidRPr="00C838F0">
        <w:rPr>
          <w:rFonts w:cs="Times New Roman"/>
          <w:b/>
          <w:bCs/>
        </w:rPr>
        <w:t xml:space="preserve">Оценка заявок (предложений) по </w:t>
      </w:r>
      <w:proofErr w:type="spellStart"/>
      <w:r w:rsidRPr="00C838F0">
        <w:rPr>
          <w:rFonts w:cs="Times New Roman"/>
          <w:b/>
          <w:bCs/>
        </w:rPr>
        <w:t>нестоимостным</w:t>
      </w:r>
      <w:proofErr w:type="spellEnd"/>
      <w:r w:rsidRPr="00C838F0">
        <w:rPr>
          <w:rFonts w:cs="Times New Roman"/>
          <w:b/>
          <w:bCs/>
        </w:rPr>
        <w:t xml:space="preserve"> критериям оценки</w:t>
      </w:r>
      <w:r w:rsidR="00EB50CB" w:rsidRPr="00C838F0">
        <w:rPr>
          <w:rFonts w:cs="Times New Roman"/>
          <w:b/>
          <w:bCs/>
        </w:rPr>
        <w:t xml:space="preserve"> (указанным в п.2 </w:t>
      </w:r>
      <w:r w:rsidR="00EB50CB" w:rsidRPr="00C838F0">
        <w:rPr>
          <w:rFonts w:cs="Times New Roman"/>
          <w:b/>
          <w:kern w:val="3"/>
        </w:rPr>
        <w:t>Критериев оценки заявок)</w:t>
      </w:r>
    </w:p>
    <w:p w:rsidR="00CE775C" w:rsidRPr="00C838F0" w:rsidRDefault="00CE775C" w:rsidP="00EE62CA">
      <w:pPr>
        <w:pStyle w:val="Standard"/>
        <w:spacing w:after="0" w:line="240" w:lineRule="auto"/>
        <w:jc w:val="both"/>
        <w:rPr>
          <w:rFonts w:cs="Times New Roman"/>
        </w:rPr>
      </w:pPr>
    </w:p>
    <w:p w:rsidR="00CE775C" w:rsidRPr="00C838F0" w:rsidRDefault="00EE62CA" w:rsidP="00EE62CA">
      <w:pPr>
        <w:pStyle w:val="Standard"/>
        <w:spacing w:after="0" w:line="240" w:lineRule="auto"/>
        <w:jc w:val="both"/>
        <w:rPr>
          <w:rFonts w:cs="Times New Roman"/>
        </w:rPr>
      </w:pPr>
      <w:r w:rsidRPr="00C838F0">
        <w:rPr>
          <w:rFonts w:cs="Times New Roman"/>
        </w:rPr>
        <w:t>5</w:t>
      </w:r>
      <w:r w:rsidR="001C1D9C" w:rsidRPr="00C838F0">
        <w:rPr>
          <w:rFonts w:cs="Times New Roman"/>
        </w:rPr>
        <w:t xml:space="preserve">.1. </w:t>
      </w:r>
      <w:r w:rsidR="00CE775C" w:rsidRPr="00C838F0">
        <w:rPr>
          <w:rFonts w:cs="Times New Roman"/>
        </w:rPr>
        <w:t xml:space="preserve">Показателями </w:t>
      </w:r>
      <w:proofErr w:type="spellStart"/>
      <w:r w:rsidR="00CE775C" w:rsidRPr="00C838F0">
        <w:rPr>
          <w:rFonts w:cs="Times New Roman"/>
        </w:rPr>
        <w:t>нестоимостного</w:t>
      </w:r>
      <w:proofErr w:type="spellEnd"/>
      <w:r w:rsidR="00CE775C" w:rsidRPr="00C838F0">
        <w:rPr>
          <w:rFonts w:cs="Times New Roman"/>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CE775C" w:rsidRPr="002D5DA3" w:rsidRDefault="00CE775C" w:rsidP="00EE62CA">
      <w:pPr>
        <w:pStyle w:val="Standard"/>
        <w:spacing w:after="0" w:line="240" w:lineRule="auto"/>
        <w:jc w:val="both"/>
        <w:rPr>
          <w:rFonts w:cs="Times New Roman"/>
        </w:rPr>
      </w:pPr>
      <w:r w:rsidRPr="002D5DA3">
        <w:rPr>
          <w:rFonts w:cs="Times New Roman"/>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CE775C" w:rsidRPr="00712302" w:rsidRDefault="00CE775C" w:rsidP="00EE62CA">
      <w:pPr>
        <w:pStyle w:val="Standard"/>
        <w:spacing w:after="0" w:line="240" w:lineRule="auto"/>
        <w:jc w:val="both"/>
        <w:rPr>
          <w:rFonts w:cs="Times New Roman"/>
          <w:highlight w:val="lightGray"/>
        </w:rPr>
      </w:pPr>
      <w:r w:rsidRPr="00712302">
        <w:rPr>
          <w:rFonts w:cs="Times New Roman"/>
          <w:highlight w:val="lightGray"/>
        </w:rPr>
        <w:t>б) опыт участника по успешной поставке товара, выполнению работ, оказанию услуг сопоставимого характера и объема;</w:t>
      </w:r>
    </w:p>
    <w:p w:rsidR="00CE775C" w:rsidRPr="00C838F0" w:rsidRDefault="00CE775C" w:rsidP="00EE62CA">
      <w:pPr>
        <w:pStyle w:val="Standard"/>
        <w:spacing w:after="0" w:line="240" w:lineRule="auto"/>
        <w:jc w:val="both"/>
        <w:rPr>
          <w:rFonts w:cs="Times New Roman"/>
        </w:rPr>
      </w:pPr>
      <w:r w:rsidRPr="00712302">
        <w:rPr>
          <w:rFonts w:cs="Times New Roman"/>
          <w:highlight w:val="lightGray"/>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w:t>
      </w:r>
      <w:r w:rsidRPr="00C838F0">
        <w:rPr>
          <w:rFonts w:cs="Times New Roman"/>
        </w:rPr>
        <w:t xml:space="preserve"> технологического оборудования, необходимых для поставки товаров, выполнения работ, оказания услуг;</w:t>
      </w:r>
    </w:p>
    <w:p w:rsidR="00CE775C" w:rsidRPr="00C838F0" w:rsidRDefault="00CE775C" w:rsidP="00EE62CA">
      <w:pPr>
        <w:pStyle w:val="Standard"/>
        <w:spacing w:after="0" w:line="240" w:lineRule="auto"/>
        <w:jc w:val="both"/>
        <w:rPr>
          <w:rFonts w:cs="Times New Roman"/>
        </w:rPr>
      </w:pPr>
      <w:r w:rsidRPr="006E2C6B">
        <w:rPr>
          <w:rFonts w:cs="Times New Roman"/>
        </w:rPr>
        <w:t>г) обеспеченность участника закупки трудовыми ресурсами</w:t>
      </w:r>
      <w:r w:rsidRPr="00C838F0">
        <w:rPr>
          <w:rFonts w:cs="Times New Roman"/>
        </w:rPr>
        <w:t>;</w:t>
      </w:r>
    </w:p>
    <w:p w:rsidR="00CE775C" w:rsidRPr="00C838F0" w:rsidRDefault="00CE775C" w:rsidP="00EE62CA">
      <w:pPr>
        <w:pStyle w:val="Standard"/>
        <w:spacing w:after="0" w:line="240" w:lineRule="auto"/>
        <w:jc w:val="both"/>
        <w:rPr>
          <w:rFonts w:cs="Times New Roman"/>
        </w:rPr>
      </w:pPr>
      <w:r w:rsidRPr="00482B44">
        <w:rPr>
          <w:rFonts w:cs="Times New Roman"/>
          <w:highlight w:val="lightGray"/>
        </w:rPr>
        <w:t>д) деловая репутация участника закупки.</w:t>
      </w:r>
    </w:p>
    <w:p w:rsidR="00CE775C" w:rsidRPr="00C838F0" w:rsidRDefault="00EE62CA" w:rsidP="00EE62CA">
      <w:pPr>
        <w:pStyle w:val="Standard"/>
        <w:spacing w:after="0" w:line="240" w:lineRule="auto"/>
        <w:jc w:val="both"/>
        <w:rPr>
          <w:rFonts w:cs="Times New Roman"/>
        </w:rPr>
      </w:pPr>
      <w:r w:rsidRPr="00C838F0">
        <w:rPr>
          <w:rFonts w:cs="Times New Roman"/>
        </w:rPr>
        <w:t>5</w:t>
      </w:r>
      <w:r w:rsidR="001C1D9C" w:rsidRPr="00C838F0">
        <w:rPr>
          <w:rFonts w:cs="Times New Roman"/>
        </w:rPr>
        <w:t xml:space="preserve">.2. </w:t>
      </w:r>
      <w:r w:rsidR="00CE775C" w:rsidRPr="00C838F0">
        <w:rPr>
          <w:rFonts w:cs="Times New Roman"/>
        </w:rPr>
        <w:t xml:space="preserve">Показателями </w:t>
      </w:r>
      <w:proofErr w:type="spellStart"/>
      <w:r w:rsidR="00CE775C" w:rsidRPr="00C838F0">
        <w:rPr>
          <w:rFonts w:cs="Times New Roman"/>
        </w:rPr>
        <w:t>нестоимостного</w:t>
      </w:r>
      <w:proofErr w:type="spellEnd"/>
      <w:r w:rsidR="00CE775C" w:rsidRPr="00C838F0">
        <w:rPr>
          <w:rFonts w:cs="Times New Roman"/>
        </w:rPr>
        <w:t xml:space="preserve"> критерия оценки </w:t>
      </w:r>
      <w:r w:rsidR="00CE775C" w:rsidRPr="00712302">
        <w:rPr>
          <w:rFonts w:cs="Times New Roman"/>
          <w:highlight w:val="lightGray"/>
        </w:rPr>
        <w:t>«качественные характеристики объекта закупок»</w:t>
      </w:r>
      <w:r w:rsidR="00CE775C" w:rsidRPr="00C838F0">
        <w:rPr>
          <w:rFonts w:cs="Times New Roman"/>
        </w:rPr>
        <w:t xml:space="preserve"> в том числе могут быть:</w:t>
      </w:r>
    </w:p>
    <w:p w:rsidR="00CE775C" w:rsidRPr="00C838F0" w:rsidRDefault="00CE775C" w:rsidP="00EE62CA">
      <w:pPr>
        <w:pStyle w:val="Standard"/>
        <w:spacing w:after="0" w:line="240" w:lineRule="auto"/>
        <w:jc w:val="both"/>
        <w:rPr>
          <w:rFonts w:cs="Times New Roman"/>
        </w:rPr>
      </w:pPr>
      <w:r w:rsidRPr="00C838F0">
        <w:rPr>
          <w:rFonts w:cs="Times New Roman"/>
        </w:rPr>
        <w:t>а) качество товаров (качество услуг);</w:t>
      </w:r>
    </w:p>
    <w:p w:rsidR="00CE775C" w:rsidRPr="00C838F0" w:rsidRDefault="00CE775C" w:rsidP="00EE62CA">
      <w:pPr>
        <w:pStyle w:val="Standard"/>
        <w:spacing w:after="0" w:line="240" w:lineRule="auto"/>
        <w:jc w:val="both"/>
        <w:rPr>
          <w:rFonts w:cs="Times New Roman"/>
        </w:rPr>
      </w:pPr>
      <w:r w:rsidRPr="00C838F0">
        <w:rPr>
          <w:rFonts w:cs="Times New Roman"/>
        </w:rPr>
        <w:t>б) функциональные, потребительские свойства товара;</w:t>
      </w:r>
    </w:p>
    <w:p w:rsidR="00CE775C" w:rsidRPr="00482B44" w:rsidRDefault="00CE775C" w:rsidP="00EE62CA">
      <w:pPr>
        <w:pStyle w:val="Standard"/>
        <w:spacing w:after="0" w:line="240" w:lineRule="auto"/>
        <w:jc w:val="both"/>
        <w:rPr>
          <w:rFonts w:cs="Times New Roman"/>
        </w:rPr>
      </w:pPr>
      <w:r w:rsidRPr="00482B44">
        <w:rPr>
          <w:rFonts w:cs="Times New Roman"/>
        </w:rPr>
        <w:t>в) соответствие экологическим нормам.</w:t>
      </w:r>
    </w:p>
    <w:p w:rsidR="00CE775C" w:rsidRPr="00482B44" w:rsidRDefault="00CE775C" w:rsidP="00EE62CA">
      <w:pPr>
        <w:pStyle w:val="Standard"/>
        <w:spacing w:after="0" w:line="240" w:lineRule="auto"/>
        <w:jc w:val="both"/>
        <w:rPr>
          <w:rFonts w:cs="Times New Roman"/>
        </w:rPr>
      </w:pPr>
      <w:r w:rsidRPr="00482B44">
        <w:rPr>
          <w:rFonts w:cs="Times New Roman"/>
        </w:rPr>
        <w:t>Количество баллов, присваиваемых заявке (предложению) по показателям</w:t>
      </w:r>
      <w:r w:rsidR="001C1D9C" w:rsidRPr="00482B44">
        <w:rPr>
          <w:rFonts w:cs="Times New Roman"/>
        </w:rPr>
        <w:t xml:space="preserve"> «качественные характеристики объекта закупок» </w:t>
      </w:r>
      <w:r w:rsidRPr="00482B44">
        <w:rPr>
          <w:rFonts w:cs="Times New Roman"/>
        </w:rPr>
        <w:t>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CE775C" w:rsidRPr="00C838F0" w:rsidRDefault="00EE62CA" w:rsidP="00EE62CA">
      <w:pPr>
        <w:pStyle w:val="Standard"/>
        <w:spacing w:after="0" w:line="240" w:lineRule="auto"/>
        <w:jc w:val="both"/>
        <w:rPr>
          <w:rFonts w:cs="Times New Roman"/>
          <w:color w:val="auto"/>
        </w:rPr>
      </w:pPr>
      <w:r w:rsidRPr="00C838F0">
        <w:rPr>
          <w:rFonts w:cs="Times New Roman"/>
        </w:rPr>
        <w:t>5</w:t>
      </w:r>
      <w:r w:rsidR="001C1D9C" w:rsidRPr="00C838F0">
        <w:rPr>
          <w:rFonts w:cs="Times New Roman"/>
        </w:rPr>
        <w:t xml:space="preserve">.3. </w:t>
      </w:r>
      <w:r w:rsidR="00CE775C" w:rsidRPr="00C838F0">
        <w:rPr>
          <w:rFonts w:cs="Times New Roman"/>
        </w:rPr>
        <w:t xml:space="preserve">Оценка заявок (предложений) по </w:t>
      </w:r>
      <w:proofErr w:type="spellStart"/>
      <w:r w:rsidR="00CE775C" w:rsidRPr="00C838F0">
        <w:rPr>
          <w:rFonts w:cs="Times New Roman"/>
        </w:rPr>
        <w:t>нестоимостному</w:t>
      </w:r>
      <w:proofErr w:type="spellEnd"/>
      <w:r w:rsidR="00CE775C" w:rsidRPr="00C838F0">
        <w:rPr>
          <w:rFonts w:cs="Times New Roman"/>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r w:rsidR="00CE775C" w:rsidRPr="00C838F0">
        <w:rPr>
          <w:rFonts w:cs="Times New Roman"/>
          <w:color w:val="auto"/>
        </w:rPr>
        <w:t>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w:t>
      </w:r>
      <w:r w:rsidR="001B2AC2" w:rsidRPr="00C838F0">
        <w:rPr>
          <w:rFonts w:cs="Times New Roman"/>
          <w:color w:val="auto"/>
        </w:rPr>
        <w:t xml:space="preserve"> (формула расчета приведена в пункте </w:t>
      </w:r>
      <w:r w:rsidRPr="00C838F0">
        <w:rPr>
          <w:rFonts w:cs="Times New Roman"/>
          <w:color w:val="auto"/>
        </w:rPr>
        <w:t>5</w:t>
      </w:r>
      <w:r w:rsidR="001B2AC2" w:rsidRPr="00C838F0">
        <w:rPr>
          <w:rFonts w:cs="Times New Roman"/>
          <w:color w:val="auto"/>
        </w:rPr>
        <w:t>.5 настоящего Порядка).</w:t>
      </w:r>
    </w:p>
    <w:p w:rsidR="00CE775C" w:rsidRPr="00C838F0" w:rsidRDefault="00CE775C" w:rsidP="00EE62CA">
      <w:pPr>
        <w:pStyle w:val="Standard"/>
        <w:spacing w:after="0" w:line="240" w:lineRule="auto"/>
        <w:jc w:val="both"/>
        <w:rPr>
          <w:rFonts w:cs="Times New Roman"/>
          <w:color w:val="auto"/>
        </w:rPr>
      </w:pPr>
      <w:r w:rsidRPr="00C838F0">
        <w:rPr>
          <w:rFonts w:cs="Times New Roman"/>
          <w:color w:val="auto"/>
        </w:rPr>
        <w:t xml:space="preserve">Оценка заявок (предложений) по данному </w:t>
      </w:r>
      <w:proofErr w:type="spellStart"/>
      <w:r w:rsidRPr="00C838F0">
        <w:rPr>
          <w:rFonts w:cs="Times New Roman"/>
          <w:color w:val="auto"/>
        </w:rPr>
        <w:t>нестоимостному</w:t>
      </w:r>
      <w:proofErr w:type="spellEnd"/>
      <w:r w:rsidRPr="00C838F0">
        <w:rPr>
          <w:rFonts w:cs="Times New Roman"/>
          <w:color w:val="auto"/>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w:t>
      </w:r>
      <w:r w:rsidRPr="00C838F0">
        <w:rPr>
          <w:rFonts w:cs="Times New Roman"/>
          <w:color w:val="auto"/>
        </w:rPr>
        <w:lastRenderedPageBreak/>
        <w:t xml:space="preserve">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w:t>
      </w:r>
      <w:r w:rsidR="00EE62CA" w:rsidRPr="00C838F0">
        <w:rPr>
          <w:rFonts w:cs="Times New Roman"/>
          <w:color w:val="auto"/>
        </w:rPr>
        <w:t>5</w:t>
      </w:r>
      <w:r w:rsidR="001B2AC2" w:rsidRPr="00C838F0">
        <w:rPr>
          <w:rFonts w:cs="Times New Roman"/>
          <w:color w:val="auto"/>
        </w:rPr>
        <w:t>.6</w:t>
      </w:r>
      <w:r w:rsidRPr="00C838F0">
        <w:rPr>
          <w:rFonts w:cs="Times New Roman"/>
          <w:color w:val="auto"/>
        </w:rPr>
        <w:t xml:space="preserve"> настоящего Порядка).</w:t>
      </w:r>
    </w:p>
    <w:p w:rsidR="00CE775C" w:rsidRPr="00C838F0" w:rsidRDefault="00CE775C" w:rsidP="00EE62CA">
      <w:pPr>
        <w:pStyle w:val="Standard"/>
        <w:spacing w:after="0" w:line="240" w:lineRule="auto"/>
        <w:jc w:val="both"/>
        <w:rPr>
          <w:rFonts w:cs="Times New Roman"/>
        </w:rPr>
      </w:pPr>
      <w:r w:rsidRPr="00C838F0">
        <w:rPr>
          <w:rFonts w:cs="Times New Roman"/>
          <w:color w:val="auto"/>
        </w:rPr>
        <w:t xml:space="preserve">Заказчик выбирает вариант оценки, указанные в пунктах </w:t>
      </w:r>
      <w:r w:rsidR="00EE62CA" w:rsidRPr="00C838F0">
        <w:rPr>
          <w:rFonts w:cs="Times New Roman"/>
          <w:color w:val="auto"/>
        </w:rPr>
        <w:t>5</w:t>
      </w:r>
      <w:r w:rsidR="001B2AC2" w:rsidRPr="00C838F0">
        <w:rPr>
          <w:rFonts w:cs="Times New Roman"/>
          <w:color w:val="auto"/>
        </w:rPr>
        <w:t>.5</w:t>
      </w:r>
      <w:r w:rsidRPr="00C838F0">
        <w:rPr>
          <w:rFonts w:cs="Times New Roman"/>
          <w:color w:val="auto"/>
        </w:rPr>
        <w:t xml:space="preserve"> или </w:t>
      </w:r>
      <w:r w:rsidR="00EE62CA" w:rsidRPr="00C838F0">
        <w:rPr>
          <w:rFonts w:cs="Times New Roman"/>
          <w:color w:val="auto"/>
        </w:rPr>
        <w:t>5</w:t>
      </w:r>
      <w:r w:rsidR="001B2AC2" w:rsidRPr="00C838F0">
        <w:rPr>
          <w:rFonts w:cs="Times New Roman"/>
          <w:color w:val="auto"/>
        </w:rPr>
        <w:t>.6</w:t>
      </w:r>
      <w:r w:rsidRPr="00C838F0">
        <w:rPr>
          <w:rFonts w:cs="Times New Roman"/>
          <w:color w:val="auto"/>
        </w:rPr>
        <w:t xml:space="preserve"> настоящего Порядка, самостоятельно</w:t>
      </w:r>
      <w:r w:rsidRPr="00C838F0">
        <w:rPr>
          <w:rFonts w:cs="Times New Roman"/>
        </w:rPr>
        <w:t>, включив его в документацию о закупке.</w:t>
      </w:r>
    </w:p>
    <w:p w:rsidR="00CE775C" w:rsidRPr="00C838F0" w:rsidRDefault="00EE62CA" w:rsidP="00EE62CA">
      <w:pPr>
        <w:pStyle w:val="Standard"/>
        <w:spacing w:after="0" w:line="240" w:lineRule="auto"/>
        <w:jc w:val="both"/>
        <w:rPr>
          <w:rFonts w:cs="Times New Roman"/>
        </w:rPr>
      </w:pPr>
      <w:r w:rsidRPr="00C838F0">
        <w:rPr>
          <w:rFonts w:cs="Times New Roman"/>
        </w:rPr>
        <w:t>5</w:t>
      </w:r>
      <w:r w:rsidR="001B2AC2" w:rsidRPr="00C838F0">
        <w:rPr>
          <w:rFonts w:cs="Times New Roman"/>
        </w:rPr>
        <w:t>.4</w:t>
      </w:r>
      <w:r w:rsidR="00CE775C" w:rsidRPr="00C838F0">
        <w:rPr>
          <w:rFonts w:cs="Times New Roman"/>
        </w:rPr>
        <w:t xml:space="preserve">.  При выборе заказчиком расчетной формулы, указанной в пункте </w:t>
      </w:r>
      <w:r w:rsidRPr="00C838F0">
        <w:rPr>
          <w:rFonts w:cs="Times New Roman"/>
        </w:rPr>
        <w:t>5</w:t>
      </w:r>
      <w:r w:rsidR="001B2AC2" w:rsidRPr="00C838F0">
        <w:rPr>
          <w:rFonts w:cs="Times New Roman"/>
        </w:rPr>
        <w:t>.5</w:t>
      </w:r>
      <w:r w:rsidR="00CE775C" w:rsidRPr="00C838F0">
        <w:rPr>
          <w:rFonts w:cs="Times New Roman"/>
        </w:rPr>
        <w:t xml:space="preserve">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E775C" w:rsidRPr="00C838F0" w:rsidRDefault="00EE62CA" w:rsidP="00EE62CA">
      <w:pPr>
        <w:pStyle w:val="Standard"/>
        <w:spacing w:after="0" w:line="240" w:lineRule="auto"/>
        <w:jc w:val="both"/>
        <w:rPr>
          <w:rFonts w:cs="Times New Roman"/>
        </w:rPr>
      </w:pPr>
      <w:r w:rsidRPr="00C838F0">
        <w:rPr>
          <w:rFonts w:cs="Times New Roman"/>
        </w:rPr>
        <w:t>5</w:t>
      </w:r>
      <w:r w:rsidR="001B2AC2" w:rsidRPr="00C838F0">
        <w:rPr>
          <w:rFonts w:cs="Times New Roman"/>
        </w:rPr>
        <w:t>.5</w:t>
      </w:r>
      <w:r w:rsidR="00CE775C" w:rsidRPr="00C838F0">
        <w:rPr>
          <w:rFonts w:cs="Times New Roman"/>
        </w:rPr>
        <w:t xml:space="preserve">. Количество баллов, присуждаемых по критерию оценки (показателю) «квалификация участников закупки, в том числе </w:t>
      </w:r>
      <w:r w:rsidR="00CE775C" w:rsidRPr="00482B44">
        <w:rPr>
          <w:rFonts w:cs="Times New Roman"/>
        </w:rPr>
        <w:t>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w:t>
      </w:r>
      <w:r w:rsidR="00CE775C" w:rsidRPr="00482B44">
        <w:rPr>
          <w:rFonts w:cs="Times New Roman"/>
          <w:b/>
          <w:i/>
        </w:rPr>
        <w:t>,</w:t>
      </w:r>
      <w:r w:rsidR="00CE775C" w:rsidRPr="00482B44">
        <w:rPr>
          <w:rFonts w:cs="Times New Roman"/>
        </w:rPr>
        <w:t xml:space="preserve"> </w:t>
      </w:r>
      <w:r w:rsidR="00CE775C" w:rsidRPr="00482B44">
        <w:rPr>
          <w:rFonts w:cs="Times New Roman"/>
          <w:highlight w:val="lightGray"/>
        </w:rPr>
        <w:t>и деловой репутации</w:t>
      </w:r>
      <w:r w:rsidR="00CE775C" w:rsidRPr="00C838F0">
        <w:rPr>
          <w:rFonts w:cs="Times New Roman"/>
        </w:rPr>
        <w:t>, специалистов и иных работников определенного уровня квалификации» (</w:t>
      </w:r>
      <w:proofErr w:type="spellStart"/>
      <w:r w:rsidR="00CE775C" w:rsidRPr="00C838F0">
        <w:rPr>
          <w:rFonts w:cs="Times New Roman"/>
        </w:rPr>
        <w:t>НЦБi</w:t>
      </w:r>
      <w:proofErr w:type="spellEnd"/>
      <w:r w:rsidR="00CE775C" w:rsidRPr="00C838F0">
        <w:rPr>
          <w:rFonts w:cs="Times New Roman"/>
        </w:rPr>
        <w:t>), определяется по формуле:</w:t>
      </w:r>
    </w:p>
    <w:p w:rsidR="00CE775C" w:rsidRPr="00C838F0" w:rsidRDefault="00CE775C" w:rsidP="00EE62CA">
      <w:pPr>
        <w:pStyle w:val="Standard"/>
        <w:spacing w:after="0" w:line="240" w:lineRule="auto"/>
        <w:jc w:val="both"/>
        <w:rPr>
          <w:rFonts w:cs="Times New Roman"/>
        </w:rPr>
      </w:pPr>
    </w:p>
    <w:tbl>
      <w:tblPr>
        <w:tblW w:w="4305" w:type="dxa"/>
        <w:tblInd w:w="45" w:type="dxa"/>
        <w:tblLayout w:type="fixed"/>
        <w:tblCellMar>
          <w:left w:w="10" w:type="dxa"/>
          <w:right w:w="10" w:type="dxa"/>
        </w:tblCellMar>
        <w:tblLook w:val="0000" w:firstRow="0" w:lastRow="0" w:firstColumn="0" w:lastColumn="0" w:noHBand="0" w:noVBand="0"/>
      </w:tblPr>
      <w:tblGrid>
        <w:gridCol w:w="1650"/>
        <w:gridCol w:w="1575"/>
        <w:gridCol w:w="1080"/>
      </w:tblGrid>
      <w:tr w:rsidR="00CE775C" w:rsidRPr="00C838F0" w:rsidTr="00943317">
        <w:tc>
          <w:tcPr>
            <w:tcW w:w="1650" w:type="dxa"/>
            <w:vMerge w:val="restart"/>
            <w:shd w:val="clear" w:color="auto" w:fill="auto"/>
            <w:tcMar>
              <w:top w:w="55" w:type="dxa"/>
              <w:left w:w="55" w:type="dxa"/>
              <w:bottom w:w="55" w:type="dxa"/>
              <w:right w:w="55" w:type="dxa"/>
            </w:tcMar>
            <w:vAlign w:val="center"/>
          </w:tcPr>
          <w:p w:rsidR="00CE775C" w:rsidRPr="00C838F0" w:rsidRDefault="00CE775C" w:rsidP="00EE62CA">
            <w:pPr>
              <w:pStyle w:val="Standard"/>
              <w:spacing w:after="0" w:line="240" w:lineRule="auto"/>
              <w:jc w:val="both"/>
              <w:rPr>
                <w:rFonts w:cs="Times New Roman"/>
                <w:b/>
              </w:rPr>
            </w:pPr>
            <w:proofErr w:type="spellStart"/>
            <w:r w:rsidRPr="00C838F0">
              <w:rPr>
                <w:rFonts w:cs="Times New Roman"/>
                <w:b/>
              </w:rPr>
              <w:t>НЦБi</w:t>
            </w:r>
            <w:proofErr w:type="spellEnd"/>
            <w:r w:rsidRPr="00C838F0">
              <w:rPr>
                <w:rFonts w:cs="Times New Roman"/>
                <w:b/>
              </w:rPr>
              <w:t xml:space="preserve"> =</w:t>
            </w:r>
          </w:p>
        </w:tc>
        <w:tc>
          <w:tcPr>
            <w:tcW w:w="1575" w:type="dxa"/>
            <w:shd w:val="clear" w:color="auto" w:fill="auto"/>
            <w:tcMar>
              <w:top w:w="55" w:type="dxa"/>
              <w:left w:w="55" w:type="dxa"/>
              <w:bottom w:w="55" w:type="dxa"/>
              <w:right w:w="55" w:type="dxa"/>
            </w:tcMar>
          </w:tcPr>
          <w:p w:rsidR="00CE775C" w:rsidRPr="00C838F0" w:rsidRDefault="00CE775C" w:rsidP="00EE62CA">
            <w:pPr>
              <w:pStyle w:val="Standard"/>
              <w:spacing w:after="0" w:line="240" w:lineRule="auto"/>
              <w:rPr>
                <w:rFonts w:cs="Times New Roman"/>
                <w:b/>
              </w:rPr>
            </w:pPr>
            <w:proofErr w:type="spellStart"/>
            <w:r w:rsidRPr="00C838F0">
              <w:rPr>
                <w:rFonts w:cs="Times New Roman"/>
                <w:b/>
              </w:rPr>
              <w:t>Ki</w:t>
            </w:r>
            <w:proofErr w:type="spellEnd"/>
          </w:p>
        </w:tc>
        <w:tc>
          <w:tcPr>
            <w:tcW w:w="1080" w:type="dxa"/>
            <w:vMerge w:val="restart"/>
            <w:shd w:val="clear" w:color="auto" w:fill="auto"/>
            <w:tcMar>
              <w:top w:w="55" w:type="dxa"/>
              <w:left w:w="55" w:type="dxa"/>
              <w:bottom w:w="55" w:type="dxa"/>
              <w:right w:w="55" w:type="dxa"/>
            </w:tcMar>
            <w:vAlign w:val="center"/>
          </w:tcPr>
          <w:p w:rsidR="00CE775C" w:rsidRPr="00C838F0" w:rsidRDefault="00CE775C" w:rsidP="00EE62CA">
            <w:pPr>
              <w:pStyle w:val="Standard"/>
              <w:spacing w:after="0" w:line="240" w:lineRule="auto"/>
              <w:rPr>
                <w:rFonts w:cs="Times New Roman"/>
                <w:b/>
              </w:rPr>
            </w:pPr>
            <w:r w:rsidRPr="00C838F0">
              <w:rPr>
                <w:rFonts w:cs="Times New Roman"/>
                <w:b/>
              </w:rPr>
              <w:t>х ПКБ,</w:t>
            </w:r>
          </w:p>
        </w:tc>
      </w:tr>
      <w:tr w:rsidR="00CE775C" w:rsidRPr="00C838F0" w:rsidTr="00943317">
        <w:tc>
          <w:tcPr>
            <w:tcW w:w="165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c>
          <w:tcPr>
            <w:tcW w:w="1575" w:type="dxa"/>
            <w:tcBorders>
              <w:top w:val="single" w:sz="4" w:space="0" w:color="000000"/>
            </w:tcBorders>
            <w:shd w:val="clear" w:color="auto" w:fill="auto"/>
            <w:tcMar>
              <w:top w:w="55" w:type="dxa"/>
              <w:left w:w="55" w:type="dxa"/>
              <w:bottom w:w="55" w:type="dxa"/>
              <w:right w:w="55" w:type="dxa"/>
            </w:tcMar>
          </w:tcPr>
          <w:p w:rsidR="00CE775C" w:rsidRPr="00C838F0" w:rsidRDefault="00CE775C" w:rsidP="00EE62CA">
            <w:pPr>
              <w:pStyle w:val="Standard"/>
              <w:spacing w:after="0" w:line="240" w:lineRule="auto"/>
              <w:rPr>
                <w:rFonts w:cs="Times New Roman"/>
                <w:b/>
              </w:rPr>
            </w:pPr>
            <w:proofErr w:type="spellStart"/>
            <w:r w:rsidRPr="00C838F0">
              <w:rPr>
                <w:rFonts w:cs="Times New Roman"/>
                <w:b/>
              </w:rPr>
              <w:t>Kпред</w:t>
            </w:r>
            <w:proofErr w:type="spellEnd"/>
          </w:p>
        </w:tc>
        <w:tc>
          <w:tcPr>
            <w:tcW w:w="108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r>
    </w:tbl>
    <w:p w:rsidR="00CE775C" w:rsidRPr="00C838F0" w:rsidRDefault="00CE775C" w:rsidP="00EE62CA">
      <w:pPr>
        <w:pStyle w:val="Standard"/>
        <w:spacing w:after="0" w:line="240" w:lineRule="auto"/>
        <w:jc w:val="both"/>
        <w:rPr>
          <w:rFonts w:cs="Times New Roman"/>
        </w:rPr>
      </w:pPr>
    </w:p>
    <w:p w:rsidR="00CE775C" w:rsidRPr="00C838F0" w:rsidRDefault="00CE775C" w:rsidP="00EE62CA">
      <w:pPr>
        <w:pStyle w:val="Standard"/>
        <w:spacing w:after="0" w:line="240" w:lineRule="auto"/>
        <w:jc w:val="both"/>
        <w:rPr>
          <w:rFonts w:cs="Times New Roman"/>
        </w:rPr>
      </w:pPr>
      <w:r w:rsidRPr="00C838F0">
        <w:rPr>
          <w:rFonts w:cs="Times New Roman"/>
        </w:rPr>
        <w:t>где:</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Ki</w:t>
      </w:r>
      <w:proofErr w:type="spellEnd"/>
      <w:r w:rsidRPr="00C838F0">
        <w:rPr>
          <w:rFonts w:cs="Times New Roman"/>
        </w:rPr>
        <w:t xml:space="preserve"> – предложение участника закупки в части значения характеристик по критерию оценки, заявка (предложение) которого оценивается;</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Kпред</w:t>
      </w:r>
      <w:proofErr w:type="spellEnd"/>
      <w:r w:rsidRPr="00C838F0">
        <w:rPr>
          <w:rFonts w:cs="Times New Roman"/>
        </w:rPr>
        <w:t xml:space="preserve"> – предельно необходимое заказчику значение характеристик по критерию оценки, указанное в документации по закупке;</w:t>
      </w:r>
    </w:p>
    <w:p w:rsidR="00CE775C" w:rsidRPr="00C838F0" w:rsidRDefault="00CE775C" w:rsidP="00EE62CA">
      <w:pPr>
        <w:pStyle w:val="Standard"/>
        <w:spacing w:after="0" w:line="240" w:lineRule="auto"/>
        <w:jc w:val="both"/>
        <w:rPr>
          <w:rFonts w:cs="Times New Roman"/>
          <w:bCs/>
        </w:rPr>
      </w:pPr>
      <w:r w:rsidRPr="00C838F0">
        <w:rPr>
          <w:rFonts w:cs="Times New Roman"/>
          <w:bCs/>
        </w:rPr>
        <w:t>ПКБ – предельное количество баллов по критерию оценки (показателю), указанное в документации по закупке.</w:t>
      </w:r>
    </w:p>
    <w:p w:rsidR="00CE775C" w:rsidRPr="00C838F0" w:rsidRDefault="00EE62CA" w:rsidP="00EE62CA">
      <w:pPr>
        <w:pStyle w:val="Standard"/>
        <w:spacing w:after="0" w:line="240" w:lineRule="auto"/>
        <w:jc w:val="both"/>
        <w:rPr>
          <w:rFonts w:cs="Times New Roman"/>
        </w:rPr>
      </w:pPr>
      <w:r w:rsidRPr="00C838F0">
        <w:rPr>
          <w:rFonts w:cs="Times New Roman"/>
          <w:bCs/>
        </w:rPr>
        <w:t>5</w:t>
      </w:r>
      <w:r w:rsidR="001B2AC2" w:rsidRPr="00C838F0">
        <w:rPr>
          <w:rFonts w:cs="Times New Roman"/>
          <w:bCs/>
        </w:rPr>
        <w:t>.6</w:t>
      </w:r>
      <w:r w:rsidR="00CE775C" w:rsidRPr="00C838F0">
        <w:rPr>
          <w:rFonts w:cs="Times New Roman"/>
          <w:bCs/>
        </w:rPr>
        <w:t>. Рейтинг, присуждаемый заявке (предложению) по критерию оценки «</w:t>
      </w:r>
      <w:r w:rsidR="00CE775C" w:rsidRPr="00691579">
        <w:rPr>
          <w:rFonts w:cs="Times New Roman"/>
          <w:bCs/>
        </w:rPr>
        <w:t>квалификация участников закупки</w:t>
      </w:r>
      <w:r w:rsidR="00CE775C" w:rsidRPr="00C838F0">
        <w:rPr>
          <w:rFonts w:cs="Times New Roman"/>
          <w:bCs/>
        </w:rPr>
        <w:t>, в том числе наличие у них финансовых ресурсов, оборудования и других материальных ресурсов, принадлежащих им на пр</w:t>
      </w:r>
      <w:bookmarkStart w:id="0" w:name="_GoBack"/>
      <w:bookmarkEnd w:id="0"/>
      <w:r w:rsidR="00CE775C" w:rsidRPr="00C838F0">
        <w:rPr>
          <w:rFonts w:cs="Times New Roman"/>
          <w:bCs/>
        </w:rPr>
        <w:t>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00CE775C" w:rsidRPr="00C838F0">
        <w:rPr>
          <w:rFonts w:cs="Times New Roman"/>
          <w:bCs/>
        </w:rPr>
        <w:t>Rdi</w:t>
      </w:r>
      <w:proofErr w:type="spellEnd"/>
      <w:r w:rsidR="00CE775C" w:rsidRPr="00C838F0">
        <w:rPr>
          <w:rFonts w:cs="Times New Roman"/>
          <w:bCs/>
        </w:rPr>
        <w:t>), определяется по формуле:</w:t>
      </w:r>
    </w:p>
    <w:p w:rsidR="00CE775C" w:rsidRPr="00C838F0" w:rsidRDefault="00CE775C" w:rsidP="00EE62CA">
      <w:pPr>
        <w:pStyle w:val="Standard"/>
        <w:spacing w:after="0" w:line="240" w:lineRule="auto"/>
        <w:jc w:val="both"/>
        <w:rPr>
          <w:rFonts w:cs="Times New Roman"/>
          <w:bCs/>
        </w:rPr>
      </w:pPr>
    </w:p>
    <w:tbl>
      <w:tblPr>
        <w:tblW w:w="4305" w:type="dxa"/>
        <w:tblInd w:w="-10" w:type="dxa"/>
        <w:tblLayout w:type="fixed"/>
        <w:tblCellMar>
          <w:left w:w="10" w:type="dxa"/>
          <w:right w:w="10" w:type="dxa"/>
        </w:tblCellMar>
        <w:tblLook w:val="0000" w:firstRow="0" w:lastRow="0" w:firstColumn="0" w:lastColumn="0" w:noHBand="0" w:noVBand="0"/>
      </w:tblPr>
      <w:tblGrid>
        <w:gridCol w:w="1650"/>
        <w:gridCol w:w="1575"/>
        <w:gridCol w:w="1080"/>
      </w:tblGrid>
      <w:tr w:rsidR="00CE775C" w:rsidRPr="00C838F0" w:rsidTr="00943317">
        <w:tc>
          <w:tcPr>
            <w:tcW w:w="1650" w:type="dxa"/>
            <w:vMerge w:val="restart"/>
            <w:shd w:val="clear" w:color="auto" w:fill="auto"/>
            <w:tcMar>
              <w:top w:w="55" w:type="dxa"/>
              <w:left w:w="55" w:type="dxa"/>
              <w:bottom w:w="55" w:type="dxa"/>
              <w:right w:w="55" w:type="dxa"/>
            </w:tcMar>
            <w:vAlign w:val="center"/>
          </w:tcPr>
          <w:p w:rsidR="00CE775C" w:rsidRPr="00C838F0" w:rsidRDefault="00CE775C" w:rsidP="00EE62CA">
            <w:pPr>
              <w:pStyle w:val="Heading1user"/>
              <w:spacing w:before="0" w:after="0"/>
              <w:rPr>
                <w:rFonts w:ascii="Times New Roman" w:hAnsi="Times New Roman" w:cs="Times New Roman"/>
                <w:bCs/>
                <w:sz w:val="22"/>
                <w:szCs w:val="22"/>
              </w:rPr>
            </w:pPr>
            <w:proofErr w:type="spellStart"/>
            <w:r w:rsidRPr="00C838F0">
              <w:rPr>
                <w:rFonts w:ascii="Times New Roman" w:hAnsi="Times New Roman" w:cs="Times New Roman"/>
                <w:bCs/>
                <w:sz w:val="22"/>
                <w:szCs w:val="22"/>
              </w:rPr>
              <w:t>Rdi</w:t>
            </w:r>
            <w:proofErr w:type="spellEnd"/>
            <w:r w:rsidRPr="00C838F0">
              <w:rPr>
                <w:rFonts w:ascii="Times New Roman" w:hAnsi="Times New Roman" w:cs="Times New Roman"/>
                <w:bCs/>
                <w:sz w:val="22"/>
                <w:szCs w:val="22"/>
              </w:rPr>
              <w:t xml:space="preserve"> =</w:t>
            </w:r>
          </w:p>
        </w:tc>
        <w:tc>
          <w:tcPr>
            <w:tcW w:w="1575" w:type="dxa"/>
            <w:tcBorders>
              <w:bottom w:val="single" w:sz="4" w:space="0" w:color="000000"/>
            </w:tcBorders>
            <w:shd w:val="clear" w:color="auto" w:fill="auto"/>
            <w:tcMar>
              <w:top w:w="55" w:type="dxa"/>
              <w:left w:w="55" w:type="dxa"/>
              <w:bottom w:w="55" w:type="dxa"/>
              <w:right w:w="55" w:type="dxa"/>
            </w:tcMar>
          </w:tcPr>
          <w:p w:rsidR="00CE775C" w:rsidRPr="00C838F0" w:rsidRDefault="00CE775C" w:rsidP="00EE62CA">
            <w:pPr>
              <w:pStyle w:val="Standarduser"/>
              <w:jc w:val="both"/>
              <w:rPr>
                <w:rFonts w:ascii="Times New Roman" w:hAnsi="Times New Roman" w:cs="Times New Roman"/>
                <w:bCs/>
                <w:sz w:val="22"/>
                <w:szCs w:val="22"/>
              </w:rPr>
            </w:pPr>
            <w:proofErr w:type="spellStart"/>
            <w:r w:rsidRPr="00C838F0">
              <w:rPr>
                <w:rFonts w:ascii="Times New Roman" w:hAnsi="Times New Roman" w:cs="Times New Roman"/>
                <w:bCs/>
                <w:sz w:val="22"/>
                <w:szCs w:val="22"/>
              </w:rPr>
              <w:t>Ei</w:t>
            </w:r>
            <w:proofErr w:type="spellEnd"/>
          </w:p>
        </w:tc>
        <w:tc>
          <w:tcPr>
            <w:tcW w:w="1080" w:type="dxa"/>
            <w:vMerge w:val="restart"/>
            <w:shd w:val="clear" w:color="auto" w:fill="auto"/>
            <w:tcMar>
              <w:top w:w="55" w:type="dxa"/>
              <w:left w:w="55" w:type="dxa"/>
              <w:bottom w:w="55" w:type="dxa"/>
              <w:right w:w="55" w:type="dxa"/>
            </w:tcMar>
            <w:vAlign w:val="center"/>
          </w:tcPr>
          <w:p w:rsidR="00CE775C" w:rsidRPr="00C838F0" w:rsidRDefault="00CE775C" w:rsidP="00EE62CA">
            <w:pPr>
              <w:pStyle w:val="TableContentsuser"/>
              <w:rPr>
                <w:rFonts w:ascii="Times New Roman" w:hAnsi="Times New Roman" w:cs="Times New Roman"/>
                <w:sz w:val="22"/>
                <w:szCs w:val="22"/>
              </w:rPr>
            </w:pPr>
            <w:r w:rsidRPr="00C838F0">
              <w:rPr>
                <w:rFonts w:ascii="Times New Roman" w:hAnsi="Times New Roman" w:cs="Times New Roman"/>
                <w:bCs/>
                <w:sz w:val="22"/>
                <w:szCs w:val="22"/>
              </w:rPr>
              <w:t xml:space="preserve">х </w:t>
            </w:r>
            <w:r w:rsidRPr="00C838F0">
              <w:rPr>
                <w:rFonts w:ascii="Times New Roman" w:hAnsi="Times New Roman" w:cs="Times New Roman"/>
                <w:color w:val="000000"/>
                <w:sz w:val="22"/>
                <w:szCs w:val="22"/>
              </w:rPr>
              <w:t>ПКБ</w:t>
            </w:r>
            <w:r w:rsidRPr="00C838F0">
              <w:rPr>
                <w:rFonts w:ascii="Times New Roman" w:hAnsi="Times New Roman" w:cs="Times New Roman"/>
                <w:bCs/>
                <w:sz w:val="22"/>
                <w:szCs w:val="22"/>
              </w:rPr>
              <w:t>,</w:t>
            </w:r>
          </w:p>
        </w:tc>
      </w:tr>
      <w:tr w:rsidR="00CE775C" w:rsidRPr="00C838F0" w:rsidTr="00943317">
        <w:tc>
          <w:tcPr>
            <w:tcW w:w="165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c>
          <w:tcPr>
            <w:tcW w:w="1575" w:type="dxa"/>
            <w:shd w:val="clear" w:color="auto" w:fill="auto"/>
            <w:tcMar>
              <w:top w:w="55" w:type="dxa"/>
              <w:left w:w="55" w:type="dxa"/>
              <w:bottom w:w="55" w:type="dxa"/>
              <w:right w:w="55" w:type="dxa"/>
            </w:tcMar>
          </w:tcPr>
          <w:p w:rsidR="00CE775C" w:rsidRPr="00C838F0" w:rsidRDefault="00CE775C" w:rsidP="00EE62CA">
            <w:pPr>
              <w:pStyle w:val="a5c8b0e714da563fe90b98cef41456e9db9fe9049761426654245bb2dd862eecmsonormal"/>
              <w:spacing w:before="0" w:after="0"/>
              <w:jc w:val="both"/>
              <w:rPr>
                <w:rFonts w:ascii="Times New Roman" w:hAnsi="Times New Roman" w:cs="Times New Roman"/>
                <w:bCs/>
                <w:sz w:val="22"/>
                <w:szCs w:val="22"/>
              </w:rPr>
            </w:pPr>
            <w:proofErr w:type="spellStart"/>
            <w:r w:rsidRPr="00C838F0">
              <w:rPr>
                <w:rFonts w:ascii="Times New Roman" w:hAnsi="Times New Roman" w:cs="Times New Roman"/>
                <w:bCs/>
                <w:sz w:val="22"/>
                <w:szCs w:val="22"/>
              </w:rPr>
              <w:t>Emax</w:t>
            </w:r>
            <w:proofErr w:type="spellEnd"/>
          </w:p>
        </w:tc>
        <w:tc>
          <w:tcPr>
            <w:tcW w:w="108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r>
    </w:tbl>
    <w:p w:rsidR="00CE775C" w:rsidRPr="00C838F0" w:rsidRDefault="00CE775C" w:rsidP="00EE62CA">
      <w:pPr>
        <w:pStyle w:val="Standarduser"/>
        <w:jc w:val="both"/>
        <w:rPr>
          <w:rFonts w:ascii="Times New Roman" w:hAnsi="Times New Roman" w:cs="Times New Roman"/>
          <w:sz w:val="22"/>
          <w:szCs w:val="22"/>
        </w:rPr>
      </w:pPr>
    </w:p>
    <w:p w:rsidR="00CE775C" w:rsidRPr="00C838F0" w:rsidRDefault="00CE775C" w:rsidP="00EE62CA">
      <w:pPr>
        <w:pStyle w:val="a5c8b0e714da563fe90b98cef41456e9db9fe9049761426654245bb2dd862eecmsonormal"/>
        <w:spacing w:before="0" w:after="0"/>
        <w:jc w:val="both"/>
        <w:rPr>
          <w:rFonts w:ascii="Times New Roman" w:hAnsi="Times New Roman" w:cs="Times New Roman"/>
          <w:sz w:val="22"/>
          <w:szCs w:val="22"/>
          <w:lang w:val="ru-RU"/>
        </w:rPr>
      </w:pPr>
      <w:r w:rsidRPr="00C838F0">
        <w:rPr>
          <w:rFonts w:ascii="Times New Roman" w:hAnsi="Times New Roman" w:cs="Times New Roman"/>
          <w:sz w:val="22"/>
          <w:szCs w:val="22"/>
          <w:lang w:val="ru-RU"/>
        </w:rPr>
        <w:t>где:</w:t>
      </w:r>
    </w:p>
    <w:p w:rsidR="00CE775C" w:rsidRPr="00C838F0" w:rsidRDefault="00CE775C" w:rsidP="00EE62CA">
      <w:pPr>
        <w:pStyle w:val="Standarduser"/>
        <w:jc w:val="both"/>
        <w:rPr>
          <w:rFonts w:ascii="Times New Roman" w:hAnsi="Times New Roman" w:cs="Times New Roman"/>
          <w:sz w:val="22"/>
          <w:szCs w:val="22"/>
        </w:rPr>
      </w:pPr>
      <w:proofErr w:type="spellStart"/>
      <w:r w:rsidRPr="00C838F0">
        <w:rPr>
          <w:rFonts w:ascii="Times New Roman" w:hAnsi="Times New Roman" w:cs="Times New Roman"/>
          <w:sz w:val="22"/>
          <w:szCs w:val="22"/>
        </w:rPr>
        <w:t>Ei</w:t>
      </w:r>
      <w:proofErr w:type="spellEnd"/>
      <w:r w:rsidRPr="00C838F0">
        <w:rPr>
          <w:rFonts w:ascii="Times New Roman" w:hAnsi="Times New Roman" w:cs="Times New Roman"/>
          <w:sz w:val="22"/>
          <w:szCs w:val="22"/>
        </w:rPr>
        <w:t xml:space="preserve"> – значение (количество баллов) присужденное участнику </w:t>
      </w:r>
      <w:r w:rsidRPr="00C838F0">
        <w:rPr>
          <w:rFonts w:ascii="Times New Roman" w:hAnsi="Times New Roman" w:cs="Times New Roman"/>
          <w:color w:val="FF0000"/>
          <w:sz w:val="22"/>
          <w:szCs w:val="22"/>
        </w:rPr>
        <w:t xml:space="preserve"> </w:t>
      </w:r>
      <w:r w:rsidRPr="00C838F0">
        <w:rPr>
          <w:rFonts w:ascii="Times New Roman" w:hAnsi="Times New Roman" w:cs="Times New Roman"/>
          <w:sz w:val="22"/>
          <w:szCs w:val="22"/>
        </w:rPr>
        <w:t>по показателям критерия оценки «квалификация участника закупки»;</w:t>
      </w:r>
    </w:p>
    <w:p w:rsidR="00CE775C" w:rsidRPr="00C838F0" w:rsidRDefault="00CE775C" w:rsidP="00EE62CA">
      <w:pPr>
        <w:pStyle w:val="a5c8b0e714da563fe90b98cef41456e9db9fe9049761426654245bb2dd862eecmsonormal"/>
        <w:spacing w:before="0" w:after="0"/>
        <w:jc w:val="both"/>
        <w:rPr>
          <w:rFonts w:ascii="Times New Roman" w:hAnsi="Times New Roman" w:cs="Times New Roman"/>
          <w:sz w:val="22"/>
          <w:szCs w:val="22"/>
          <w:lang w:val="ru-RU"/>
        </w:rPr>
      </w:pPr>
      <w:proofErr w:type="spellStart"/>
      <w:r w:rsidRPr="00C838F0">
        <w:rPr>
          <w:rFonts w:ascii="Times New Roman" w:hAnsi="Times New Roman" w:cs="Times New Roman"/>
          <w:sz w:val="22"/>
          <w:szCs w:val="22"/>
        </w:rPr>
        <w:t>Emax</w:t>
      </w:r>
      <w:proofErr w:type="spellEnd"/>
      <w:r w:rsidRPr="00C838F0">
        <w:rPr>
          <w:rFonts w:ascii="Times New Roman" w:hAnsi="Times New Roman" w:cs="Times New Roman"/>
          <w:sz w:val="22"/>
          <w:szCs w:val="22"/>
          <w:lang w:val="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CE775C" w:rsidRPr="00C838F0" w:rsidRDefault="00CE775C" w:rsidP="00EE62CA">
      <w:pPr>
        <w:pStyle w:val="Standarduser"/>
        <w:jc w:val="both"/>
        <w:rPr>
          <w:rFonts w:ascii="Times New Roman" w:hAnsi="Times New Roman" w:cs="Times New Roman"/>
          <w:bCs/>
          <w:color w:val="000000"/>
          <w:sz w:val="22"/>
          <w:szCs w:val="22"/>
        </w:rPr>
      </w:pPr>
      <w:r w:rsidRPr="00C838F0">
        <w:rPr>
          <w:rFonts w:ascii="Times New Roman" w:hAnsi="Times New Roman" w:cs="Times New Roman"/>
          <w:bCs/>
          <w:color w:val="000000"/>
          <w:sz w:val="22"/>
          <w:szCs w:val="22"/>
        </w:rPr>
        <w:t>ПКБ – предельное количество баллов по критерию оценки (показателю), указанное в документации по закупке.</w:t>
      </w:r>
    </w:p>
    <w:p w:rsidR="00CE775C" w:rsidRPr="00C838F0" w:rsidRDefault="00EE62CA" w:rsidP="00EE62CA">
      <w:pPr>
        <w:pStyle w:val="Standard"/>
        <w:spacing w:after="0" w:line="240" w:lineRule="auto"/>
        <w:jc w:val="both"/>
        <w:rPr>
          <w:rFonts w:cs="Times New Roman"/>
        </w:rPr>
      </w:pPr>
      <w:r w:rsidRPr="00C838F0">
        <w:rPr>
          <w:rFonts w:cs="Times New Roman"/>
          <w:bCs/>
        </w:rPr>
        <w:t>5</w:t>
      </w:r>
      <w:r w:rsidR="001B2AC2" w:rsidRPr="00C838F0">
        <w:rPr>
          <w:rFonts w:cs="Times New Roman"/>
          <w:bCs/>
        </w:rPr>
        <w:t>.7</w:t>
      </w:r>
      <w:r w:rsidR="00CE775C" w:rsidRPr="00C838F0">
        <w:rPr>
          <w:rFonts w:cs="Times New Roman"/>
          <w:bCs/>
        </w:rPr>
        <w:t>. Р</w:t>
      </w:r>
      <w:r w:rsidR="00CE775C" w:rsidRPr="00C838F0">
        <w:rPr>
          <w:rFonts w:cs="Times New Roman"/>
        </w:rPr>
        <w:t>ейтинг, присуждаемый заявке (предложению) по критерию оценки «срок предоставления гарантии качества товара, работ, услуг» (</w:t>
      </w:r>
      <w:proofErr w:type="spellStart"/>
      <w:r w:rsidR="00CE775C" w:rsidRPr="00C838F0">
        <w:rPr>
          <w:rFonts w:cs="Times New Roman"/>
        </w:rPr>
        <w:t>Rgi</w:t>
      </w:r>
      <w:proofErr w:type="spellEnd"/>
      <w:r w:rsidR="00CE775C" w:rsidRPr="00C838F0">
        <w:rPr>
          <w:rFonts w:cs="Times New Roman"/>
        </w:rPr>
        <w:t>), определяется по формуле:</w:t>
      </w:r>
    </w:p>
    <w:p w:rsidR="00CE775C" w:rsidRPr="00C838F0" w:rsidRDefault="00CE775C" w:rsidP="00EE62CA">
      <w:pPr>
        <w:pStyle w:val="Standard"/>
        <w:spacing w:after="0" w:line="240" w:lineRule="auto"/>
        <w:jc w:val="both"/>
        <w:rPr>
          <w:rFonts w:cs="Times New Roman"/>
        </w:rPr>
      </w:pPr>
    </w:p>
    <w:p w:rsidR="00CE775C" w:rsidRPr="00C838F0" w:rsidRDefault="00CE775C" w:rsidP="00EE62CA">
      <w:pPr>
        <w:pStyle w:val="Standard"/>
        <w:spacing w:after="0" w:line="240" w:lineRule="auto"/>
        <w:jc w:val="both"/>
        <w:rPr>
          <w:rFonts w:cs="Times New Roman"/>
        </w:rPr>
      </w:pPr>
    </w:p>
    <w:tbl>
      <w:tblPr>
        <w:tblW w:w="4755" w:type="dxa"/>
        <w:tblInd w:w="45" w:type="dxa"/>
        <w:tblLayout w:type="fixed"/>
        <w:tblCellMar>
          <w:left w:w="10" w:type="dxa"/>
          <w:right w:w="10" w:type="dxa"/>
        </w:tblCellMar>
        <w:tblLook w:val="0000" w:firstRow="0" w:lastRow="0" w:firstColumn="0" w:lastColumn="0" w:noHBand="0" w:noVBand="0"/>
      </w:tblPr>
      <w:tblGrid>
        <w:gridCol w:w="1650"/>
        <w:gridCol w:w="1575"/>
        <w:gridCol w:w="1530"/>
      </w:tblGrid>
      <w:tr w:rsidR="00CE775C" w:rsidRPr="00C838F0" w:rsidTr="00943317">
        <w:tc>
          <w:tcPr>
            <w:tcW w:w="1650" w:type="dxa"/>
            <w:vMerge w:val="restart"/>
            <w:shd w:val="clear" w:color="auto" w:fill="auto"/>
            <w:tcMar>
              <w:top w:w="55" w:type="dxa"/>
              <w:left w:w="55" w:type="dxa"/>
              <w:bottom w:w="55" w:type="dxa"/>
              <w:right w:w="55" w:type="dxa"/>
            </w:tcMar>
            <w:vAlign w:val="center"/>
          </w:tcPr>
          <w:p w:rsidR="00CE775C" w:rsidRPr="00C838F0" w:rsidRDefault="00CE775C" w:rsidP="00EE62CA">
            <w:pPr>
              <w:pStyle w:val="1"/>
              <w:spacing w:before="0" w:after="0"/>
              <w:rPr>
                <w:rFonts w:ascii="Times New Roman" w:hAnsi="Times New Roman" w:cs="Times New Roman"/>
                <w:bCs/>
                <w:sz w:val="22"/>
                <w:szCs w:val="22"/>
              </w:rPr>
            </w:pPr>
            <w:proofErr w:type="spellStart"/>
            <w:r w:rsidRPr="00C838F0">
              <w:rPr>
                <w:rFonts w:ascii="Times New Roman" w:hAnsi="Times New Roman" w:cs="Times New Roman"/>
                <w:bCs/>
                <w:sz w:val="22"/>
                <w:szCs w:val="22"/>
              </w:rPr>
              <w:lastRenderedPageBreak/>
              <w:t>Rgi</w:t>
            </w:r>
            <w:proofErr w:type="spellEnd"/>
            <w:r w:rsidRPr="00C838F0">
              <w:rPr>
                <w:rFonts w:ascii="Times New Roman" w:hAnsi="Times New Roman" w:cs="Times New Roman"/>
                <w:bCs/>
                <w:sz w:val="22"/>
                <w:szCs w:val="22"/>
              </w:rPr>
              <w:t xml:space="preserve"> =</w:t>
            </w:r>
          </w:p>
        </w:tc>
        <w:tc>
          <w:tcPr>
            <w:tcW w:w="1575" w:type="dxa"/>
            <w:tcBorders>
              <w:bottom w:val="single" w:sz="4" w:space="0" w:color="000000"/>
            </w:tcBorders>
            <w:shd w:val="clear" w:color="auto" w:fill="auto"/>
            <w:tcMar>
              <w:top w:w="55" w:type="dxa"/>
              <w:left w:w="55" w:type="dxa"/>
              <w:bottom w:w="55" w:type="dxa"/>
              <w:right w:w="55" w:type="dxa"/>
            </w:tcMar>
          </w:tcPr>
          <w:p w:rsidR="00CE775C" w:rsidRPr="00C838F0" w:rsidRDefault="00CE775C" w:rsidP="00EE62CA">
            <w:pPr>
              <w:pStyle w:val="Standard"/>
              <w:spacing w:after="0" w:line="240" w:lineRule="auto"/>
              <w:rPr>
                <w:rFonts w:cs="Times New Roman"/>
                <w:bCs/>
              </w:rPr>
            </w:pPr>
            <w:proofErr w:type="spellStart"/>
            <w:r w:rsidRPr="00C838F0">
              <w:rPr>
                <w:rFonts w:cs="Times New Roman"/>
                <w:bCs/>
              </w:rPr>
              <w:t>Bi</w:t>
            </w:r>
            <w:proofErr w:type="spellEnd"/>
          </w:p>
        </w:tc>
        <w:tc>
          <w:tcPr>
            <w:tcW w:w="1530" w:type="dxa"/>
            <w:vMerge w:val="restart"/>
            <w:shd w:val="clear" w:color="auto" w:fill="auto"/>
            <w:tcMar>
              <w:top w:w="55" w:type="dxa"/>
              <w:left w:w="55" w:type="dxa"/>
              <w:bottom w:w="55" w:type="dxa"/>
              <w:right w:w="55" w:type="dxa"/>
            </w:tcMar>
            <w:vAlign w:val="center"/>
          </w:tcPr>
          <w:p w:rsidR="00CE775C" w:rsidRPr="00C838F0" w:rsidRDefault="00CE775C" w:rsidP="00EE62CA">
            <w:pPr>
              <w:pStyle w:val="1"/>
              <w:spacing w:before="0" w:after="0"/>
              <w:rPr>
                <w:rFonts w:ascii="Times New Roman" w:hAnsi="Times New Roman" w:cs="Times New Roman"/>
                <w:sz w:val="22"/>
                <w:szCs w:val="22"/>
              </w:rPr>
            </w:pPr>
            <w:proofErr w:type="gramStart"/>
            <w:r w:rsidRPr="00C838F0">
              <w:rPr>
                <w:rFonts w:ascii="Times New Roman" w:hAnsi="Times New Roman" w:cs="Times New Roman"/>
                <w:bCs/>
                <w:sz w:val="22"/>
                <w:szCs w:val="22"/>
              </w:rPr>
              <w:t>х</w:t>
            </w:r>
            <w:proofErr w:type="gramEnd"/>
            <w:r w:rsidRPr="00C838F0">
              <w:rPr>
                <w:rFonts w:ascii="Times New Roman" w:hAnsi="Times New Roman" w:cs="Times New Roman"/>
                <w:bCs/>
                <w:sz w:val="22"/>
                <w:szCs w:val="22"/>
              </w:rPr>
              <w:t xml:space="preserve"> П</w:t>
            </w:r>
            <w:r w:rsidRPr="00C838F0">
              <w:rPr>
                <w:rFonts w:ascii="Times New Roman" w:hAnsi="Times New Roman" w:cs="Times New Roman"/>
                <w:bCs/>
                <w:sz w:val="22"/>
                <w:szCs w:val="22"/>
                <w:lang w:val="ru-RU"/>
              </w:rPr>
              <w:t>КБ</w:t>
            </w:r>
            <w:r w:rsidRPr="00C838F0">
              <w:rPr>
                <w:rFonts w:ascii="Times New Roman" w:hAnsi="Times New Roman" w:cs="Times New Roman"/>
                <w:sz w:val="22"/>
                <w:szCs w:val="22"/>
              </w:rPr>
              <w:t>,</w:t>
            </w:r>
          </w:p>
        </w:tc>
      </w:tr>
      <w:tr w:rsidR="00CE775C" w:rsidRPr="00C838F0" w:rsidTr="00943317">
        <w:tc>
          <w:tcPr>
            <w:tcW w:w="165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c>
          <w:tcPr>
            <w:tcW w:w="1575" w:type="dxa"/>
            <w:shd w:val="clear" w:color="auto" w:fill="auto"/>
            <w:tcMar>
              <w:top w:w="55" w:type="dxa"/>
              <w:left w:w="55" w:type="dxa"/>
              <w:bottom w:w="55" w:type="dxa"/>
              <w:right w:w="55" w:type="dxa"/>
            </w:tcMar>
          </w:tcPr>
          <w:p w:rsidR="00CE775C" w:rsidRPr="00C838F0" w:rsidRDefault="00CE775C" w:rsidP="00EE62CA">
            <w:pPr>
              <w:pStyle w:val="Standard"/>
              <w:spacing w:after="0" w:line="240" w:lineRule="auto"/>
              <w:rPr>
                <w:rFonts w:cs="Times New Roman"/>
                <w:bCs/>
              </w:rPr>
            </w:pPr>
            <w:proofErr w:type="spellStart"/>
            <w:r w:rsidRPr="00C838F0">
              <w:rPr>
                <w:rFonts w:cs="Times New Roman"/>
                <w:bCs/>
              </w:rPr>
              <w:t>Bmax</w:t>
            </w:r>
            <w:proofErr w:type="spellEnd"/>
          </w:p>
        </w:tc>
        <w:tc>
          <w:tcPr>
            <w:tcW w:w="1530" w:type="dxa"/>
            <w:vMerge/>
            <w:shd w:val="clear" w:color="auto" w:fill="auto"/>
            <w:tcMar>
              <w:top w:w="55" w:type="dxa"/>
              <w:left w:w="55" w:type="dxa"/>
              <w:bottom w:w="55" w:type="dxa"/>
              <w:right w:w="55" w:type="dxa"/>
            </w:tcMar>
            <w:vAlign w:val="center"/>
          </w:tcPr>
          <w:p w:rsidR="00CE775C" w:rsidRPr="00C838F0" w:rsidRDefault="00CE775C" w:rsidP="00EE62CA">
            <w:pPr>
              <w:rPr>
                <w:rFonts w:ascii="Times New Roman" w:hAnsi="Times New Roman" w:cs="Times New Roman"/>
                <w:sz w:val="22"/>
                <w:szCs w:val="22"/>
              </w:rPr>
            </w:pPr>
          </w:p>
        </w:tc>
      </w:tr>
    </w:tbl>
    <w:p w:rsidR="00CE775C" w:rsidRPr="00C838F0" w:rsidRDefault="00CE775C" w:rsidP="00EE62CA">
      <w:pPr>
        <w:pStyle w:val="Standard"/>
        <w:spacing w:after="0" w:line="240" w:lineRule="auto"/>
        <w:rPr>
          <w:rFonts w:cs="Times New Roman"/>
          <w:b/>
          <w:bCs/>
        </w:rPr>
      </w:pPr>
    </w:p>
    <w:p w:rsidR="00CE775C" w:rsidRPr="00C838F0" w:rsidRDefault="00CE775C" w:rsidP="00EE62CA">
      <w:pPr>
        <w:pStyle w:val="Standard"/>
        <w:spacing w:after="0" w:line="240" w:lineRule="auto"/>
        <w:rPr>
          <w:rFonts w:cs="Times New Roman"/>
        </w:rPr>
      </w:pPr>
      <w:r w:rsidRPr="00C838F0">
        <w:rPr>
          <w:rFonts w:cs="Times New Roman"/>
        </w:rPr>
        <w:t>где:</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Bi</w:t>
      </w:r>
      <w:proofErr w:type="spellEnd"/>
      <w:r w:rsidRPr="00C838F0">
        <w:rPr>
          <w:rFonts w:cs="Times New Roman"/>
        </w:rPr>
        <w:t xml:space="preserve"> – предложение участника закупки по количеству лет предоставления гарантии по заявке (предложению);</w:t>
      </w:r>
    </w:p>
    <w:p w:rsidR="00CE775C" w:rsidRPr="00C838F0" w:rsidRDefault="00CE775C" w:rsidP="00EE62CA">
      <w:pPr>
        <w:pStyle w:val="Standard"/>
        <w:spacing w:after="0" w:line="240" w:lineRule="auto"/>
        <w:jc w:val="both"/>
        <w:rPr>
          <w:rFonts w:cs="Times New Roman"/>
        </w:rPr>
      </w:pPr>
      <w:proofErr w:type="spellStart"/>
      <w:r w:rsidRPr="00C838F0">
        <w:rPr>
          <w:rFonts w:cs="Times New Roman"/>
        </w:rPr>
        <w:t>Bmax</w:t>
      </w:r>
      <w:proofErr w:type="spellEnd"/>
      <w:r w:rsidRPr="00C838F0">
        <w:rPr>
          <w:rFonts w:cs="Times New Roman"/>
        </w:rPr>
        <w:t xml:space="preserve"> – максимальное количество лет (месяцев) предоставления гарантии из всех предложений участников закупки;</w:t>
      </w:r>
    </w:p>
    <w:p w:rsidR="00CE775C" w:rsidRPr="00C838F0" w:rsidRDefault="00CE775C" w:rsidP="00EE62CA">
      <w:pPr>
        <w:pStyle w:val="Standarduser"/>
        <w:jc w:val="both"/>
        <w:rPr>
          <w:rFonts w:ascii="Times New Roman" w:hAnsi="Times New Roman" w:cs="Times New Roman"/>
          <w:bCs/>
          <w:color w:val="000000"/>
          <w:sz w:val="22"/>
          <w:szCs w:val="22"/>
        </w:rPr>
      </w:pPr>
      <w:r w:rsidRPr="00C838F0">
        <w:rPr>
          <w:rFonts w:ascii="Times New Roman" w:hAnsi="Times New Roman" w:cs="Times New Roman"/>
          <w:bCs/>
          <w:color w:val="000000"/>
          <w:sz w:val="22"/>
          <w:szCs w:val="22"/>
        </w:rPr>
        <w:t>ПКБ – предельное количество баллов по критерию оценки (показателю), указанное в документации по закупке.</w:t>
      </w:r>
    </w:p>
    <w:p w:rsidR="00CE775C" w:rsidRPr="00C838F0" w:rsidRDefault="00CE775C" w:rsidP="00EE62CA">
      <w:pPr>
        <w:pStyle w:val="Standard"/>
        <w:spacing w:after="0" w:line="240" w:lineRule="auto"/>
        <w:jc w:val="both"/>
        <w:rPr>
          <w:rFonts w:cs="Times New Roman"/>
        </w:rPr>
      </w:pPr>
      <w:r w:rsidRPr="00C838F0">
        <w:rPr>
          <w:rFonts w:cs="Times New Roman"/>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CE775C" w:rsidRPr="00C838F0" w:rsidRDefault="00CE775C" w:rsidP="00EE62CA">
      <w:pPr>
        <w:pStyle w:val="Standard"/>
        <w:spacing w:after="0" w:line="240" w:lineRule="auto"/>
        <w:jc w:val="both"/>
        <w:rPr>
          <w:rFonts w:cs="Times New Roman"/>
        </w:rPr>
      </w:pPr>
      <w:r w:rsidRPr="00C838F0">
        <w:rPr>
          <w:rFonts w:cs="Times New Roman"/>
        </w:rPr>
        <w:t>Договор заключается на условиях по данному критерию, указанных в заявке участника закупки.</w:t>
      </w:r>
    </w:p>
    <w:p w:rsidR="00784848" w:rsidRPr="00C838F0" w:rsidRDefault="00784848" w:rsidP="00EE62CA">
      <w:pPr>
        <w:pStyle w:val="ac"/>
        <w:numPr>
          <w:ilvl w:val="0"/>
          <w:numId w:val="9"/>
        </w:numPr>
        <w:autoSpaceDN w:val="0"/>
        <w:ind w:left="0" w:firstLine="0"/>
        <w:jc w:val="both"/>
        <w:textAlignment w:val="baseline"/>
        <w:rPr>
          <w:rFonts w:ascii="Times New Roman" w:hAnsi="Times New Roman" w:cs="Times New Roman"/>
          <w:color w:val="000000"/>
          <w:kern w:val="3"/>
          <w:sz w:val="22"/>
          <w:szCs w:val="22"/>
        </w:rPr>
      </w:pPr>
      <w:r w:rsidRPr="00C838F0">
        <w:rPr>
          <w:rFonts w:ascii="Times New Roman" w:hAnsi="Times New Roman" w:cs="Times New Roman"/>
          <w:color w:val="000000"/>
          <w:kern w:val="3"/>
          <w:sz w:val="22"/>
          <w:szCs w:val="22"/>
        </w:rPr>
        <w:t xml:space="preserve">Представленные документы должны быть в виде </w:t>
      </w:r>
      <w:proofErr w:type="spellStart"/>
      <w:r w:rsidRPr="00C838F0">
        <w:rPr>
          <w:rFonts w:ascii="Times New Roman" w:hAnsi="Times New Roman" w:cs="Times New Roman"/>
          <w:color w:val="000000"/>
          <w:kern w:val="3"/>
          <w:sz w:val="22"/>
          <w:szCs w:val="22"/>
        </w:rPr>
        <w:t>полночитаемых</w:t>
      </w:r>
      <w:proofErr w:type="spellEnd"/>
      <w:r w:rsidRPr="00C838F0">
        <w:rPr>
          <w:rFonts w:ascii="Times New Roman" w:hAnsi="Times New Roman" w:cs="Times New Roman"/>
          <w:color w:val="000000"/>
          <w:kern w:val="3"/>
          <w:sz w:val="22"/>
          <w:szCs w:val="22"/>
        </w:rPr>
        <w:t xml:space="preserve"> копий, на которых видны необходимые сведения, подписи и печати.  Документы, предоставленные в нечитаемом  виде, в неполном объеме  при оценке заявок  учитываться не будут.</w:t>
      </w:r>
    </w:p>
    <w:p w:rsidR="00784848" w:rsidRPr="00C838F0" w:rsidRDefault="00784848" w:rsidP="00EE62CA">
      <w:pPr>
        <w:pStyle w:val="Standard"/>
        <w:spacing w:after="0" w:line="240" w:lineRule="auto"/>
        <w:jc w:val="both"/>
        <w:rPr>
          <w:rFonts w:eastAsia="NSimSun" w:cs="Times New Roman"/>
          <w:kern w:val="3"/>
          <w:lang w:eastAsia="zh-CN" w:bidi="hi-IN"/>
        </w:rPr>
      </w:pPr>
      <w:r w:rsidRPr="00C838F0">
        <w:rPr>
          <w:rFonts w:eastAsia="NSimSun" w:cs="Times New Roman"/>
          <w:kern w:val="3"/>
          <w:lang w:eastAsia="zh-CN" w:bidi="hi-IN"/>
        </w:rPr>
        <w:t>Совокупная значимость выбранных критериев должна составлять 100 %.</w:t>
      </w:r>
    </w:p>
    <w:p w:rsidR="00784848" w:rsidRPr="00C838F0" w:rsidRDefault="00784848" w:rsidP="00EE62CA">
      <w:pPr>
        <w:pStyle w:val="Standard"/>
        <w:spacing w:after="0" w:line="240" w:lineRule="auto"/>
        <w:jc w:val="both"/>
        <w:rPr>
          <w:rFonts w:eastAsia="NSimSun" w:cs="Times New Roman"/>
          <w:kern w:val="3"/>
          <w:lang w:eastAsia="zh-CN" w:bidi="hi-IN"/>
        </w:rPr>
      </w:pPr>
      <w:r w:rsidRPr="00C838F0">
        <w:rPr>
          <w:rFonts w:eastAsia="NSimSun" w:cs="Times New Roman"/>
          <w:kern w:val="3"/>
          <w:lang w:eastAsia="zh-CN" w:bidi="hi-IN"/>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относящихся к одному критерию, должна быть равна 100 %.</w:t>
      </w:r>
    </w:p>
    <w:p w:rsidR="00784848" w:rsidRPr="008E0FA2" w:rsidRDefault="00784848" w:rsidP="00EE62CA">
      <w:pPr>
        <w:pStyle w:val="Standard"/>
        <w:spacing w:after="0" w:line="240" w:lineRule="auto"/>
        <w:jc w:val="both"/>
        <w:rPr>
          <w:rFonts w:eastAsia="NSimSun" w:cs="Times New Roman"/>
          <w:kern w:val="3"/>
          <w:lang w:eastAsia="zh-CN" w:bidi="hi-IN"/>
        </w:rPr>
      </w:pPr>
      <w:r w:rsidRPr="00C838F0">
        <w:rPr>
          <w:rFonts w:eastAsia="NSimSun" w:cs="Times New Roman"/>
          <w:kern w:val="3"/>
          <w:lang w:eastAsia="zh-CN" w:bidi="hi-IN"/>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CE775C" w:rsidRPr="000C6FC6" w:rsidRDefault="00CE775C" w:rsidP="00954056">
      <w:pPr>
        <w:autoSpaceDN w:val="0"/>
        <w:ind w:firstLine="567"/>
        <w:jc w:val="both"/>
        <w:textAlignment w:val="baseline"/>
        <w:rPr>
          <w:rFonts w:ascii="Times New Roman" w:hAnsi="Times New Roman" w:cs="Times New Roman"/>
          <w:color w:val="000000"/>
          <w:kern w:val="3"/>
          <w:sz w:val="22"/>
          <w:szCs w:val="22"/>
        </w:rPr>
      </w:pPr>
    </w:p>
    <w:p w:rsidR="00CE775C" w:rsidRPr="000C6FC6" w:rsidRDefault="00CE775C" w:rsidP="00954056">
      <w:pPr>
        <w:autoSpaceDN w:val="0"/>
        <w:ind w:firstLine="567"/>
        <w:jc w:val="both"/>
        <w:textAlignment w:val="baseline"/>
        <w:rPr>
          <w:rFonts w:ascii="Times New Roman" w:hAnsi="Times New Roman" w:cs="Times New Roman"/>
          <w:color w:val="000000"/>
          <w:kern w:val="3"/>
          <w:sz w:val="22"/>
          <w:szCs w:val="22"/>
        </w:rPr>
      </w:pPr>
    </w:p>
    <w:sectPr w:rsidR="00CE775C" w:rsidRPr="000C6FC6" w:rsidSect="003D6163">
      <w:pgSz w:w="16838" w:h="11906" w:orient="landscape"/>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A84"/>
    <w:multiLevelType w:val="hybridMultilevel"/>
    <w:tmpl w:val="2F16E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A0DD4"/>
    <w:multiLevelType w:val="multilevel"/>
    <w:tmpl w:val="B4B4E322"/>
    <w:lvl w:ilvl="0">
      <w:start w:val="1"/>
      <w:numFmt w:val="decimal"/>
      <w:lvlText w:val="%1."/>
      <w:lvlJc w:val="left"/>
      <w:pPr>
        <w:ind w:left="927" w:hanging="360"/>
      </w:pPr>
      <w:rPr>
        <w:rFonts w:hint="default"/>
        <w:b w:val="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91F6AA1"/>
    <w:multiLevelType w:val="multilevel"/>
    <w:tmpl w:val="E5CC4C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76622F8"/>
    <w:multiLevelType w:val="hybridMultilevel"/>
    <w:tmpl w:val="D31A41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F111B"/>
    <w:multiLevelType w:val="multilevel"/>
    <w:tmpl w:val="2F7E505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F272973"/>
    <w:multiLevelType w:val="hybridMultilevel"/>
    <w:tmpl w:val="B9629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047872"/>
    <w:multiLevelType w:val="hybridMultilevel"/>
    <w:tmpl w:val="1DBC1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23DB4"/>
    <w:multiLevelType w:val="multilevel"/>
    <w:tmpl w:val="D89A3C56"/>
    <w:lvl w:ilvl="0">
      <w:start w:val="3"/>
      <w:numFmt w:val="decimal"/>
      <w:lvlText w:val="%1."/>
      <w:lvlJc w:val="left"/>
      <w:pPr>
        <w:ind w:left="360" w:hanging="360"/>
      </w:pPr>
      <w:rPr>
        <w:rFonts w:eastAsia="NSimSun" w:hint="default"/>
        <w:b w:val="0"/>
      </w:rPr>
    </w:lvl>
    <w:lvl w:ilvl="1">
      <w:start w:val="1"/>
      <w:numFmt w:val="decimal"/>
      <w:lvlText w:val="%1.%2)"/>
      <w:lvlJc w:val="left"/>
      <w:pPr>
        <w:ind w:left="360" w:hanging="360"/>
      </w:pPr>
      <w:rPr>
        <w:rFonts w:eastAsia="NSimSun" w:hint="default"/>
        <w:b w:val="0"/>
      </w:rPr>
    </w:lvl>
    <w:lvl w:ilvl="2">
      <w:start w:val="1"/>
      <w:numFmt w:val="decimal"/>
      <w:lvlText w:val="%1.%2)%3."/>
      <w:lvlJc w:val="left"/>
      <w:pPr>
        <w:ind w:left="720" w:hanging="720"/>
      </w:pPr>
      <w:rPr>
        <w:rFonts w:eastAsia="NSimSun" w:hint="default"/>
        <w:b w:val="0"/>
      </w:rPr>
    </w:lvl>
    <w:lvl w:ilvl="3">
      <w:start w:val="1"/>
      <w:numFmt w:val="decimal"/>
      <w:lvlText w:val="%1.%2)%3.%4."/>
      <w:lvlJc w:val="left"/>
      <w:pPr>
        <w:ind w:left="720" w:hanging="720"/>
      </w:pPr>
      <w:rPr>
        <w:rFonts w:eastAsia="NSimSun" w:hint="default"/>
        <w:b w:val="0"/>
      </w:rPr>
    </w:lvl>
    <w:lvl w:ilvl="4">
      <w:start w:val="1"/>
      <w:numFmt w:val="decimal"/>
      <w:lvlText w:val="%1.%2)%3.%4.%5."/>
      <w:lvlJc w:val="left"/>
      <w:pPr>
        <w:ind w:left="1080" w:hanging="1080"/>
      </w:pPr>
      <w:rPr>
        <w:rFonts w:eastAsia="NSimSun" w:hint="default"/>
        <w:b w:val="0"/>
      </w:rPr>
    </w:lvl>
    <w:lvl w:ilvl="5">
      <w:start w:val="1"/>
      <w:numFmt w:val="decimal"/>
      <w:lvlText w:val="%1.%2)%3.%4.%5.%6."/>
      <w:lvlJc w:val="left"/>
      <w:pPr>
        <w:ind w:left="1080" w:hanging="1080"/>
      </w:pPr>
      <w:rPr>
        <w:rFonts w:eastAsia="NSimSun" w:hint="default"/>
        <w:b w:val="0"/>
      </w:rPr>
    </w:lvl>
    <w:lvl w:ilvl="6">
      <w:start w:val="1"/>
      <w:numFmt w:val="decimal"/>
      <w:lvlText w:val="%1.%2)%3.%4.%5.%6.%7."/>
      <w:lvlJc w:val="left"/>
      <w:pPr>
        <w:ind w:left="1080" w:hanging="1080"/>
      </w:pPr>
      <w:rPr>
        <w:rFonts w:eastAsia="NSimSun" w:hint="default"/>
        <w:b w:val="0"/>
      </w:rPr>
    </w:lvl>
    <w:lvl w:ilvl="7">
      <w:start w:val="1"/>
      <w:numFmt w:val="decimal"/>
      <w:lvlText w:val="%1.%2)%3.%4.%5.%6.%7.%8."/>
      <w:lvlJc w:val="left"/>
      <w:pPr>
        <w:ind w:left="1440" w:hanging="1440"/>
      </w:pPr>
      <w:rPr>
        <w:rFonts w:eastAsia="NSimSun" w:hint="default"/>
        <w:b w:val="0"/>
      </w:rPr>
    </w:lvl>
    <w:lvl w:ilvl="8">
      <w:start w:val="1"/>
      <w:numFmt w:val="decimal"/>
      <w:lvlText w:val="%1.%2)%3.%4.%5.%6.%7.%8.%9."/>
      <w:lvlJc w:val="left"/>
      <w:pPr>
        <w:ind w:left="1440" w:hanging="1440"/>
      </w:pPr>
      <w:rPr>
        <w:rFonts w:eastAsia="NSimSun" w:hint="default"/>
        <w:b w:val="0"/>
      </w:rPr>
    </w:lvl>
  </w:abstractNum>
  <w:abstractNum w:abstractNumId="8">
    <w:nsid w:val="77385E28"/>
    <w:multiLevelType w:val="hybridMultilevel"/>
    <w:tmpl w:val="DCC03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2"/>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902886"/>
    <w:rsid w:val="00001B2C"/>
    <w:rsid w:val="00006663"/>
    <w:rsid w:val="00011DB6"/>
    <w:rsid w:val="00022E39"/>
    <w:rsid w:val="00047B60"/>
    <w:rsid w:val="00075137"/>
    <w:rsid w:val="00086DEF"/>
    <w:rsid w:val="00093F4F"/>
    <w:rsid w:val="00095885"/>
    <w:rsid w:val="00095F8A"/>
    <w:rsid w:val="000975B9"/>
    <w:rsid w:val="000A343C"/>
    <w:rsid w:val="000A4498"/>
    <w:rsid w:val="000B0ED3"/>
    <w:rsid w:val="000B6863"/>
    <w:rsid w:val="000C3EF5"/>
    <w:rsid w:val="000C6FC6"/>
    <w:rsid w:val="000C7039"/>
    <w:rsid w:val="000C7BF3"/>
    <w:rsid w:val="000D3AE3"/>
    <w:rsid w:val="000D4BAE"/>
    <w:rsid w:val="000D66AC"/>
    <w:rsid w:val="000D79E0"/>
    <w:rsid w:val="000E10F3"/>
    <w:rsid w:val="000E3FBD"/>
    <w:rsid w:val="000F2DBC"/>
    <w:rsid w:val="000F336F"/>
    <w:rsid w:val="000F4E14"/>
    <w:rsid w:val="000F6E27"/>
    <w:rsid w:val="00100193"/>
    <w:rsid w:val="00101A1A"/>
    <w:rsid w:val="00104638"/>
    <w:rsid w:val="0011266F"/>
    <w:rsid w:val="00113FEF"/>
    <w:rsid w:val="001158A1"/>
    <w:rsid w:val="00125D21"/>
    <w:rsid w:val="00130840"/>
    <w:rsid w:val="00143414"/>
    <w:rsid w:val="00146190"/>
    <w:rsid w:val="00146913"/>
    <w:rsid w:val="0015749C"/>
    <w:rsid w:val="001637ED"/>
    <w:rsid w:val="001726EB"/>
    <w:rsid w:val="00180D86"/>
    <w:rsid w:val="001813D3"/>
    <w:rsid w:val="001A40C4"/>
    <w:rsid w:val="001B0079"/>
    <w:rsid w:val="001B2AC2"/>
    <w:rsid w:val="001C0FB4"/>
    <w:rsid w:val="001C1D9C"/>
    <w:rsid w:val="001C23F8"/>
    <w:rsid w:val="001C7BC8"/>
    <w:rsid w:val="001D3E89"/>
    <w:rsid w:val="001E0B78"/>
    <w:rsid w:val="001E56A4"/>
    <w:rsid w:val="0020127A"/>
    <w:rsid w:val="00212F9D"/>
    <w:rsid w:val="00217309"/>
    <w:rsid w:val="0021780A"/>
    <w:rsid w:val="00223AA6"/>
    <w:rsid w:val="00227ED5"/>
    <w:rsid w:val="00231C00"/>
    <w:rsid w:val="00231D46"/>
    <w:rsid w:val="00234DA5"/>
    <w:rsid w:val="002403F8"/>
    <w:rsid w:val="00240B35"/>
    <w:rsid w:val="00253614"/>
    <w:rsid w:val="00266542"/>
    <w:rsid w:val="0027172C"/>
    <w:rsid w:val="00275B33"/>
    <w:rsid w:val="00277937"/>
    <w:rsid w:val="00290E38"/>
    <w:rsid w:val="00293EC3"/>
    <w:rsid w:val="002A2561"/>
    <w:rsid w:val="002B2660"/>
    <w:rsid w:val="002B5D6D"/>
    <w:rsid w:val="002D3201"/>
    <w:rsid w:val="002D3E7D"/>
    <w:rsid w:val="002D55D1"/>
    <w:rsid w:val="002D5DA3"/>
    <w:rsid w:val="002D7899"/>
    <w:rsid w:val="0030726F"/>
    <w:rsid w:val="00312995"/>
    <w:rsid w:val="00320512"/>
    <w:rsid w:val="003235DF"/>
    <w:rsid w:val="00333E95"/>
    <w:rsid w:val="00346472"/>
    <w:rsid w:val="00361C05"/>
    <w:rsid w:val="00393C90"/>
    <w:rsid w:val="00396D24"/>
    <w:rsid w:val="003A3570"/>
    <w:rsid w:val="003A3BF2"/>
    <w:rsid w:val="003A4601"/>
    <w:rsid w:val="003B25CA"/>
    <w:rsid w:val="003B6C55"/>
    <w:rsid w:val="003B72DE"/>
    <w:rsid w:val="003C2210"/>
    <w:rsid w:val="003C734C"/>
    <w:rsid w:val="003D17A9"/>
    <w:rsid w:val="003D350C"/>
    <w:rsid w:val="003D4E72"/>
    <w:rsid w:val="003D6163"/>
    <w:rsid w:val="003E2BBA"/>
    <w:rsid w:val="00402C9E"/>
    <w:rsid w:val="00404883"/>
    <w:rsid w:val="00406250"/>
    <w:rsid w:val="004175D3"/>
    <w:rsid w:val="00423969"/>
    <w:rsid w:val="00426D82"/>
    <w:rsid w:val="0043648B"/>
    <w:rsid w:val="00436529"/>
    <w:rsid w:val="0044031F"/>
    <w:rsid w:val="0047309A"/>
    <w:rsid w:val="00482B44"/>
    <w:rsid w:val="0048504C"/>
    <w:rsid w:val="00491893"/>
    <w:rsid w:val="004A38DF"/>
    <w:rsid w:val="004A40E9"/>
    <w:rsid w:val="004B37C7"/>
    <w:rsid w:val="004B4764"/>
    <w:rsid w:val="004C013D"/>
    <w:rsid w:val="004D61C2"/>
    <w:rsid w:val="004D6BD6"/>
    <w:rsid w:val="004E3565"/>
    <w:rsid w:val="004E3696"/>
    <w:rsid w:val="004E36E5"/>
    <w:rsid w:val="004E4743"/>
    <w:rsid w:val="004E4802"/>
    <w:rsid w:val="004F7D4F"/>
    <w:rsid w:val="004F7DAA"/>
    <w:rsid w:val="0050097D"/>
    <w:rsid w:val="0050631D"/>
    <w:rsid w:val="00507F38"/>
    <w:rsid w:val="005347DC"/>
    <w:rsid w:val="00551808"/>
    <w:rsid w:val="0055417A"/>
    <w:rsid w:val="00555D8D"/>
    <w:rsid w:val="00560104"/>
    <w:rsid w:val="005619C1"/>
    <w:rsid w:val="00576850"/>
    <w:rsid w:val="005813E2"/>
    <w:rsid w:val="005841EB"/>
    <w:rsid w:val="00586086"/>
    <w:rsid w:val="005955E8"/>
    <w:rsid w:val="005A47D0"/>
    <w:rsid w:val="005A4BE1"/>
    <w:rsid w:val="005B19BF"/>
    <w:rsid w:val="005B37BB"/>
    <w:rsid w:val="005D2C4A"/>
    <w:rsid w:val="005E4F42"/>
    <w:rsid w:val="005E5A16"/>
    <w:rsid w:val="005F304B"/>
    <w:rsid w:val="00601ADB"/>
    <w:rsid w:val="00602808"/>
    <w:rsid w:val="00603CE2"/>
    <w:rsid w:val="006113B1"/>
    <w:rsid w:val="006173AA"/>
    <w:rsid w:val="00627019"/>
    <w:rsid w:val="0062724A"/>
    <w:rsid w:val="00633F05"/>
    <w:rsid w:val="006358BA"/>
    <w:rsid w:val="00636825"/>
    <w:rsid w:val="0063798C"/>
    <w:rsid w:val="00641334"/>
    <w:rsid w:val="00644611"/>
    <w:rsid w:val="006579E0"/>
    <w:rsid w:val="00661CE1"/>
    <w:rsid w:val="006639F9"/>
    <w:rsid w:val="00684C42"/>
    <w:rsid w:val="00685AEE"/>
    <w:rsid w:val="006900F8"/>
    <w:rsid w:val="00691579"/>
    <w:rsid w:val="00692A67"/>
    <w:rsid w:val="00692B02"/>
    <w:rsid w:val="00692FF0"/>
    <w:rsid w:val="006A78FA"/>
    <w:rsid w:val="006B11A3"/>
    <w:rsid w:val="006B2CFD"/>
    <w:rsid w:val="006B3F1B"/>
    <w:rsid w:val="006B568E"/>
    <w:rsid w:val="006B7BED"/>
    <w:rsid w:val="006C0FAB"/>
    <w:rsid w:val="006C7092"/>
    <w:rsid w:val="006D06A6"/>
    <w:rsid w:val="006D6376"/>
    <w:rsid w:val="006D7AC8"/>
    <w:rsid w:val="006E2C6B"/>
    <w:rsid w:val="006E4E9A"/>
    <w:rsid w:val="006E6283"/>
    <w:rsid w:val="006F1EE0"/>
    <w:rsid w:val="006F3736"/>
    <w:rsid w:val="006F6702"/>
    <w:rsid w:val="00712302"/>
    <w:rsid w:val="007153A4"/>
    <w:rsid w:val="0072700F"/>
    <w:rsid w:val="00730757"/>
    <w:rsid w:val="0074116C"/>
    <w:rsid w:val="007459E6"/>
    <w:rsid w:val="0075060A"/>
    <w:rsid w:val="00756627"/>
    <w:rsid w:val="00757330"/>
    <w:rsid w:val="007601ED"/>
    <w:rsid w:val="00763DD3"/>
    <w:rsid w:val="00771064"/>
    <w:rsid w:val="007715F4"/>
    <w:rsid w:val="00777B12"/>
    <w:rsid w:val="00784848"/>
    <w:rsid w:val="00790166"/>
    <w:rsid w:val="00793E70"/>
    <w:rsid w:val="007A02DB"/>
    <w:rsid w:val="007A3E2D"/>
    <w:rsid w:val="007A689D"/>
    <w:rsid w:val="007B0F02"/>
    <w:rsid w:val="007B63AB"/>
    <w:rsid w:val="007C4217"/>
    <w:rsid w:val="007D0818"/>
    <w:rsid w:val="007D144D"/>
    <w:rsid w:val="007D333D"/>
    <w:rsid w:val="007E3BC9"/>
    <w:rsid w:val="007E6A03"/>
    <w:rsid w:val="007E7D5C"/>
    <w:rsid w:val="007F135D"/>
    <w:rsid w:val="007F1946"/>
    <w:rsid w:val="00800E33"/>
    <w:rsid w:val="00810600"/>
    <w:rsid w:val="00810B8D"/>
    <w:rsid w:val="00831212"/>
    <w:rsid w:val="00831485"/>
    <w:rsid w:val="00833F52"/>
    <w:rsid w:val="0083467A"/>
    <w:rsid w:val="00836FDB"/>
    <w:rsid w:val="0084164E"/>
    <w:rsid w:val="008445EA"/>
    <w:rsid w:val="00845161"/>
    <w:rsid w:val="00857E60"/>
    <w:rsid w:val="0086342B"/>
    <w:rsid w:val="00863DD6"/>
    <w:rsid w:val="0087299F"/>
    <w:rsid w:val="0087586C"/>
    <w:rsid w:val="0088018F"/>
    <w:rsid w:val="00895F9C"/>
    <w:rsid w:val="008A1E49"/>
    <w:rsid w:val="008B4D31"/>
    <w:rsid w:val="008D5D49"/>
    <w:rsid w:val="008E00B7"/>
    <w:rsid w:val="008E0FA2"/>
    <w:rsid w:val="008E17CE"/>
    <w:rsid w:val="008F3D75"/>
    <w:rsid w:val="008F5C37"/>
    <w:rsid w:val="00902886"/>
    <w:rsid w:val="00903F4C"/>
    <w:rsid w:val="0091081A"/>
    <w:rsid w:val="00916DE3"/>
    <w:rsid w:val="00917110"/>
    <w:rsid w:val="00920419"/>
    <w:rsid w:val="00932A2D"/>
    <w:rsid w:val="00933C47"/>
    <w:rsid w:val="00944620"/>
    <w:rsid w:val="00945A15"/>
    <w:rsid w:val="0095012C"/>
    <w:rsid w:val="009530FB"/>
    <w:rsid w:val="00954056"/>
    <w:rsid w:val="009603CA"/>
    <w:rsid w:val="0096393B"/>
    <w:rsid w:val="009801BB"/>
    <w:rsid w:val="0098421D"/>
    <w:rsid w:val="00985C3E"/>
    <w:rsid w:val="009876A4"/>
    <w:rsid w:val="00991A10"/>
    <w:rsid w:val="00993E3C"/>
    <w:rsid w:val="00997744"/>
    <w:rsid w:val="009A0B6E"/>
    <w:rsid w:val="009A2E3F"/>
    <w:rsid w:val="009B309D"/>
    <w:rsid w:val="009B77B8"/>
    <w:rsid w:val="009D1CEC"/>
    <w:rsid w:val="009D36C4"/>
    <w:rsid w:val="009E355F"/>
    <w:rsid w:val="009E6158"/>
    <w:rsid w:val="009F17D4"/>
    <w:rsid w:val="009F1C0F"/>
    <w:rsid w:val="009F20FB"/>
    <w:rsid w:val="009F78EB"/>
    <w:rsid w:val="00A15024"/>
    <w:rsid w:val="00A157A5"/>
    <w:rsid w:val="00A17972"/>
    <w:rsid w:val="00A219D1"/>
    <w:rsid w:val="00A2324C"/>
    <w:rsid w:val="00A23497"/>
    <w:rsid w:val="00A23E65"/>
    <w:rsid w:val="00A3100E"/>
    <w:rsid w:val="00A33997"/>
    <w:rsid w:val="00A40F87"/>
    <w:rsid w:val="00A423D1"/>
    <w:rsid w:val="00A46CD1"/>
    <w:rsid w:val="00A5599E"/>
    <w:rsid w:val="00A60724"/>
    <w:rsid w:val="00A623FF"/>
    <w:rsid w:val="00A62431"/>
    <w:rsid w:val="00A64BC0"/>
    <w:rsid w:val="00A7015D"/>
    <w:rsid w:val="00A73B2C"/>
    <w:rsid w:val="00A74EAE"/>
    <w:rsid w:val="00A8041B"/>
    <w:rsid w:val="00A900E3"/>
    <w:rsid w:val="00A9168E"/>
    <w:rsid w:val="00A92109"/>
    <w:rsid w:val="00AA18C4"/>
    <w:rsid w:val="00AA3BE0"/>
    <w:rsid w:val="00AB59D6"/>
    <w:rsid w:val="00AB77D2"/>
    <w:rsid w:val="00AC5991"/>
    <w:rsid w:val="00AE3336"/>
    <w:rsid w:val="00AE37A5"/>
    <w:rsid w:val="00AE4E6F"/>
    <w:rsid w:val="00AE5237"/>
    <w:rsid w:val="00AE7D7E"/>
    <w:rsid w:val="00AF2939"/>
    <w:rsid w:val="00AF49B9"/>
    <w:rsid w:val="00B02F05"/>
    <w:rsid w:val="00B13666"/>
    <w:rsid w:val="00B1772C"/>
    <w:rsid w:val="00B20C0E"/>
    <w:rsid w:val="00B2531A"/>
    <w:rsid w:val="00B40B4C"/>
    <w:rsid w:val="00B47854"/>
    <w:rsid w:val="00B54EED"/>
    <w:rsid w:val="00B67F89"/>
    <w:rsid w:val="00B8040E"/>
    <w:rsid w:val="00B832C0"/>
    <w:rsid w:val="00B849F2"/>
    <w:rsid w:val="00B84CE1"/>
    <w:rsid w:val="00B85BF8"/>
    <w:rsid w:val="00B868AC"/>
    <w:rsid w:val="00B90713"/>
    <w:rsid w:val="00B92A66"/>
    <w:rsid w:val="00B97CC8"/>
    <w:rsid w:val="00BA0271"/>
    <w:rsid w:val="00BA23E2"/>
    <w:rsid w:val="00BB1FA1"/>
    <w:rsid w:val="00BB4A9A"/>
    <w:rsid w:val="00BB5924"/>
    <w:rsid w:val="00BB7F3D"/>
    <w:rsid w:val="00BC6B48"/>
    <w:rsid w:val="00BD1C4C"/>
    <w:rsid w:val="00BD1D29"/>
    <w:rsid w:val="00BE2087"/>
    <w:rsid w:val="00BF11FC"/>
    <w:rsid w:val="00BF3E4A"/>
    <w:rsid w:val="00BF478A"/>
    <w:rsid w:val="00C01D1F"/>
    <w:rsid w:val="00C063D5"/>
    <w:rsid w:val="00C16323"/>
    <w:rsid w:val="00C166AB"/>
    <w:rsid w:val="00C20274"/>
    <w:rsid w:val="00C208E5"/>
    <w:rsid w:val="00C3051E"/>
    <w:rsid w:val="00C34CF0"/>
    <w:rsid w:val="00C43B3F"/>
    <w:rsid w:val="00C51DEC"/>
    <w:rsid w:val="00C52692"/>
    <w:rsid w:val="00C7300E"/>
    <w:rsid w:val="00C73732"/>
    <w:rsid w:val="00C813E1"/>
    <w:rsid w:val="00C838F0"/>
    <w:rsid w:val="00C84C9C"/>
    <w:rsid w:val="00C90614"/>
    <w:rsid w:val="00C90AD4"/>
    <w:rsid w:val="00C912DA"/>
    <w:rsid w:val="00C91896"/>
    <w:rsid w:val="00CB4710"/>
    <w:rsid w:val="00CB4A83"/>
    <w:rsid w:val="00CD0A16"/>
    <w:rsid w:val="00CD19ED"/>
    <w:rsid w:val="00CD41F0"/>
    <w:rsid w:val="00CD4374"/>
    <w:rsid w:val="00CE0B31"/>
    <w:rsid w:val="00CE11D1"/>
    <w:rsid w:val="00CE2633"/>
    <w:rsid w:val="00CE48CF"/>
    <w:rsid w:val="00CE775C"/>
    <w:rsid w:val="00CF38F8"/>
    <w:rsid w:val="00CF61D6"/>
    <w:rsid w:val="00D12F0C"/>
    <w:rsid w:val="00D15201"/>
    <w:rsid w:val="00D17502"/>
    <w:rsid w:val="00D175CD"/>
    <w:rsid w:val="00D33398"/>
    <w:rsid w:val="00D367DD"/>
    <w:rsid w:val="00D43A27"/>
    <w:rsid w:val="00D504AD"/>
    <w:rsid w:val="00D551B3"/>
    <w:rsid w:val="00D61ABF"/>
    <w:rsid w:val="00D628E1"/>
    <w:rsid w:val="00D81007"/>
    <w:rsid w:val="00D919AD"/>
    <w:rsid w:val="00D92FB2"/>
    <w:rsid w:val="00D952FD"/>
    <w:rsid w:val="00DA2A5D"/>
    <w:rsid w:val="00DA3005"/>
    <w:rsid w:val="00DA497A"/>
    <w:rsid w:val="00DA55CF"/>
    <w:rsid w:val="00DA6B24"/>
    <w:rsid w:val="00DB4E7E"/>
    <w:rsid w:val="00DC1AC8"/>
    <w:rsid w:val="00DC2F2C"/>
    <w:rsid w:val="00DC32C2"/>
    <w:rsid w:val="00DD0591"/>
    <w:rsid w:val="00DD6DC2"/>
    <w:rsid w:val="00DE0C13"/>
    <w:rsid w:val="00DE2719"/>
    <w:rsid w:val="00DE5E08"/>
    <w:rsid w:val="00DF0AB8"/>
    <w:rsid w:val="00DF3C45"/>
    <w:rsid w:val="00DF5A4F"/>
    <w:rsid w:val="00E17CE5"/>
    <w:rsid w:val="00E21E35"/>
    <w:rsid w:val="00E32E7B"/>
    <w:rsid w:val="00E42316"/>
    <w:rsid w:val="00E43542"/>
    <w:rsid w:val="00E455BA"/>
    <w:rsid w:val="00E51472"/>
    <w:rsid w:val="00E660C7"/>
    <w:rsid w:val="00E666F4"/>
    <w:rsid w:val="00E67235"/>
    <w:rsid w:val="00E71BF7"/>
    <w:rsid w:val="00E75A26"/>
    <w:rsid w:val="00E83423"/>
    <w:rsid w:val="00E85C1B"/>
    <w:rsid w:val="00EB4557"/>
    <w:rsid w:val="00EB50CB"/>
    <w:rsid w:val="00EB72AA"/>
    <w:rsid w:val="00EC32AF"/>
    <w:rsid w:val="00EC7762"/>
    <w:rsid w:val="00ED305E"/>
    <w:rsid w:val="00ED3D51"/>
    <w:rsid w:val="00EE0E64"/>
    <w:rsid w:val="00EE0F66"/>
    <w:rsid w:val="00EE27DD"/>
    <w:rsid w:val="00EE62CA"/>
    <w:rsid w:val="00EE65EB"/>
    <w:rsid w:val="00EE6EA0"/>
    <w:rsid w:val="00EE7C27"/>
    <w:rsid w:val="00EF7B87"/>
    <w:rsid w:val="00F0319C"/>
    <w:rsid w:val="00F03D50"/>
    <w:rsid w:val="00F21261"/>
    <w:rsid w:val="00F25549"/>
    <w:rsid w:val="00F34F37"/>
    <w:rsid w:val="00F42E13"/>
    <w:rsid w:val="00F46FDF"/>
    <w:rsid w:val="00F50D42"/>
    <w:rsid w:val="00F516A6"/>
    <w:rsid w:val="00F551AD"/>
    <w:rsid w:val="00F5622A"/>
    <w:rsid w:val="00F61FE2"/>
    <w:rsid w:val="00F77D4A"/>
    <w:rsid w:val="00F81A68"/>
    <w:rsid w:val="00F82736"/>
    <w:rsid w:val="00F830F6"/>
    <w:rsid w:val="00F95019"/>
    <w:rsid w:val="00F9735A"/>
    <w:rsid w:val="00FA24BE"/>
    <w:rsid w:val="00FA4FC5"/>
    <w:rsid w:val="00FB226B"/>
    <w:rsid w:val="00FB4834"/>
    <w:rsid w:val="00FB6A7E"/>
    <w:rsid w:val="00FE2DAF"/>
    <w:rsid w:val="00FF2544"/>
    <w:rsid w:val="00FF3432"/>
    <w:rsid w:val="00FF4D53"/>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CE775C"/>
    <w:pPr>
      <w:keepNext/>
      <w:autoSpaceDN w:val="0"/>
      <w:spacing w:before="240" w:after="120"/>
      <w:textAlignment w:val="baseline"/>
      <w:outlineLvl w:val="0"/>
    </w:pPr>
    <w:rPr>
      <w:rFonts w:ascii="Liberation Sans" w:eastAsia="Microsoft YaHei" w:hAnsi="Liberation Sans"/>
      <w:kern w:val="3"/>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character" w:styleId="a9">
    <w:name w:val="Hyperlink"/>
    <w:basedOn w:val="a0"/>
    <w:uiPriority w:val="99"/>
    <w:semiHidden/>
    <w:unhideWhenUsed/>
    <w:rsid w:val="00AE37A5"/>
    <w:rPr>
      <w:color w:val="0563C1" w:themeColor="hyperlink"/>
      <w:u w:val="single"/>
    </w:rPr>
  </w:style>
  <w:style w:type="paragraph" w:styleId="aa">
    <w:name w:val="Balloon Text"/>
    <w:basedOn w:val="a"/>
    <w:link w:val="ab"/>
    <w:uiPriority w:val="99"/>
    <w:semiHidden/>
    <w:unhideWhenUsed/>
    <w:rsid w:val="00DA497A"/>
    <w:rPr>
      <w:rFonts w:ascii="Tahoma" w:hAnsi="Tahoma"/>
      <w:sz w:val="16"/>
      <w:szCs w:val="14"/>
    </w:rPr>
  </w:style>
  <w:style w:type="character" w:customStyle="1" w:styleId="ab">
    <w:name w:val="Текст выноски Знак"/>
    <w:basedOn w:val="a0"/>
    <w:link w:val="aa"/>
    <w:uiPriority w:val="99"/>
    <w:semiHidden/>
    <w:rsid w:val="00DA497A"/>
    <w:rPr>
      <w:rFonts w:ascii="Tahoma" w:hAnsi="Tahoma"/>
      <w:sz w:val="16"/>
      <w:szCs w:val="14"/>
    </w:rPr>
  </w:style>
  <w:style w:type="paragraph" w:styleId="ac">
    <w:name w:val="List Paragraph"/>
    <w:basedOn w:val="a"/>
    <w:uiPriority w:val="34"/>
    <w:qFormat/>
    <w:rsid w:val="00423969"/>
    <w:pPr>
      <w:ind w:left="720"/>
      <w:contextualSpacing/>
    </w:pPr>
    <w:rPr>
      <w:szCs w:val="21"/>
    </w:rPr>
  </w:style>
  <w:style w:type="table" w:styleId="ad">
    <w:name w:val="Table Grid"/>
    <w:basedOn w:val="a1"/>
    <w:uiPriority w:val="39"/>
    <w:rsid w:val="00D12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C51DE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rsid w:val="0021780A"/>
    <w:pPr>
      <w:autoSpaceDN w:val="0"/>
      <w:spacing w:after="160" w:line="249" w:lineRule="auto"/>
      <w:textAlignment w:val="baseline"/>
    </w:pPr>
    <w:rPr>
      <w:rFonts w:ascii="Times New Roman" w:eastAsia="SimSun" w:hAnsi="Times New Roman" w:cs="Calibri"/>
      <w:color w:val="000000"/>
      <w:kern w:val="0"/>
      <w:sz w:val="22"/>
      <w:szCs w:val="22"/>
      <w:lang w:eastAsia="ru-RU" w:bidi="ar-SA"/>
    </w:rPr>
  </w:style>
  <w:style w:type="paragraph" w:styleId="ae">
    <w:name w:val="Normal (Web)"/>
    <w:basedOn w:val="a"/>
    <w:uiPriority w:val="99"/>
    <w:unhideWhenUsed/>
    <w:rsid w:val="000D66AC"/>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0">
    <w:name w:val="Заголовок 1 Знак"/>
    <w:basedOn w:val="a0"/>
    <w:link w:val="1"/>
    <w:rsid w:val="00CE775C"/>
    <w:rPr>
      <w:rFonts w:ascii="Liberation Sans" w:eastAsia="Microsoft YaHei" w:hAnsi="Liberation Sans"/>
      <w:kern w:val="3"/>
      <w:sz w:val="28"/>
      <w:szCs w:val="28"/>
      <w:lang w:val="en-US"/>
    </w:rPr>
  </w:style>
  <w:style w:type="paragraph" w:customStyle="1" w:styleId="Standarduser">
    <w:name w:val="Standard (user)"/>
    <w:rsid w:val="00CE775C"/>
    <w:pPr>
      <w:widowControl w:val="0"/>
      <w:autoSpaceDN w:val="0"/>
      <w:textAlignment w:val="baseline"/>
    </w:pPr>
    <w:rPr>
      <w:rFonts w:eastAsia="SimSun" w:cs="Liberation Serif"/>
      <w:color w:val="00000A"/>
      <w:kern w:val="3"/>
    </w:rPr>
  </w:style>
  <w:style w:type="paragraph" w:customStyle="1" w:styleId="a5c8b0e714da563fe90b98cef41456e9db9fe9049761426654245bb2dd862eecmsonormal">
    <w:name w:val="a5c8b0e714da563fe90b98cef41456e9db9fe9049761426654245bb2dd862eecmsonormal"/>
    <w:basedOn w:val="Standard"/>
    <w:rsid w:val="00CE775C"/>
    <w:pPr>
      <w:spacing w:before="100" w:after="100" w:line="240" w:lineRule="auto"/>
    </w:pPr>
    <w:rPr>
      <w:rFonts w:ascii="Liberation Serif" w:hAnsi="Liberation Serif" w:cs="Mangal"/>
      <w:color w:val="auto"/>
      <w:kern w:val="3"/>
      <w:sz w:val="24"/>
      <w:szCs w:val="24"/>
      <w:lang w:val="en-US" w:bidi="hi-IN"/>
    </w:rPr>
  </w:style>
  <w:style w:type="paragraph" w:customStyle="1" w:styleId="Heading1user">
    <w:name w:val="Heading 1 (user)"/>
    <w:basedOn w:val="Standard"/>
    <w:rsid w:val="00CE775C"/>
    <w:pPr>
      <w:keepNext/>
      <w:spacing w:before="240" w:after="120" w:line="240" w:lineRule="auto"/>
    </w:pPr>
    <w:rPr>
      <w:rFonts w:ascii="Liberation Sans" w:eastAsia="Microsoft YaHei" w:hAnsi="Liberation Sans" w:cs="Liberation Sans"/>
      <w:color w:val="auto"/>
      <w:kern w:val="3"/>
      <w:sz w:val="28"/>
      <w:szCs w:val="28"/>
      <w:lang w:val="en-US" w:eastAsia="zh-CN" w:bidi="hi-IN"/>
    </w:rPr>
  </w:style>
  <w:style w:type="paragraph" w:customStyle="1" w:styleId="TableContentsuser">
    <w:name w:val="Table Contents (user)"/>
    <w:basedOn w:val="Standarduser"/>
    <w:rsid w:val="00CE775C"/>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8577">
      <w:bodyDiv w:val="1"/>
      <w:marLeft w:val="0"/>
      <w:marRight w:val="0"/>
      <w:marTop w:val="0"/>
      <w:marBottom w:val="0"/>
      <w:divBdr>
        <w:top w:val="none" w:sz="0" w:space="0" w:color="auto"/>
        <w:left w:val="none" w:sz="0" w:space="0" w:color="auto"/>
        <w:bottom w:val="none" w:sz="0" w:space="0" w:color="auto"/>
        <w:right w:val="none" w:sz="0" w:space="0" w:color="auto"/>
      </w:divBdr>
    </w:div>
    <w:div w:id="277370012">
      <w:bodyDiv w:val="1"/>
      <w:marLeft w:val="0"/>
      <w:marRight w:val="0"/>
      <w:marTop w:val="0"/>
      <w:marBottom w:val="0"/>
      <w:divBdr>
        <w:top w:val="none" w:sz="0" w:space="0" w:color="auto"/>
        <w:left w:val="none" w:sz="0" w:space="0" w:color="auto"/>
        <w:bottom w:val="none" w:sz="0" w:space="0" w:color="auto"/>
        <w:right w:val="none" w:sz="0" w:space="0" w:color="auto"/>
      </w:divBdr>
    </w:div>
    <w:div w:id="483278299">
      <w:bodyDiv w:val="1"/>
      <w:marLeft w:val="0"/>
      <w:marRight w:val="0"/>
      <w:marTop w:val="0"/>
      <w:marBottom w:val="0"/>
      <w:divBdr>
        <w:top w:val="none" w:sz="0" w:space="0" w:color="auto"/>
        <w:left w:val="none" w:sz="0" w:space="0" w:color="auto"/>
        <w:bottom w:val="none" w:sz="0" w:space="0" w:color="auto"/>
        <w:right w:val="none" w:sz="0" w:space="0" w:color="auto"/>
      </w:divBdr>
    </w:div>
    <w:div w:id="621420517">
      <w:bodyDiv w:val="1"/>
      <w:marLeft w:val="0"/>
      <w:marRight w:val="0"/>
      <w:marTop w:val="0"/>
      <w:marBottom w:val="0"/>
      <w:divBdr>
        <w:top w:val="none" w:sz="0" w:space="0" w:color="auto"/>
        <w:left w:val="none" w:sz="0" w:space="0" w:color="auto"/>
        <w:bottom w:val="none" w:sz="0" w:space="0" w:color="auto"/>
        <w:right w:val="none" w:sz="0" w:space="0" w:color="auto"/>
      </w:divBdr>
    </w:div>
    <w:div w:id="693265861">
      <w:bodyDiv w:val="1"/>
      <w:marLeft w:val="0"/>
      <w:marRight w:val="0"/>
      <w:marTop w:val="0"/>
      <w:marBottom w:val="0"/>
      <w:divBdr>
        <w:top w:val="none" w:sz="0" w:space="0" w:color="auto"/>
        <w:left w:val="none" w:sz="0" w:space="0" w:color="auto"/>
        <w:bottom w:val="none" w:sz="0" w:space="0" w:color="auto"/>
        <w:right w:val="none" w:sz="0" w:space="0" w:color="auto"/>
      </w:divBdr>
    </w:div>
    <w:div w:id="1245913623">
      <w:bodyDiv w:val="1"/>
      <w:marLeft w:val="0"/>
      <w:marRight w:val="0"/>
      <w:marTop w:val="0"/>
      <w:marBottom w:val="0"/>
      <w:divBdr>
        <w:top w:val="none" w:sz="0" w:space="0" w:color="auto"/>
        <w:left w:val="none" w:sz="0" w:space="0" w:color="auto"/>
        <w:bottom w:val="none" w:sz="0" w:space="0" w:color="auto"/>
        <w:right w:val="none" w:sz="0" w:space="0" w:color="auto"/>
      </w:divBdr>
    </w:div>
    <w:div w:id="13958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1DF1-DE43-408F-BA37-685E7AD9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6</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vt:lpstr>
    </vt:vector>
  </TitlesOfParts>
  <Company>КонсультантПлюс Версия 4021.00.31</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dc:title>
  <dc:subject/>
  <dc:creator/>
  <dc:description/>
  <cp:lastModifiedBy>Байдурова Мария Юрьевна</cp:lastModifiedBy>
  <cp:revision>811</cp:revision>
  <cp:lastPrinted>2024-03-22T11:14:00Z</cp:lastPrinted>
  <dcterms:created xsi:type="dcterms:W3CDTF">2022-01-20T13:54:00Z</dcterms:created>
  <dcterms:modified xsi:type="dcterms:W3CDTF">2024-12-19T06:02:00Z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