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0"/>
        <w:jc w:val="center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  <w:r>
        <w:rPr>
          <w:b/>
          <w:bCs/>
          <w:sz w:val="22"/>
          <w:szCs w:val="22"/>
        </w:rPr>
      </w:r>
    </w:p>
    <w:p>
      <w:pPr>
        <w:jc w:val="center"/>
        <w:spacing w:after="0" w:line="240" w:lineRule="auto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на </w:t>
      </w:r>
      <w:r>
        <w:rPr>
          <w:rFonts w:cs="Times New Roman"/>
          <w:b/>
          <w:bCs/>
          <w:sz w:val="22"/>
        </w:rPr>
        <w:t xml:space="preserve">поставку компьютерной техники</w:t>
      </w:r>
      <w:r>
        <w:rPr>
          <w:rFonts w:cs="Times New Roman"/>
          <w:b/>
          <w:bCs/>
          <w:sz w:val="22"/>
        </w:rPr>
      </w:r>
    </w:p>
    <w:p>
      <w:pPr>
        <w:jc w:val="center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spacing w:after="0" w:line="240" w:lineRule="auto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1. Объект закупки:</w:t>
      </w:r>
      <w:r>
        <w:rPr>
          <w:rFonts w:cs="Times New Roman"/>
          <w:b/>
          <w:bCs/>
          <w:sz w:val="22"/>
        </w:rPr>
      </w:r>
    </w:p>
    <w:tbl>
      <w:tblPr>
        <w:tblStyle w:val="680"/>
        <w:tblW w:w="4980" w:type="pct"/>
        <w:tblInd w:w="-5" w:type="dxa"/>
        <w:tblLook w:val="04A0" w:firstRow="1" w:lastRow="0" w:firstColumn="1" w:lastColumn="0" w:noHBand="0" w:noVBand="1"/>
      </w:tblPr>
      <w:tblGrid>
        <w:gridCol w:w="576"/>
        <w:gridCol w:w="2226"/>
        <w:gridCol w:w="1371"/>
        <w:gridCol w:w="4049"/>
        <w:gridCol w:w="652"/>
        <w:gridCol w:w="715"/>
      </w:tblGrid>
      <w:tr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№ п/п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tcW w:w="222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Наименование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ОКПД 2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Характеристики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Ед. изм.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Кол-во</w:t>
            </w:r>
            <w:r>
              <w:rPr>
                <w:rFonts w:cs="Times New Roman"/>
                <w:b/>
                <w:bCs/>
                <w:sz w:val="22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1"/>
              </w:numPr>
              <w:ind w:hanging="68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26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 DEXP </w:t>
            </w:r>
            <w:r>
              <w:rPr>
                <w:rFonts w:cs="Times New Roman"/>
                <w:sz w:val="22"/>
              </w:rPr>
              <w:t xml:space="preserve">Atlas</w:t>
            </w:r>
            <w:r>
              <w:rPr>
                <w:rFonts w:cs="Times New Roman"/>
                <w:sz w:val="22"/>
              </w:rPr>
              <w:t xml:space="preserve"> H470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26.20.15.110</w:t>
            </w:r>
            <w:r>
              <w:rPr>
                <w:rFonts w:cs="Times New Roman"/>
                <w:sz w:val="22"/>
              </w:rPr>
              <w:t xml:space="preserve"> (О)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Форм-фактор корпуса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Mini-Tower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Цвет корпуса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черный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Программное обеспечение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Операционная система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Windows</w:t>
            </w:r>
            <w:r>
              <w:rPr>
                <w:rFonts w:cs="Times New Roman"/>
                <w:sz w:val="22"/>
              </w:rPr>
              <w:t xml:space="preserve"> 11 </w:t>
            </w:r>
            <w:r>
              <w:rPr>
                <w:rFonts w:cs="Times New Roman"/>
                <w:sz w:val="22"/>
              </w:rPr>
              <w:t xml:space="preserve">Pro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Поддержка автоматической установки оборудования по </w:t>
            </w:r>
            <w:r>
              <w:rPr>
                <w:rFonts w:cs="Times New Roman"/>
                <w:sz w:val="22"/>
              </w:rPr>
              <w:t xml:space="preserve">станадрту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Plug-and-Play</w:t>
            </w:r>
            <w:r>
              <w:rPr>
                <w:rFonts w:cs="Times New Roman"/>
                <w:sz w:val="22"/>
              </w:rPr>
              <w:t xml:space="preserve">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Поддержка </w:t>
            </w:r>
            <w:r>
              <w:rPr>
                <w:rFonts w:cs="Times New Roman"/>
                <w:sz w:val="22"/>
              </w:rPr>
              <w:t xml:space="preserve">DirectX</w:t>
            </w:r>
            <w:r>
              <w:rPr>
                <w:rFonts w:cs="Times New Roman"/>
                <w:sz w:val="22"/>
              </w:rPr>
              <w:t xml:space="preserve"> (в том числе аппаратное ускорение)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Поддержка JAVA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Поддержка </w:t>
            </w:r>
            <w:r>
              <w:rPr>
                <w:rFonts w:cs="Times New Roman"/>
                <w:sz w:val="22"/>
              </w:rPr>
              <w:t xml:space="preserve">DotNet</w:t>
            </w:r>
            <w:r>
              <w:rPr>
                <w:rFonts w:cs="Times New Roman"/>
                <w:sz w:val="22"/>
              </w:rPr>
              <w:t xml:space="preserve">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Поддержка виртуализации приложений, работающая в автономном режиме внутри клиентской ОС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Возможность подключения к корпоративным ресурсам для удаленных пользователей без создания виртуальной частной сети (VPN)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Автоматическое распознавание съемных накопителей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Встроенное в операционную систему средство резервного копирования с графическим интерфейсом – наличие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Процессор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Модель процессора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AMD </w:t>
            </w:r>
            <w:r>
              <w:rPr>
                <w:rFonts w:cs="Times New Roman"/>
                <w:sz w:val="22"/>
              </w:rPr>
              <w:t xml:space="preserve">Ryzen</w:t>
            </w:r>
            <w:r>
              <w:rPr>
                <w:rFonts w:cs="Times New Roman"/>
                <w:sz w:val="22"/>
              </w:rPr>
              <w:t xml:space="preserve"> 5 5600G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Общее количество ядер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производительных ядер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потоков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Базовая частота производительных ядер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3.9 ГГц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Максимальная частота производительных ядер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4.4 ГГц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Материнская плата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Сокет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AM4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Чипсет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AMD B550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слотов оперативной памяти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Оперативная память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оперативной памяти</w:t>
            </w:r>
            <w:r>
              <w:rPr>
                <w:rFonts w:cs="Times New Roman"/>
                <w:sz w:val="22"/>
              </w:rPr>
              <w:t xml:space="preserve">: не ниже </w:t>
            </w:r>
            <w:r>
              <w:rPr>
                <w:rFonts w:cs="Times New Roman"/>
                <w:sz w:val="22"/>
              </w:rPr>
              <w:t xml:space="preserve">DDR4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Форм-фактор оперативной памяти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DIMM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установленных модулей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Общий объем оперативной памяти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16 ГБ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Видеокарта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видеокарты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встроенная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Модель интегрированной видеокарты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AMD </w:t>
            </w:r>
            <w:r>
              <w:rPr>
                <w:rFonts w:cs="Times New Roman"/>
                <w:sz w:val="22"/>
              </w:rPr>
              <w:t xml:space="preserve">Radeon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Vega</w:t>
            </w:r>
            <w:r>
              <w:rPr>
                <w:rFonts w:cs="Times New Roman"/>
                <w:sz w:val="22"/>
              </w:rPr>
              <w:t xml:space="preserve"> 7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Накопители данных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Конфигурация твердотельных накопителей (SSD)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512 GB M.2 </w:t>
            </w:r>
            <w:r>
              <w:rPr>
                <w:rFonts w:cs="Times New Roman"/>
                <w:sz w:val="22"/>
              </w:rPr>
              <w:t xml:space="preserve">PCIe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Разъемы на фронтальной панели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Порты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USB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Type</w:t>
            </w:r>
            <w:r>
              <w:rPr>
                <w:rFonts w:cs="Times New Roman"/>
                <w:sz w:val="22"/>
              </w:rPr>
              <w:t xml:space="preserve">-</w:t>
            </w:r>
            <w:r>
              <w:rPr>
                <w:rFonts w:cs="Times New Roman"/>
                <w:sz w:val="22"/>
                <w:lang w:val="en-US"/>
              </w:rPr>
              <w:t xml:space="preserve">A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не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менее </w:t>
            </w:r>
            <w:r>
              <w:rPr>
                <w:rFonts w:cs="Times New Roman"/>
                <w:sz w:val="22"/>
              </w:rPr>
              <w:t xml:space="preserve">1 </w:t>
            </w:r>
            <w:r>
              <w:rPr>
                <w:rFonts w:cs="Times New Roman"/>
                <w:sz w:val="22"/>
                <w:lang w:val="en-US"/>
              </w:rPr>
              <w:t xml:space="preserve">x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USB</w:t>
            </w:r>
            <w:r>
              <w:rPr>
                <w:rFonts w:cs="Times New Roman"/>
                <w:sz w:val="22"/>
              </w:rPr>
              <w:t xml:space="preserve"> 2.0, </w:t>
            </w:r>
            <w:r>
              <w:rPr>
                <w:rFonts w:cs="Times New Roman"/>
                <w:sz w:val="22"/>
              </w:rPr>
              <w:t xml:space="preserve">не менее </w:t>
            </w:r>
            <w:r>
              <w:rPr>
                <w:rFonts w:cs="Times New Roman"/>
                <w:sz w:val="22"/>
              </w:rPr>
              <w:t xml:space="preserve">1 </w:t>
            </w:r>
            <w:r>
              <w:rPr>
                <w:rFonts w:cs="Times New Roman"/>
                <w:sz w:val="22"/>
                <w:lang w:val="en-US"/>
              </w:rPr>
              <w:t xml:space="preserve">x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USB</w:t>
            </w:r>
            <w:r>
              <w:rPr>
                <w:rFonts w:cs="Times New Roman"/>
                <w:sz w:val="22"/>
              </w:rPr>
              <w:t xml:space="preserve"> 3.2 </w:t>
            </w:r>
            <w:r>
              <w:rPr>
                <w:rFonts w:cs="Times New Roman"/>
                <w:sz w:val="22"/>
                <w:lang w:val="en-US"/>
              </w:rPr>
              <w:t xml:space="preserve">Gen</w:t>
            </w:r>
            <w:r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Аудиоразъемы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3.5 мм </w:t>
            </w:r>
            <w:r>
              <w:rPr>
                <w:rFonts w:cs="Times New Roman"/>
                <w:sz w:val="22"/>
              </w:rPr>
              <w:t xml:space="preserve">jack</w:t>
            </w:r>
            <w:r>
              <w:rPr>
                <w:rFonts w:cs="Times New Roman"/>
                <w:sz w:val="22"/>
              </w:rPr>
              <w:t xml:space="preserve"> (аудио), 3.5 мм </w:t>
            </w:r>
            <w:r>
              <w:rPr>
                <w:rFonts w:cs="Times New Roman"/>
                <w:sz w:val="22"/>
              </w:rPr>
              <w:t xml:space="preserve">jack</w:t>
            </w:r>
            <w:r>
              <w:rPr>
                <w:rFonts w:cs="Times New Roman"/>
                <w:sz w:val="22"/>
              </w:rPr>
              <w:t xml:space="preserve"> (микрофон)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Разъемы на задней панели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Порты USB </w:t>
            </w:r>
            <w:r>
              <w:rPr>
                <w:rFonts w:cs="Times New Roman"/>
                <w:sz w:val="22"/>
              </w:rPr>
              <w:t xml:space="preserve">Type</w:t>
            </w:r>
            <w:r>
              <w:rPr>
                <w:rFonts w:cs="Times New Roman"/>
                <w:sz w:val="22"/>
              </w:rPr>
              <w:t xml:space="preserve">-A на задней панели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4 </w:t>
            </w:r>
            <w:r>
              <w:rPr>
                <w:rFonts w:cs="Times New Roman"/>
                <w:sz w:val="22"/>
                <w:lang w:val="en-US"/>
              </w:rPr>
              <w:t xml:space="preserve">x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USB</w:t>
            </w:r>
            <w:r>
              <w:rPr>
                <w:rFonts w:cs="Times New Roman"/>
                <w:sz w:val="22"/>
              </w:rPr>
              <w:t xml:space="preserve"> 2.0, </w:t>
            </w:r>
            <w:r>
              <w:rPr>
                <w:rFonts w:cs="Times New Roman"/>
                <w:sz w:val="22"/>
              </w:rPr>
              <w:t xml:space="preserve">не менее </w:t>
            </w:r>
            <w:r>
              <w:rPr>
                <w:rFonts w:cs="Times New Roman"/>
                <w:sz w:val="22"/>
              </w:rPr>
              <w:t xml:space="preserve">4 </w:t>
            </w:r>
            <w:r>
              <w:rPr>
                <w:rFonts w:cs="Times New Roman"/>
                <w:sz w:val="22"/>
                <w:lang w:val="en-US"/>
              </w:rPr>
              <w:t xml:space="preserve">x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USB</w:t>
            </w:r>
            <w:r>
              <w:rPr>
                <w:rFonts w:cs="Times New Roman"/>
                <w:sz w:val="22"/>
              </w:rPr>
              <w:t xml:space="preserve"> 3.2 </w:t>
            </w:r>
            <w:r>
              <w:rPr>
                <w:rFonts w:cs="Times New Roman"/>
                <w:sz w:val="22"/>
                <w:lang w:val="en-US"/>
              </w:rPr>
              <w:t xml:space="preserve">Gen</w:t>
            </w:r>
            <w:r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Видеоразъемы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 x DVI-D, 1 x HDMI, </w:t>
            </w:r>
            <w:r>
              <w:rPr>
                <w:rFonts w:cs="Times New Roman"/>
                <w:sz w:val="22"/>
              </w:rPr>
              <w:t xml:space="preserve">не менее </w:t>
            </w:r>
            <w:r>
              <w:rPr>
                <w:rFonts w:cs="Times New Roman"/>
                <w:sz w:val="22"/>
              </w:rPr>
              <w:t xml:space="preserve">1 x VGA (D-</w:t>
            </w:r>
            <w:r>
              <w:rPr>
                <w:rFonts w:cs="Times New Roman"/>
                <w:sz w:val="22"/>
              </w:rPr>
              <w:t xml:space="preserve">Sub</w:t>
            </w:r>
            <w:r>
              <w:rPr>
                <w:rFonts w:cs="Times New Roman"/>
                <w:sz w:val="22"/>
              </w:rPr>
              <w:t xml:space="preserve">)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аналоговых </w:t>
            </w:r>
            <w:r>
              <w:rPr>
                <w:rFonts w:cs="Times New Roman"/>
                <w:sz w:val="22"/>
              </w:rPr>
              <w:t xml:space="preserve">аудиоразъемов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Другие разъемы для периферии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PS/2 (комбинированный)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Интернет/передача данных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Скорость сетевого адаптера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 Гбит/с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Дополнительная информация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Мощность блока питания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500 Вт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Особенности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блок питания 80 PLUS </w:t>
            </w:r>
            <w:r>
              <w:rPr>
                <w:rFonts w:cs="Times New Roman"/>
                <w:sz w:val="22"/>
              </w:rPr>
              <w:t xml:space="preserve">Standard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Габариты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Длина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300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Ширина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170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Высота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355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Конфигурация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Процессор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AMD </w:t>
            </w:r>
            <w:r>
              <w:rPr>
                <w:rFonts w:cs="Times New Roman"/>
                <w:sz w:val="22"/>
              </w:rPr>
              <w:t xml:space="preserve">Ryzen</w:t>
            </w:r>
            <w:r>
              <w:rPr>
                <w:rFonts w:cs="Times New Roman"/>
                <w:sz w:val="22"/>
              </w:rPr>
              <w:t xml:space="preserve"> 5 5600G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Материнская плата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MSI PRO B550M-P GEN3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Оперативная память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8GB TEAMGROUP 3200MHz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планок памяти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 </w:t>
            </w: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Накопители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SSD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512</w:t>
            </w:r>
            <w:r>
              <w:rPr>
                <w:rFonts w:cs="Times New Roman"/>
                <w:sz w:val="22"/>
                <w:lang w:val="en-US"/>
              </w:rPr>
              <w:t xml:space="preserve">Gb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M</w:t>
            </w:r>
            <w:r>
              <w:rPr>
                <w:rFonts w:cs="Times New Roman"/>
                <w:sz w:val="22"/>
              </w:rPr>
              <w:t xml:space="preserve">.2 </w:t>
            </w:r>
            <w:r>
              <w:rPr>
                <w:rFonts w:cs="Times New Roman"/>
                <w:sz w:val="22"/>
                <w:lang w:val="en-US"/>
              </w:rPr>
              <w:t xml:space="preserve">NVMe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ADATA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LEGEND</w:t>
            </w:r>
            <w:r>
              <w:rPr>
                <w:rFonts w:cs="Times New Roman"/>
                <w:sz w:val="22"/>
              </w:rPr>
              <w:t xml:space="preserve"> 710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Охлаждение процессора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DEEPCOOL AG200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 xml:space="preserve">Блок</w:t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питания</w:t>
            </w:r>
            <w:r>
              <w:rPr>
                <w:rFonts w:cs="Times New Roman"/>
                <w:sz w:val="22"/>
                <w:lang w:val="en-US"/>
              </w:rPr>
              <w:t xml:space="preserve">: </w:t>
            </w:r>
            <w:r>
              <w:rPr>
                <w:rFonts w:cs="Times New Roman"/>
                <w:sz w:val="22"/>
                <w:lang w:val="en-US"/>
              </w:rPr>
              <w:t xml:space="preserve">DEEPCOOL PF500 500W (80+ Standard)</w:t>
            </w:r>
            <w:r>
              <w:rPr>
                <w:rFonts w:cs="Times New Roman"/>
                <w:sz w:val="22"/>
                <w:lang w:val="en-US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18</w:t>
            </w: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1"/>
              </w:numPr>
              <w:ind w:hanging="68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26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Монитор 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26.20.17.110</w:t>
            </w:r>
            <w:r>
              <w:rPr>
                <w:rFonts w:cs="Times New Roman"/>
                <w:sz w:val="22"/>
              </w:rPr>
              <w:t xml:space="preserve"> (О)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Экран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Диагональ экрана (дюйм)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27"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Максимальное разрешение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1920x1080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подсветки матрицы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LED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Технология изготовления матрицы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VA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Соотношение сторон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16:9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Покрытие экрана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матовое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 xml:space="preserve">Технология</w:t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защиты</w:t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зрения</w:t>
            </w:r>
            <w:r>
              <w:rPr>
                <w:rFonts w:cs="Times New Roman"/>
                <w:sz w:val="22"/>
                <w:lang w:val="en-US"/>
              </w:rPr>
              <w:t xml:space="preserve">: </w:t>
            </w:r>
            <w:r>
              <w:rPr>
                <w:rFonts w:cs="Times New Roman"/>
                <w:sz w:val="22"/>
                <w:lang w:val="en-US"/>
              </w:rPr>
              <w:t xml:space="preserve">Flicker Free, Low Blue Light</w:t>
            </w:r>
            <w:r>
              <w:rPr>
                <w:rFonts w:cs="Times New Roman"/>
                <w:sz w:val="22"/>
                <w:lang w:val="en-US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Технические характеристики экрана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Размер видимой области экрана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597.9 x 336.3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Яркость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300 Кд/м²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Контрастность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4000:1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Динамическая контрастность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100M:1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Максимальное количество цветов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16.7 млн.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Глубина цвета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8bit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Время отклика пикселя (</w:t>
            </w:r>
            <w:r>
              <w:rPr>
                <w:rFonts w:cs="Times New Roman"/>
                <w:sz w:val="22"/>
              </w:rPr>
              <w:t xml:space="preserve">GtG</w:t>
            </w:r>
            <w:r>
              <w:rPr>
                <w:rFonts w:cs="Times New Roman"/>
                <w:sz w:val="22"/>
              </w:rPr>
              <w:t xml:space="preserve">)</w:t>
            </w:r>
            <w:r>
              <w:rPr>
                <w:rFonts w:cs="Times New Roman"/>
                <w:sz w:val="22"/>
              </w:rPr>
              <w:t xml:space="preserve">: не более </w:t>
            </w:r>
            <w:r>
              <w:rPr>
                <w:rFonts w:cs="Times New Roman"/>
                <w:sz w:val="22"/>
              </w:rPr>
              <w:t xml:space="preserve">5 </w:t>
            </w:r>
            <w:r>
              <w:rPr>
                <w:rFonts w:cs="Times New Roman"/>
                <w:sz w:val="22"/>
              </w:rPr>
              <w:t xml:space="preserve">мс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Угол обзора по вертикали (градус)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178°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Угол обзора по горизонтали (градус)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178°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Технология динамического обновления экрана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AMD </w:t>
            </w:r>
            <w:r>
              <w:rPr>
                <w:rFonts w:cs="Times New Roman"/>
                <w:sz w:val="22"/>
              </w:rPr>
              <w:t xml:space="preserve">FreeSync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Размер пикселя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311 мкм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Плотность пикселей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82 </w:t>
            </w:r>
            <w:r>
              <w:rPr>
                <w:rFonts w:cs="Times New Roman"/>
                <w:sz w:val="22"/>
              </w:rPr>
              <w:t xml:space="preserve">ppi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Частота при максимальном разрешении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75 Гц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Максимальная частота обновления экрана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75 Гц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Интерфейсы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Видеоразъемы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HDMI, VGA (D-</w:t>
            </w:r>
            <w:r>
              <w:rPr>
                <w:rFonts w:cs="Times New Roman"/>
                <w:sz w:val="22"/>
              </w:rPr>
              <w:t xml:space="preserve">Sub</w:t>
            </w:r>
            <w:r>
              <w:rPr>
                <w:rFonts w:cs="Times New Roman"/>
                <w:sz w:val="22"/>
              </w:rPr>
              <w:t xml:space="preserve">)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и версия </w:t>
            </w:r>
            <w:r>
              <w:rPr>
                <w:rFonts w:cs="Times New Roman"/>
                <w:sz w:val="22"/>
              </w:rPr>
              <w:t xml:space="preserve">видеоразъемов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HDMI 2.1, VGA (D-</w:t>
            </w:r>
            <w:r>
              <w:rPr>
                <w:rFonts w:cs="Times New Roman"/>
                <w:sz w:val="22"/>
              </w:rPr>
              <w:t xml:space="preserve">Sub</w:t>
            </w:r>
            <w:r>
              <w:rPr>
                <w:rFonts w:cs="Times New Roman"/>
                <w:sz w:val="22"/>
              </w:rPr>
              <w:t xml:space="preserve">)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Другие разъемы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аудиовход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Выход на наушники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Разъем HDMI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Разъем </w:t>
            </w:r>
            <w:r>
              <w:rPr>
                <w:rFonts w:cs="Times New Roman"/>
                <w:sz w:val="22"/>
              </w:rPr>
              <w:t xml:space="preserve">DisplayPort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Разъем VGA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Направление разъемов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вертикальное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Функции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Цветовой охват </w:t>
            </w:r>
            <w:r>
              <w:rPr>
                <w:rFonts w:cs="Times New Roman"/>
                <w:sz w:val="22"/>
              </w:rPr>
              <w:t xml:space="preserve">sRGB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101%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Цветовой охват </w:t>
            </w:r>
            <w:r>
              <w:rPr>
                <w:rFonts w:cs="Times New Roman"/>
                <w:sz w:val="22"/>
              </w:rPr>
              <w:t xml:space="preserve">Adobe</w:t>
            </w:r>
            <w:r>
              <w:rPr>
                <w:rFonts w:cs="Times New Roman"/>
                <w:sz w:val="22"/>
              </w:rPr>
              <w:t xml:space="preserve"> RGB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80%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Конструкция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Безрамочный</w:t>
            </w:r>
            <w:r>
              <w:rPr>
                <w:rFonts w:cs="Times New Roman"/>
                <w:sz w:val="22"/>
              </w:rPr>
              <w:t xml:space="preserve"> дизайн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трехсторонний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Размер VESA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100 x 100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Регулировка наклона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Покрытие корпуса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матовое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Дополнительное оборудование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Встроенная акустическая система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Мощность динамиков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 x 2 Вт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Питание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Расположение блока питания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внешний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Потребляемая мощность при работе</w:t>
            </w:r>
            <w:r>
              <w:rPr>
                <w:rFonts w:cs="Times New Roman"/>
                <w:sz w:val="22"/>
              </w:rPr>
              <w:t xml:space="preserve">: не более </w:t>
            </w:r>
            <w:r>
              <w:rPr>
                <w:rFonts w:cs="Times New Roman"/>
                <w:sz w:val="22"/>
              </w:rPr>
              <w:t xml:space="preserve">36 Вт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Потребляемая мощность в спящем режиме</w:t>
            </w:r>
            <w:r>
              <w:rPr>
                <w:rFonts w:cs="Times New Roman"/>
                <w:sz w:val="22"/>
              </w:rPr>
              <w:t xml:space="preserve">: не более </w:t>
            </w:r>
            <w:r>
              <w:rPr>
                <w:rFonts w:cs="Times New Roman"/>
                <w:sz w:val="22"/>
              </w:rPr>
              <w:t xml:space="preserve">0.5 Вт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Напряжение питания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100-240 В / 50-60 Гц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Комплектация</w:t>
            </w:r>
            <w:r>
              <w:rPr>
                <w:rFonts w:cs="Times New Roman"/>
                <w:b/>
                <w:bCs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блок питания, документация, кабель HDMI - HDMI, кабельный органайзер, кабель питания, салфетка для уходом за экраном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Габариты 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Ширина без подставки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61</w:t>
            </w:r>
            <w:r>
              <w:rPr>
                <w:rFonts w:cs="Times New Roman"/>
                <w:sz w:val="22"/>
              </w:rPr>
              <w:t xml:space="preserve">0</w:t>
            </w:r>
            <w:r>
              <w:rPr>
                <w:rFonts w:cs="Times New Roman"/>
                <w:sz w:val="22"/>
              </w:rPr>
              <w:t xml:space="preserve">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Высота без подставки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36</w:t>
            </w:r>
            <w:r>
              <w:rPr>
                <w:rFonts w:cs="Times New Roman"/>
                <w:sz w:val="22"/>
              </w:rPr>
              <w:t xml:space="preserve">0</w:t>
            </w:r>
            <w:r>
              <w:rPr>
                <w:rFonts w:cs="Times New Roman"/>
                <w:sz w:val="22"/>
              </w:rPr>
              <w:t xml:space="preserve">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Толщина без подставки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  <w:t xml:space="preserve">0 </w:t>
            </w:r>
            <w:r>
              <w:rPr>
                <w:rFonts w:cs="Times New Roman"/>
                <w:sz w:val="22"/>
              </w:rPr>
              <w:t xml:space="preserve">мм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18</w:t>
            </w: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1"/>
              </w:numPr>
              <w:ind w:hanging="68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26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Клавиатура и мышь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26.20.16.110</w:t>
            </w:r>
            <w:r>
              <w:rPr>
                <w:rFonts w:cs="Times New Roman"/>
                <w:sz w:val="22"/>
              </w:rPr>
              <w:t xml:space="preserve"> (О)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Основной цвет набора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черный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Характеристики клавиатуры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клавиатуры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мембранная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Язык раскладки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английский, русский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Общее количество клавиш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104 </w:t>
            </w: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Цифровой блок </w:t>
            </w:r>
            <w:r>
              <w:rPr>
                <w:rFonts w:cs="Times New Roman"/>
                <w:sz w:val="22"/>
              </w:rPr>
              <w:t xml:space="preserve">- наличие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Раскладка клавиатуры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JIS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Конструктивные особенности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классическая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Формат клавиатуры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полноразмерная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Характеристики мыши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мыши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оптическая светодиодная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кнопок мыши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3 </w:t>
            </w: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Хват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для правой и левой руки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Максимальное разрешение датчика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1000 </w:t>
            </w:r>
            <w:r>
              <w:rPr>
                <w:rFonts w:cs="Times New Roman"/>
                <w:sz w:val="22"/>
              </w:rPr>
              <w:t xml:space="preserve">dpi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Режимы работы датчика мыши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1000 </w:t>
            </w:r>
            <w:r>
              <w:rPr>
                <w:rFonts w:cs="Times New Roman"/>
                <w:sz w:val="22"/>
              </w:rPr>
              <w:t xml:space="preserve">dpi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Подключение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Интерфейс подключения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USB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Длина кабеля клавиатуры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1.35 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Длина кабеля мыши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1.35 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Питание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Тип питания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</w:t>
            </w:r>
            <w:r>
              <w:rPr>
                <w:rFonts w:cs="Times New Roman"/>
                <w:sz w:val="22"/>
              </w:rPr>
              <w:t xml:space="preserve">клавиатура: от USB, 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</w:t>
            </w:r>
            <w:r>
              <w:rPr>
                <w:rFonts w:cs="Times New Roman"/>
                <w:sz w:val="22"/>
              </w:rPr>
              <w:t xml:space="preserve">мышь: от USB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Напряжение питания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 xml:space="preserve">5 В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Габариты </w:t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Ширина клавиатуры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440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Глубина клавиатуры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140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Высота клавиатуры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23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Длина мыши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117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Ширина мыши</w:t>
            </w:r>
            <w:r>
              <w:rPr>
                <w:rFonts w:cs="Times New Roman"/>
                <w:sz w:val="22"/>
              </w:rPr>
              <w:t xml:space="preserve">: не менее </w:t>
            </w:r>
            <w:r>
              <w:rPr>
                <w:rFonts w:cs="Times New Roman"/>
                <w:sz w:val="22"/>
              </w:rPr>
              <w:t xml:space="preserve">58 мм</w:t>
            </w:r>
            <w:r>
              <w:rPr>
                <w:rFonts w:cs="Times New Roman"/>
                <w:sz w:val="22"/>
              </w:rPr>
            </w:r>
          </w:p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18</w:t>
            </w:r>
            <w:r>
              <w:rPr>
                <w:rFonts w:cs="Times New Roman"/>
                <w:sz w:val="22"/>
              </w:rPr>
            </w:r>
          </w:p>
        </w:tc>
      </w:tr>
    </w:tbl>
    <w:p>
      <w:pPr>
        <w:jc w:val="both"/>
        <w:spacing w:after="0" w:line="240" w:lineRule="auto"/>
        <w:rPr>
          <w:rFonts w:cs="Times New Roman"/>
          <w:bCs/>
          <w:i/>
          <w:iCs/>
          <w:sz w:val="22"/>
          <w:lang w:val="ba-RU"/>
        </w:rPr>
      </w:pPr>
      <w:r/>
      <w:bookmarkStart w:id="0" w:name="_Hlk172208765"/>
      <w:r>
        <w:rPr>
          <w:rFonts w:cs="Times New Roman"/>
          <w:bCs/>
          <w:i/>
          <w:iCs/>
          <w:sz w:val="22"/>
          <w:lang w:val="ba-RU"/>
        </w:rPr>
        <w:t xml:space="preserve">Закупка попадает под ограничение допуска согласно Постановлению Правительства Российск</w:t>
      </w:r>
      <w:r>
        <w:rPr>
          <w:rFonts w:cs="Times New Roman"/>
          <w:bCs/>
          <w:i/>
          <w:iCs/>
          <w:sz w:val="22"/>
          <w:lang w:val="ba-RU"/>
        </w:rPr>
        <w:t xml:space="preserve">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r>
        <w:rPr>
          <w:rFonts w:cs="Times New Roman"/>
          <w:bCs/>
          <w:i/>
          <w:iCs/>
          <w:sz w:val="22"/>
          <w:lang w:val="ba-RU"/>
        </w:rPr>
      </w:r>
    </w:p>
    <w:p>
      <w:pPr>
        <w:jc w:val="both"/>
        <w:spacing w:after="0" w:line="240" w:lineRule="auto"/>
        <w:rPr>
          <w:rFonts w:cs="Times New Roman"/>
          <w:bCs/>
          <w:i/>
          <w:iCs/>
          <w:sz w:val="22"/>
          <w:lang w:val="ba-RU"/>
        </w:rPr>
      </w:pPr>
      <w:r>
        <w:rPr>
          <w:rFonts w:cs="Times New Roman"/>
          <w:bCs/>
          <w:i/>
          <w:iCs/>
          <w:sz w:val="22"/>
          <w:lang w:val="ba-RU"/>
        </w:rPr>
      </w:r>
      <w:r>
        <w:rPr>
          <w:rFonts w:cs="Times New Roman"/>
          <w:bCs/>
          <w:i/>
          <w:iCs/>
          <w:sz w:val="22"/>
          <w:lang w:val="ba-RU"/>
        </w:rPr>
      </w:r>
    </w:p>
    <w:p>
      <w:pPr>
        <w:jc w:val="both"/>
        <w:spacing w:after="0" w:line="240" w:lineRule="auto"/>
        <w:rPr>
          <w:rFonts w:cs="Times New Roman"/>
          <w:bCs/>
          <w:i/>
          <w:iCs/>
          <w:sz w:val="22"/>
          <w:lang w:val="ba-RU"/>
        </w:rPr>
      </w:pPr>
      <w:r>
        <w:rPr>
          <w:rFonts w:cs="Times New Roman"/>
          <w:bCs/>
          <w:i/>
          <w:iCs/>
          <w:sz w:val="22"/>
          <w:lang w:val="ba-RU"/>
        </w:rPr>
        <w:t xml:space="preserve">В случае, если в документации (в каком-либо документе, входящем в состав документации, прикрепленном от</w:t>
      </w:r>
      <w:r>
        <w:rPr>
          <w:rFonts w:cs="Times New Roman"/>
          <w:bCs/>
          <w:i/>
          <w:iCs/>
          <w:sz w:val="22"/>
          <w:lang w:val="ba-RU"/>
        </w:rPr>
        <w:t xml:space="preserve">дельным файлом к документации) имеются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</w:t>
      </w:r>
      <w:r>
        <w:rPr>
          <w:rFonts w:cs="Times New Roman"/>
          <w:bCs/>
          <w:i/>
          <w:iCs/>
          <w:sz w:val="22"/>
          <w:lang w:val="ba-RU"/>
        </w:rPr>
        <w:t xml:space="preserve">такие указания следует читать «знаки обслуживания или эквивалент», «фирменные наименования или эквивалент», «торговые наимено</w:t>
      </w:r>
      <w:r>
        <w:rPr>
          <w:rFonts w:cs="Times New Roman"/>
          <w:bCs/>
          <w:i/>
          <w:iCs/>
          <w:sz w:val="22"/>
          <w:lang w:val="ba-RU"/>
        </w:rPr>
        <w:t xml:space="preserve">вания или эквивалент», «патенты или эквивалент», «полезные модели или эквивалент», «промышленные образцы или эквивалент», «товарный знак или эквивалент», «наименование места происхождения товара или эквивалент», «наименование производителя или эквивалент».</w:t>
      </w:r>
      <w:bookmarkEnd w:id="0"/>
      <w:r>
        <w:rPr>
          <w:rFonts w:cs="Times New Roman"/>
          <w:bCs/>
          <w:i/>
          <w:iCs/>
          <w:sz w:val="22"/>
          <w:lang w:val="ba-RU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2. Место поставки: </w:t>
      </w:r>
      <w:r>
        <w:rPr>
          <w:rFonts w:cs="Times New Roman"/>
          <w:sz w:val="22"/>
        </w:rPr>
        <w:t xml:space="preserve">188760, Ленинградская область, Приозерский район, г. Приозерск,  ул. Чапаева, д. 19.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3. Срок поставки: </w:t>
      </w:r>
      <w:r>
        <w:rPr>
          <w:rFonts w:cs="Times New Roman"/>
          <w:b/>
          <w:sz w:val="22"/>
          <w:highlight w:val="red"/>
        </w:rPr>
        <w:t xml:space="preserve">в течение 14 дней </w:t>
      </w:r>
      <w:r>
        <w:rPr>
          <w:rFonts w:cs="Times New Roman"/>
          <w:bCs/>
          <w:sz w:val="22"/>
          <w:highlight w:val="red"/>
        </w:rPr>
        <w:t xml:space="preserve">с </w:t>
      </w:r>
      <w:r>
        <w:rPr>
          <w:rFonts w:cs="Times New Roman"/>
          <w:bCs/>
          <w:sz w:val="22"/>
          <w:highlight w:val="red"/>
        </w:rPr>
        <w:t xml:space="preserve">момента</w:t>
      </w:r>
      <w:r>
        <w:rPr>
          <w:rFonts w:cs="Times New Roman"/>
          <w:bCs/>
          <w:sz w:val="22"/>
          <w:highlight w:val="red"/>
        </w:rPr>
        <w:t xml:space="preserve"> заключения договора</w:t>
      </w:r>
      <w:r>
        <w:rPr>
          <w:rFonts w:cs="Times New Roman"/>
          <w:bCs/>
          <w:sz w:val="22"/>
        </w:rPr>
        <w:t xml:space="preserve">.</w:t>
      </w:r>
      <w:r>
        <w:rPr>
          <w:rFonts w:cs="Times New Roman"/>
          <w:bCs/>
          <w:sz w:val="22"/>
        </w:rPr>
      </w:r>
    </w:p>
    <w:p>
      <w:pPr>
        <w:jc w:val="both"/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4. Требования к качеству, безопасности поставляемого товара:</w:t>
      </w:r>
      <w:r>
        <w:rPr>
          <w:rFonts w:cs="Times New Roman"/>
          <w:b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</w:t>
      </w:r>
      <w:r>
        <w:rPr>
          <w:rFonts w:cs="Times New Roman"/>
          <w:sz w:val="22"/>
        </w:rPr>
        <w:t xml:space="preserve">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5. Требования к упаковке и маркировке поставляемого товара:</w:t>
      </w:r>
      <w:r>
        <w:rPr>
          <w:rFonts w:cs="Times New Roman"/>
          <w:b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5.1. Товар поставляе</w:t>
      </w:r>
      <w:r>
        <w:rPr>
          <w:rFonts w:cs="Times New Roman"/>
          <w:sz w:val="22"/>
        </w:rPr>
        <w:t xml:space="preserve">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5.2. </w:t>
      </w:r>
      <w:r>
        <w:rPr>
          <w:rFonts w:cs="Times New Roman"/>
          <w:sz w:val="22"/>
        </w:rPr>
        <w:t xml:space="preserve"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5.3. Поставщик несет ответственность за ненадлежащую упаковку, не обеспечивающую сохранность товара при его хранении и транспортировании;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5.4. Упаковка и маркировка товара должна соответствовать требованиям ГОСТ, и</w:t>
      </w:r>
      <w:r>
        <w:rPr>
          <w:rFonts w:cs="Times New Roman"/>
          <w:sz w:val="22"/>
        </w:rPr>
        <w:t xml:space="preserve">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6. Требования к гарантийному сроку товара и (или) объему предоставления гарантий качества товара:</w:t>
      </w:r>
      <w:r>
        <w:rPr>
          <w:rFonts w:cs="Times New Roman"/>
          <w:b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6.1. Гарантия качества товара - в соответствии с гарантийным сроком, установленным производителем. 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6.2. Гарантийные обязательства должны распространяться на каждую единицу товара с момента приемки товара Заказчиком.</w:t>
      </w:r>
      <w:r>
        <w:rPr>
          <w:rFonts w:cs="Times New Roman"/>
          <w:sz w:val="22"/>
        </w:rPr>
      </w:r>
    </w:p>
    <w:p>
      <w:pPr>
        <w:jc w:val="both"/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6.3. Поставщик обязан при обнаружении недостатков у поставляемого товара заменить товар ненадлежащ</w:t>
      </w:r>
      <w:r>
        <w:rPr>
          <w:rFonts w:cs="Times New Roman"/>
          <w:sz w:val="22"/>
        </w:rPr>
        <w:t xml:space="preserve">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  <w:r>
        <w:rPr>
          <w:rFonts w:cs="Times New Roman"/>
          <w:b/>
          <w:sz w:val="22"/>
        </w:rPr>
      </w:r>
    </w:p>
    <w:p>
      <w:pPr>
        <w:jc w:val="both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080000" cy="360000"/>
              <wp:effectExtent l="0" t="0" r="6350" b="2540"/>
              <wp:docPr id="1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5.04pt;height:28.3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3"/>
    <w:uiPriority w:val="99"/>
  </w:style>
  <w:style w:type="character" w:styleId="45">
    <w:name w:val="Footer Char"/>
    <w:basedOn w:val="677"/>
    <w:link w:val="685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table" w:styleId="680">
    <w:name w:val="Table Grid"/>
    <w:basedOn w:val="6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1" w:customStyle="1">
    <w:name w:val="Основной текст с отступом 31"/>
    <w:basedOn w:val="676"/>
    <w:pPr>
      <w:ind w:left="283"/>
      <w:spacing w:after="120" w:line="240" w:lineRule="auto"/>
    </w:pPr>
    <w:rPr>
      <w:rFonts w:eastAsia="Times New Roman" w:cs="Times New Roman"/>
      <w:sz w:val="16"/>
      <w:szCs w:val="16"/>
      <w:lang w:eastAsia="zh-CN"/>
    </w:rPr>
  </w:style>
  <w:style w:type="paragraph" w:styleId="682">
    <w:name w:val="List Paragraph"/>
    <w:basedOn w:val="676"/>
    <w:uiPriority w:val="34"/>
    <w:qFormat/>
    <w:pPr>
      <w:contextualSpacing/>
      <w:ind w:left="720"/>
    </w:pPr>
  </w:style>
  <w:style w:type="paragraph" w:styleId="683">
    <w:name w:val="Header"/>
    <w:basedOn w:val="676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7"/>
    <w:link w:val="683"/>
    <w:uiPriority w:val="99"/>
  </w:style>
  <w:style w:type="paragraph" w:styleId="685">
    <w:name w:val="Footer"/>
    <w:basedOn w:val="676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7"/>
    <w:link w:val="6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</dc:creator>
  <cp:keywords/>
  <dc:description/>
  <cp:lastModifiedBy>Гульназ Фидаимовна</cp:lastModifiedBy>
  <cp:revision>11</cp:revision>
  <dcterms:created xsi:type="dcterms:W3CDTF">2024-08-20T05:56:00Z</dcterms:created>
  <dcterms:modified xsi:type="dcterms:W3CDTF">2025-02-05T09:34:17Z</dcterms:modified>
</cp:coreProperties>
</file>