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Техническое задание</w:t>
      </w:r>
      <w:r>
        <w:rPr>
          <w:rFonts w:ascii="Times New Roman" w:hAnsi="Times New Roman"/>
          <w:b/>
          <w:bCs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поставку канцелярских товаров</w:t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Объект закупки:</w:t>
      </w:r>
      <w:r>
        <w:rPr>
          <w:rFonts w:ascii="Times New Roman" w:hAnsi="Times New Roman"/>
          <w:b/>
          <w:bCs/>
        </w:rPr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685"/>
        <w:gridCol w:w="1347"/>
        <w:gridCol w:w="709"/>
        <w:gridCol w:w="709"/>
        <w:gridCol w:w="708"/>
        <w:gridCol w:w="4492"/>
      </w:tblGrid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товара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ОКПД 2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П/О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Ед. изм.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Характеристика товара</w:t>
            </w: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Файл-вкладыш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Толщина: не менее 30 мкм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прозрачный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в упаковке: не менее 100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Скоросшиватель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механизма: стандартный (усики)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механизма: металл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полипропилен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 верхнего листа: не менее 0,11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 нижнего листа: не менее 0,15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Фактура: гладкая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синий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Верхний лист: прозрачный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корешка: не менее 25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Вместимость: не менее 100 листов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Перфорация: наличие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этикетки на корешке: сменная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в упаковке: не менее 10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Тетрадь общая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17.23.13.195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 листов: А5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листов: не менее 48 шт.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Внутренний блок: офсетная бумага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 листа бумаги: не менее 60 г/</w:t>
            </w:r>
            <w:r>
              <w:rPr>
                <w:rFonts w:ascii="Times New Roman" w:hAnsi="Times New Roman"/>
                <w:color w:val="000000"/>
              </w:rPr>
              <w:t xml:space="preserve">кв.м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бумаги: белый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линовки: клетка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крепления: скрепки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обложки: мягкая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обложки: картон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обложки: с рисунком в ассортименте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Поля: наличие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Тетрадь общая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17.23.13.195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 листов: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листов: не менее 96 шт.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Внутренний блок: офсетная бумага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 листа бумаги: не менее 60 г/</w:t>
            </w:r>
            <w:r>
              <w:rPr>
                <w:rFonts w:ascii="Times New Roman" w:hAnsi="Times New Roman"/>
                <w:color w:val="000000"/>
              </w:rPr>
              <w:t xml:space="preserve">кв.м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бумаги: белый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линовки: клетка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крепления: скрепки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обложки: мягкая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обложки: </w:t>
            </w:r>
            <w:r>
              <w:rPr>
                <w:rFonts w:ascii="Times New Roman" w:hAnsi="Times New Roman"/>
                <w:color w:val="000000"/>
              </w:rPr>
              <w:t xml:space="preserve">бумвинил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обложки: в ассортименте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Скоросшиватель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 обложки: A4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Вместимость: не менее 200 листов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Механизм сшивания: металлический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белый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Надпись на обложке: «Дело №»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корешка: не менее 20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мелованный картон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Плотность: не менее 280 г/м2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Маркер </w:t>
            </w:r>
            <w:r>
              <w:rPr>
                <w:rFonts w:ascii="Times New Roman" w:hAnsi="Times New Roman"/>
                <w:color w:val="000000"/>
              </w:rPr>
              <w:t xml:space="preserve">текстовыделитель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32.99.12.120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чернил: желтый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наконечника: скошенная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Минимальная толщина линии письма: не более 1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Максимальная толщина линии письма: не менее 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Основа чернил: водная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корпуса: пластик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Карандаш </w:t>
            </w:r>
            <w:r>
              <w:rPr>
                <w:rFonts w:ascii="Times New Roman" w:hAnsi="Times New Roman"/>
                <w:color w:val="000000"/>
              </w:rPr>
              <w:t xml:space="preserve">чернографитный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Attache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Economy</w:t>
            </w:r>
            <w:r>
              <w:rPr>
                <w:rFonts w:ascii="Times New Roman" w:hAnsi="Times New Roman"/>
                <w:color w:val="000000"/>
              </w:rPr>
              <w:t xml:space="preserve"> или эквивалент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32.99.15.110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Твердость грифеля: 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Ластик: наличие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Заточенный: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Профиль карандаша: шестигранный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корпуса: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 корпуса карандаша: не менее 185 мм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Ручка шариковая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32.99.12.110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чернил: синий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Толщина линии письма: не менее 0,7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Диаметр шарика: не менее 1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Основа чернил: масляная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 стержня: не менее 130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наконечника: стандартная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корпуса: прозрачный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корпуса: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корпуса: шестигранная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Краска штемпельная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20.59.30.190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синий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Объем/вес: не менее 45 г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Дозатор: наличие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Корректирующая лента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20.59.59.900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ленты: не менее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 6 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корпуса: в ассортименте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ленты: белый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Клейкие закладки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закладки: не менее12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 закладки: не менее 45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закладки: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цветов: не менее 5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закладки: прямоугольная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одного цвета: не менее 20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Ластик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22.19.73.120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Назначение: для стирания карандашей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натуральный каучук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Форма: прямоугольная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белый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Размер: не менее 26х19х8 мм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Ножницы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25.71.11.120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лезвий: остроконечные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колец: одинаковые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 160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Покрытие лезвий: нержавеющая сталь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лезвия: металл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Заточка лезвий: двухсторонняя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ручек: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ручек: красный/черный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Клей-карандаш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20.52.10.190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Объем/вес: не менее 21 г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 клея: ПВА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корпуса: круглая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Морозостойкость: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25.99.23.000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 28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скрепки: овальная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Покрытие материала: цинковое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серебристый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отгиба: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в упаковке: не менее 100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16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Скобы для степлера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25.99.23.000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и размер скоб для степлера: 10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металл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покрытия: цинковое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штук в упаковке: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1000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25.99.23.000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 50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скрепки: овальная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Гофрированные: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серебристый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отгиба: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в упаковке: не менее 100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18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Скобы для степлера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25.99.23.000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и размер скоб для степлера: №24/6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металл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покрытия: цинковое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штук в упаковке: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1000 шт.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19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Бумага для офисной техники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17.12.14.110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Соответствует требованиям ГОСТ Р 57641-2017 «Бумага ксерографическая для офисной техники. Общие технические условия»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Марка: не менее С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Плотность: </w:t>
            </w:r>
            <w:r>
              <w:rPr>
                <w:rFonts w:ascii="Times New Roman" w:hAnsi="Times New Roman"/>
                <w:color w:val="000000"/>
              </w:rPr>
              <w:t xml:space="preserve">не менее от </w:t>
            </w:r>
            <w:r>
              <w:rPr>
                <w:rFonts w:ascii="Times New Roman" w:hAnsi="Times New Roman"/>
                <w:color w:val="000000"/>
              </w:rPr>
              <w:t xml:space="preserve">72,0</w:t>
            </w:r>
            <w:r>
              <w:rPr>
                <w:rFonts w:ascii="Times New Roman" w:hAnsi="Times New Roman"/>
                <w:color w:val="000000"/>
              </w:rPr>
              <w:t xml:space="preserve"> до </w:t>
            </w:r>
            <w:r>
              <w:rPr>
                <w:rFonts w:ascii="Times New Roman" w:hAnsi="Times New Roman"/>
                <w:color w:val="000000"/>
              </w:rPr>
              <w:t xml:space="preserve">80,0 г/м², допускаемое отклонение </w:t>
            </w:r>
            <w:r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 xml:space="preserve">от ± 2,0 до ±3,0 г/м²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Белизна по CIE: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140-150 %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Толщина: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95-104 мкм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Допускаемое отклонение по толщине: </w:t>
            </w:r>
            <w:r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 xml:space="preserve">от ±2 до ±4 мкм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листов в пачке: не менее 500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Набор </w:t>
            </w:r>
            <w:r>
              <w:rPr>
                <w:rFonts w:ascii="Times New Roman" w:hAnsi="Times New Roman"/>
                <w:color w:val="000000"/>
              </w:rPr>
              <w:t xml:space="preserve">гелевых</w:t>
            </w:r>
            <w:r>
              <w:rPr>
                <w:rFonts w:ascii="Times New Roman" w:hAnsi="Times New Roman"/>
                <w:color w:val="000000"/>
              </w:rPr>
              <w:t xml:space="preserve"> ручек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32.99.12.110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набор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Толщина линии письма: не менее 0,7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Диаметр шарика: не менее 0,7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Основа чернил: масляная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 стержня: не менее 139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Возможность смены стержня: наличие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наконечника: игольчатая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 корпуса: прозрачный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корпуса: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штук в упаковке: не менее 12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Клей ПВА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20.52.10.190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Объем/вес: не менее 125 г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Назначение: дерево, кожа, ткань, бумага, фотобумага, картон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аппликатора: дозатор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Морозостойкость: соответствие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Клейкая лента упаковочная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22.29.21.000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Толщина: не менее 50мкм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Ширина: не менее 50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100 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прозрачный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основы: полипропилен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Клеевая основа: акриловая эмульсия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 файловая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Элемент не менее 700 мкм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 папки, не менее 60листов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24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 файловая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Элемент не менее 500 мкм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 папки, не менее 30листов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Папка-планшет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22.29.25.000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1a3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</w:rPr>
              <w:t xml:space="preserve">Формат: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Верхний прижим, откидная крышк</w:t>
            </w:r>
            <w:r>
              <w:rPr>
                <w:rFonts w:ascii="Times New Roman" w:hAnsi="Times New Roman"/>
                <w:color w:val="000000"/>
              </w:rPr>
              <w:t xml:space="preserve">а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Фиксирует не менее 90 листов, в зависимости от плотности бумаги.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полипропилена плотностью </w:t>
            </w:r>
            <w:r>
              <w:rPr>
                <w:rFonts w:ascii="Times New Roman" w:hAnsi="Times New Roman"/>
                <w:color w:val="000000"/>
              </w:rPr>
              <w:t xml:space="preserve">не менее </w:t>
            </w:r>
            <w:r>
              <w:rPr>
                <w:rFonts w:ascii="Times New Roman" w:hAnsi="Times New Roman"/>
                <w:color w:val="000000"/>
              </w:rPr>
              <w:t xml:space="preserve">1200 мкм.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26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Линейка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26.51.33.141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упак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Длина: не менее 30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Материал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:</w:t>
            </w:r>
            <w:r>
              <w:rPr>
                <w:rFonts w:ascii="Times New Roman" w:hAnsi="Times New Roman"/>
                <w:color w:val="000000"/>
              </w:rPr>
              <w:t xml:space="preserve"> пластик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27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Калькулятор настольный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28.23.12.110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Разрядность дисплея: не менее 12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размера: полноразмерный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Функционал: независимая память (M+, M-, MRC</w:t>
            </w:r>
            <w:r>
              <w:rPr>
                <w:rFonts w:ascii="Times New Roman" w:hAnsi="Times New Roman"/>
                <w:color w:val="000000"/>
              </w:rPr>
              <w:t xml:space="preserve">) ,</w:t>
            </w:r>
            <w:r>
              <w:rPr>
                <w:rFonts w:ascii="Times New Roman" w:hAnsi="Times New Roman"/>
                <w:color w:val="000000"/>
              </w:rPr>
              <w:t xml:space="preserve"> вычисление наценки , расчет процентов , вычисление квадратного корня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Число строк дисплея: не менее 1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Наклонный дисплей: фиксированный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Размер: не менее 203x158x40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Питание: двойное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Элементы питания в комплекте: наличие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Папка-регистратор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17.23.13.193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корешка: не менее 50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Формат: А4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покрытия: бумага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черный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Механизм крепления: арочный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Вместимость: не менее 480 листов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Ориентация: вертикально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29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Папка архивная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17.23.13.193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Вместимость: не менее 1500 листов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Ширина корешка: не менее100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Застежка: завязки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конструкции: складная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синий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бумвинил, картон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Внешний размер (</w:t>
            </w:r>
            <w:r>
              <w:rPr>
                <w:rFonts w:ascii="Times New Roman" w:hAnsi="Times New Roman"/>
                <w:color w:val="000000"/>
              </w:rPr>
              <w:t xml:space="preserve">ДхШхВ</w:t>
            </w:r>
            <w:r>
              <w:rPr>
                <w:rFonts w:ascii="Times New Roman" w:hAnsi="Times New Roman"/>
                <w:color w:val="000000"/>
              </w:rPr>
              <w:t xml:space="preserve">): не менее 242x150x330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Внутренний размер (</w:t>
            </w:r>
            <w:r>
              <w:rPr>
                <w:rFonts w:ascii="Times New Roman" w:hAnsi="Times New Roman"/>
                <w:color w:val="000000"/>
              </w:rPr>
              <w:t xml:space="preserve">ДхШхВ</w:t>
            </w:r>
            <w:r>
              <w:rPr>
                <w:rFonts w:ascii="Times New Roman" w:hAnsi="Times New Roman"/>
                <w:color w:val="000000"/>
              </w:rPr>
              <w:t xml:space="preserve">): не менее 230x144x311 мм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Антистеплер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25.99.22.130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Цвет: черный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Размер скоб: 10, 24/6, 26/6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Материал: металл/пластик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58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93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Степлер или эквивалент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25.99.22.130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шт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15" w:type="dxa"/>
            <w:textDirection w:val="lrTb"/>
            <w:noWrap w:val="false"/>
          </w:tcPr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Тип: настольный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пробиваемых листов: не менее 20 шт.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и размер скоб для степлера: 24/6, 26/6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Глубина закладки бумаги: не менее 35 мм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корпуса: пластик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Материал механизма: металл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Загрузка скоб: горизонтальная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Виды сшивания степлером: закрытый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64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Размер: не менее 83x29x61 мм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firstLine="426"/>
        <w:jc w:val="both"/>
        <w:spacing w:after="0" w:line="240" w:lineRule="auto"/>
        <w:rPr>
          <w:rFonts w:ascii="Times New Roman" w:hAnsi="Times New Roman" w:eastAsia="Liberation Serif"/>
          <w:b/>
          <w:bCs/>
          <w:i/>
          <w:iCs/>
        </w:rPr>
      </w:pPr>
      <w:r>
        <w:rPr>
          <w:rFonts w:ascii="Times New Roman" w:hAnsi="Times New Roman" w:eastAsia="Liberation Serif"/>
          <w:b/>
          <w:bCs/>
          <w:i/>
          <w:iCs/>
        </w:rPr>
        <w:t xml:space="preserve">Закупка попадает под ограничение допуска согласно Постановлению Правительства Российск</w:t>
      </w:r>
      <w:r>
        <w:rPr>
          <w:rFonts w:ascii="Times New Roman" w:hAnsi="Times New Roman" w:eastAsia="Liberation Serif"/>
          <w:b/>
          <w:bCs/>
          <w:i/>
          <w:iCs/>
        </w:rPr>
        <w:t xml:space="preserve">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r>
        <w:rPr>
          <w:rFonts w:ascii="Times New Roman" w:hAnsi="Times New Roman" w:eastAsia="Liberation Serif"/>
          <w:b/>
          <w:bCs/>
          <w:i/>
          <w:iCs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Место поставки:</w:t>
      </w:r>
      <w:r>
        <w:rPr>
          <w:rFonts w:ascii="Times New Roman" w:hAnsi="Times New Roman"/>
        </w:rPr>
        <w:t xml:space="preserve"> 453</w:t>
      </w:r>
      <w:r>
        <w:rPr>
          <w:rFonts w:ascii="Times New Roman" w:hAnsi="Times New Roman"/>
        </w:rPr>
        <w:t xml:space="preserve">509</w:t>
      </w:r>
      <w:r>
        <w:rPr>
          <w:rFonts w:ascii="Times New Roman" w:hAnsi="Times New Roman"/>
        </w:rPr>
        <w:t xml:space="preserve">, Республика Башкортостан, Белорецкий район, г. Белорецк, ул. К. Маркса, 59/А.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стоимость Товаров включены следующие расходы Поставщика: в том числе стоимость эксплуат</w:t>
      </w:r>
      <w:r>
        <w:rPr>
          <w:rFonts w:ascii="Times New Roman" w:hAnsi="Times New Roman"/>
        </w:rPr>
        <w:t xml:space="preserve">ационно-технической документации, стоимость тары и упаковки, страхование, таможенные пошлины, налоги, обязательные платежи, транспортные расходы и расходы на погрузочно-разгрузочные работы и иные сборы по доставке Товаров автотранспортом до места поставки.</w:t>
      </w:r>
      <w:r>
        <w:rPr>
          <w:rFonts w:ascii="Times New Roman" w:hAnsi="Times New Roman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bCs/>
          <w:highlight w:val="yellow"/>
        </w:rPr>
        <w:t xml:space="preserve">3. Срок поставки:</w:t>
      </w:r>
      <w:r>
        <w:rPr>
          <w:rFonts w:ascii="Times New Roman" w:hAnsi="Times New Roman"/>
          <w:highlight w:val="yellow"/>
        </w:rPr>
        <w:t xml:space="preserve"> </w:t>
      </w:r>
      <w:r>
        <w:rPr>
          <w:rFonts w:ascii="Times New Roman" w:hAnsi="Times New Roman"/>
          <w:highlight w:val="yellow"/>
        </w:rPr>
        <w:t xml:space="preserve">с момента заключения договора до 31 декабря 202</w:t>
      </w:r>
      <w:r>
        <w:rPr>
          <w:rFonts w:ascii="Times New Roman" w:hAnsi="Times New Roman"/>
          <w:highlight w:val="yellow"/>
        </w:rPr>
        <w:t xml:space="preserve">5</w:t>
      </w:r>
      <w:r>
        <w:rPr>
          <w:rFonts w:ascii="Times New Roman" w:hAnsi="Times New Roman"/>
          <w:highlight w:val="yellow"/>
        </w:rPr>
        <w:t xml:space="preserve"> года, по заявкам заказчика.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839"/>
        <w:jc w:val="both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Требования к качеству, безопасности поставляемого товара: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</w:t>
      </w:r>
      <w:r>
        <w:rPr>
          <w:sz w:val="22"/>
          <w:szCs w:val="22"/>
        </w:rPr>
        <w:t xml:space="preserve">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Требования к упаковке и маркировке поставляемого товара: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5.1. Товар поставляе</w:t>
      </w:r>
      <w:r>
        <w:rPr>
          <w:sz w:val="22"/>
          <w:szCs w:val="22"/>
        </w:rPr>
        <w:t xml:space="preserve">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sz w:val="22"/>
          <w:szCs w:val="22"/>
        </w:rPr>
        <w:t xml:space="preserve">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5.3. Поставщик несет ответственность за ненадлежащую упаковку, не обеспечивающую сохранность товара при его хранении и транспортировании;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5.4. Упаковка и маркировка товара должна соответствовать требованиям ГОСТ, и</w:t>
      </w:r>
      <w:r>
        <w:rPr>
          <w:sz w:val="22"/>
          <w:szCs w:val="22"/>
        </w:rPr>
        <w:t xml:space="preserve">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Требования к гарантийному сроку товара и (или) объему предоставления гарантий качества товара: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6.2. Гарантийные обязательства должны распространяться на каждую единицу товара с момента приемки товара Заказчиком.</w:t>
      </w:r>
      <w:r>
        <w:rPr>
          <w:sz w:val="22"/>
          <w:szCs w:val="22"/>
        </w:rPr>
      </w:r>
    </w:p>
    <w:p>
      <w:pPr>
        <w:pStyle w:val="838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6.3. Поставщик обязан при обнаружении недостатков у поставляемого товара заменить товар ненадлежащ</w:t>
      </w:r>
      <w:r>
        <w:rPr>
          <w:sz w:val="22"/>
          <w:szCs w:val="22"/>
        </w:rPr>
        <w:t xml:space="preserve">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  <w:r>
        <w:rPr>
          <w:sz w:val="22"/>
          <w:szCs w:val="22"/>
        </w:rPr>
      </w:r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1926" w:h="16867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pPr>
      <w:spacing w:after="160" w:line="259" w:lineRule="auto"/>
    </w:pPr>
    <w:rPr>
      <w:sz w:val="22"/>
      <w:szCs w:val="22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  <w:style w:type="character" w:styleId="835" w:customStyle="1">
    <w:name w:val="tsbodym"/>
    <w:basedOn w:val="663"/>
  </w:style>
  <w:style w:type="character" w:styleId="836" w:customStyle="1">
    <w:name w:val="m7m_27"/>
    <w:basedOn w:val="663"/>
  </w:style>
  <w:style w:type="character" w:styleId="837">
    <w:name w:val="Strong"/>
    <w:basedOn w:val="663"/>
    <w:uiPriority w:val="22"/>
    <w:qFormat/>
    <w:rPr>
      <w:b/>
      <w:bCs/>
    </w:rPr>
  </w:style>
  <w:style w:type="paragraph" w:styleId="838">
    <w:name w:val="Normal (Web)"/>
    <w:basedOn w:val="653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39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N 18661672</dc:title>
  <dc:creator>FastReport http://www.fast-report.com</dc:creator>
  <cp:lastModifiedBy>Вероника Ивановна</cp:lastModifiedBy>
  <cp:revision>4</cp:revision>
  <dcterms:created xsi:type="dcterms:W3CDTF">2025-02-14T04:43:00Z</dcterms:created>
  <dcterms:modified xsi:type="dcterms:W3CDTF">2025-02-14T05:13:53Z</dcterms:modified>
  <cp:version>1048576</cp:version>
</cp:coreProperties>
</file>