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7E0D4AB2"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w:t>
      </w:r>
      <w:bookmarkStart w:id="1" w:name="_Hlk173489507"/>
      <w:r w:rsidR="00101FC2">
        <w:rPr>
          <w:b/>
          <w:bCs/>
          <w:color w:val="000000"/>
          <w:sz w:val="22"/>
          <w:szCs w:val="22"/>
        </w:rPr>
        <w:t xml:space="preserve">по </w:t>
      </w:r>
      <w:r w:rsidR="00101FC2" w:rsidRPr="00101FC2">
        <w:rPr>
          <w:b/>
          <w:bCs/>
          <w:color w:val="000000"/>
          <w:sz w:val="22"/>
          <w:szCs w:val="22"/>
        </w:rPr>
        <w:t>ремонту асфальтового покрытия территории</w:t>
      </w:r>
    </w:p>
    <w:p w14:paraId="7C9B6775" w14:textId="487DD9BE"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101FC2" w:rsidRPr="00101FC2">
        <w:rPr>
          <w:b/>
          <w:bCs/>
          <w:color w:val="000000"/>
          <w:sz w:val="22"/>
          <w:szCs w:val="22"/>
        </w:rPr>
        <w:t>МАДОУ "ДЕТСКИЙ САД № 62"</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6E4374B1"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101FC2" w:rsidRPr="00101FC2">
        <w:rPr>
          <w:rFonts w:ascii="Times New Roman" w:hAnsi="Times New Roman"/>
          <w:color w:val="000000"/>
          <w:sz w:val="22"/>
          <w:szCs w:val="22"/>
        </w:rPr>
        <w:t>ремонт асфальтового покрытия территории</w:t>
      </w:r>
      <w:r w:rsidR="005C763A">
        <w:rPr>
          <w:rFonts w:ascii="Times New Roman" w:hAnsi="Times New Roman"/>
          <w:color w:val="000000"/>
          <w:sz w:val="22"/>
          <w:szCs w:val="22"/>
        </w:rPr>
        <w:t>.</w:t>
      </w:r>
    </w:p>
    <w:p w14:paraId="2CE08C29" w14:textId="37C4B1F2" w:rsidR="00101FC2" w:rsidRPr="00FE7D71" w:rsidRDefault="00101FC2">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FE7D71">
        <w:rPr>
          <w:rFonts w:ascii="Times New Roman" w:hAnsi="Times New Roman"/>
          <w:color w:val="000000"/>
          <w:sz w:val="22"/>
          <w:szCs w:val="22"/>
          <w:lang w:val="en-US"/>
        </w:rPr>
        <w:t>42</w:t>
      </w:r>
      <w:r w:rsidR="00FE7D71">
        <w:rPr>
          <w:rFonts w:ascii="Times New Roman" w:hAnsi="Times New Roman"/>
          <w:color w:val="000000"/>
          <w:sz w:val="22"/>
          <w:szCs w:val="22"/>
        </w:rPr>
        <w:t>.11.20.900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2.2. В случае, если в документации (в каком-либо документе, входящем в состав документации, прикрепленном отдельным </w:t>
      </w:r>
      <w:bookmarkStart w:id="2" w:name="_GoBack"/>
      <w:bookmarkEnd w:id="2"/>
      <w:r>
        <w:rPr>
          <w:rFonts w:ascii="Times New Roman" w:eastAsia="SimSun" w:hAnsi="Times New Roman"/>
          <w:sz w:val="22"/>
          <w:szCs w:val="22"/>
          <w:lang w:eastAsia="hi-IN" w:bidi="hi-IN"/>
        </w:rPr>
        <w:t>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36820BF8"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101FC2">
        <w:rPr>
          <w:rFonts w:ascii="Times New Roman" w:eastAsia="SimSun" w:hAnsi="Times New Roman"/>
          <w:b/>
          <w:sz w:val="22"/>
          <w:szCs w:val="22"/>
          <w:lang w:eastAsia="hi-IN" w:bidi="hi-IN"/>
        </w:rPr>
        <w:t>работ</w:t>
      </w:r>
      <w:r w:rsidRPr="00101FC2">
        <w:rPr>
          <w:rFonts w:ascii="Times New Roman" w:hAnsi="Times New Roman"/>
          <w:b/>
          <w:sz w:val="22"/>
          <w:szCs w:val="22"/>
        </w:rPr>
        <w:t xml:space="preserve">: </w:t>
      </w:r>
      <w:r w:rsidR="00101FC2" w:rsidRPr="00101FC2">
        <w:rPr>
          <w:rStyle w:val="1327"/>
          <w:rFonts w:ascii="Times New Roman" w:hAnsi="Times New Roman"/>
          <w:sz w:val="22"/>
          <w:szCs w:val="22"/>
        </w:rPr>
        <w:t xml:space="preserve">456219, Россия, Челябинская обл., г. Златоуст, </w:t>
      </w:r>
      <w:proofErr w:type="spellStart"/>
      <w:r w:rsidR="00101FC2" w:rsidRPr="00101FC2">
        <w:rPr>
          <w:rStyle w:val="1327"/>
          <w:rFonts w:ascii="Times New Roman" w:hAnsi="Times New Roman"/>
          <w:sz w:val="22"/>
          <w:szCs w:val="22"/>
        </w:rPr>
        <w:t>пр-кт</w:t>
      </w:r>
      <w:proofErr w:type="spellEnd"/>
      <w:r w:rsidR="00101FC2" w:rsidRPr="00101FC2">
        <w:rPr>
          <w:rStyle w:val="1327"/>
          <w:rFonts w:ascii="Times New Roman" w:hAnsi="Times New Roman"/>
          <w:sz w:val="22"/>
          <w:szCs w:val="22"/>
        </w:rPr>
        <w:t xml:space="preserve"> им </w:t>
      </w:r>
      <w:proofErr w:type="spellStart"/>
      <w:r w:rsidR="00101FC2" w:rsidRPr="00101FC2">
        <w:rPr>
          <w:rStyle w:val="1327"/>
          <w:rFonts w:ascii="Times New Roman" w:hAnsi="Times New Roman"/>
          <w:sz w:val="22"/>
          <w:szCs w:val="22"/>
        </w:rPr>
        <w:t>Ю.А.Гагарина</w:t>
      </w:r>
      <w:proofErr w:type="spellEnd"/>
      <w:r w:rsidR="00101FC2" w:rsidRPr="00101FC2">
        <w:rPr>
          <w:rStyle w:val="1327"/>
          <w:rFonts w:ascii="Times New Roman" w:hAnsi="Times New Roman"/>
          <w:sz w:val="22"/>
          <w:szCs w:val="22"/>
        </w:rPr>
        <w:t xml:space="preserve"> 3-й </w:t>
      </w:r>
      <w:proofErr w:type="spellStart"/>
      <w:r w:rsidR="00101FC2" w:rsidRPr="00101FC2">
        <w:rPr>
          <w:rStyle w:val="1327"/>
          <w:rFonts w:ascii="Times New Roman" w:hAnsi="Times New Roman"/>
          <w:sz w:val="22"/>
          <w:szCs w:val="22"/>
        </w:rPr>
        <w:t>мкр</w:t>
      </w:r>
      <w:proofErr w:type="spellEnd"/>
      <w:r w:rsidR="00101FC2" w:rsidRPr="00101FC2">
        <w:rPr>
          <w:rStyle w:val="1327"/>
          <w:rFonts w:ascii="Times New Roman" w:hAnsi="Times New Roman"/>
          <w:sz w:val="22"/>
          <w:szCs w:val="22"/>
        </w:rPr>
        <w:t>, 39А</w:t>
      </w:r>
      <w:r w:rsidR="00D91BE8" w:rsidRPr="00101FC2">
        <w:rPr>
          <w:rStyle w:val="1327"/>
          <w:rFonts w:ascii="Times New Roman" w:hAnsi="Times New Roman"/>
          <w:sz w:val="22"/>
          <w:szCs w:val="22"/>
        </w:rPr>
        <w:t>.</w:t>
      </w:r>
    </w:p>
    <w:p w14:paraId="08F427BB" w14:textId="61C900A3" w:rsidR="0077546B" w:rsidRDefault="00F72E06">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 xml:space="preserve">4. </w:t>
      </w:r>
      <w:r w:rsidRPr="00101FC2">
        <w:rPr>
          <w:rFonts w:ascii="Times New Roman" w:eastAsia="SimSun" w:hAnsi="Times New Roman"/>
          <w:b/>
          <w:sz w:val="22"/>
          <w:szCs w:val="22"/>
          <w:lang w:eastAsia="hi-IN" w:bidi="hi-IN"/>
        </w:rPr>
        <w:t>Срок выполнения работ</w:t>
      </w:r>
      <w:r w:rsidRPr="00101FC2">
        <w:rPr>
          <w:rFonts w:ascii="Times New Roman" w:hAnsi="Times New Roman"/>
          <w:b/>
          <w:sz w:val="22"/>
          <w:szCs w:val="22"/>
        </w:rPr>
        <w:t xml:space="preserve">: </w:t>
      </w:r>
      <w:r w:rsidRPr="00101FC2">
        <w:rPr>
          <w:rFonts w:ascii="Times New Roman" w:hAnsi="Times New Roman"/>
          <w:bCs/>
          <w:sz w:val="22"/>
          <w:szCs w:val="22"/>
        </w:rPr>
        <w:t>с момента заключения договора</w:t>
      </w:r>
      <w:r w:rsidR="00101FC2" w:rsidRPr="00101FC2">
        <w:rPr>
          <w:rFonts w:ascii="Times New Roman" w:hAnsi="Times New Roman"/>
          <w:bCs/>
          <w:sz w:val="22"/>
          <w:szCs w:val="22"/>
        </w:rPr>
        <w:t>, но не ранее 15 мая 2025 г.</w:t>
      </w:r>
      <w:r w:rsidRPr="00101FC2">
        <w:rPr>
          <w:rFonts w:ascii="Times New Roman" w:hAnsi="Times New Roman"/>
          <w:bCs/>
          <w:sz w:val="22"/>
          <w:szCs w:val="22"/>
        </w:rPr>
        <w:t xml:space="preserve"> по </w:t>
      </w:r>
      <w:r w:rsidR="00101FC2" w:rsidRPr="00101FC2">
        <w:rPr>
          <w:rFonts w:ascii="Times New Roman" w:hAnsi="Times New Roman"/>
          <w:bCs/>
          <w:sz w:val="22"/>
          <w:szCs w:val="22"/>
        </w:rPr>
        <w:t>30</w:t>
      </w:r>
      <w:r w:rsidRPr="00101FC2">
        <w:rPr>
          <w:rFonts w:ascii="Times New Roman" w:hAnsi="Times New Roman"/>
          <w:bCs/>
          <w:sz w:val="22"/>
          <w:szCs w:val="22"/>
        </w:rPr>
        <w:t xml:space="preserve"> </w:t>
      </w:r>
      <w:r w:rsidR="00101FC2" w:rsidRPr="00101FC2">
        <w:rPr>
          <w:rFonts w:ascii="Times New Roman" w:hAnsi="Times New Roman"/>
          <w:bCs/>
          <w:sz w:val="22"/>
          <w:szCs w:val="22"/>
        </w:rPr>
        <w:t>мая</w:t>
      </w:r>
      <w:r w:rsidRPr="00101FC2">
        <w:rPr>
          <w:rFonts w:ascii="Times New Roman" w:hAnsi="Times New Roman"/>
          <w:bCs/>
          <w:sz w:val="22"/>
          <w:szCs w:val="22"/>
        </w:rPr>
        <w:t xml:space="preserve"> 202</w:t>
      </w:r>
      <w:r w:rsidR="00101FC2" w:rsidRPr="00101FC2">
        <w:rPr>
          <w:rFonts w:ascii="Times New Roman" w:hAnsi="Times New Roman"/>
          <w:bCs/>
          <w:sz w:val="22"/>
          <w:szCs w:val="22"/>
        </w:rPr>
        <w:t>5 г</w:t>
      </w:r>
      <w:r w:rsidRPr="00101FC2">
        <w:rPr>
          <w:rFonts w:ascii="Times New Roman" w:hAnsi="Times New Roman"/>
          <w:bCs/>
          <w:sz w:val="22"/>
          <w:szCs w:val="22"/>
        </w:rPr>
        <w:t>.</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302205A6" w14:textId="1C745C94" w:rsidR="00101FC2" w:rsidRDefault="00101FC2">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01FC2">
        <w:rPr>
          <w:rFonts w:ascii="Times New Roman" w:eastAsia="Calibri" w:hAnsi="Times New Roman"/>
          <w:sz w:val="22"/>
          <w:szCs w:val="22"/>
          <w:lang w:eastAsia="en-US"/>
        </w:rPr>
        <w:t>СП 82.13330.2016 «СНиП III-10-75 Благоустройство территорий» (Приказ Минстроя России от 16 декабря 2016 г. № 972/</w:t>
      </w:r>
      <w:proofErr w:type="spellStart"/>
      <w:r w:rsidRPr="00101FC2">
        <w:rPr>
          <w:rFonts w:ascii="Times New Roman" w:eastAsia="Calibri" w:hAnsi="Times New Roman"/>
          <w:sz w:val="22"/>
          <w:szCs w:val="22"/>
          <w:lang w:eastAsia="en-US"/>
        </w:rPr>
        <w:t>пр</w:t>
      </w:r>
      <w:proofErr w:type="spellEnd"/>
      <w:r w:rsidRPr="00101FC2">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p>
    <w:p w14:paraId="5063DE91" w14:textId="5D5AC481" w:rsidR="00101FC2" w:rsidRDefault="00101FC2">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01FC2">
        <w:rPr>
          <w:rFonts w:ascii="Times New Roman" w:eastAsia="Calibri" w:hAnsi="Times New Roman"/>
          <w:sz w:val="22"/>
          <w:szCs w:val="22"/>
          <w:lang w:eastAsia="en-US"/>
        </w:rPr>
        <w:t>СП 34.13330.2021 «СНиП 2.05.02-84* Автомобильные дороги»</w:t>
      </w:r>
      <w:r>
        <w:rPr>
          <w:rFonts w:ascii="Times New Roman" w:eastAsia="Calibri" w:hAnsi="Times New Roman"/>
          <w:sz w:val="22"/>
          <w:szCs w:val="22"/>
          <w:lang w:eastAsia="en-US"/>
        </w:rPr>
        <w:t>;</w:t>
      </w:r>
    </w:p>
    <w:p w14:paraId="41B81DA8" w14:textId="2374BC2D"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485987EC"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101FC2">
        <w:rPr>
          <w:rFonts w:ascii="Times New Roman" w:hAnsi="Times New Roman"/>
          <w:sz w:val="22"/>
          <w:szCs w:val="22"/>
        </w:rPr>
        <w:t>являются выполненны</w:t>
      </w:r>
      <w:r w:rsidR="00A16A1B" w:rsidRPr="00101FC2">
        <w:rPr>
          <w:rFonts w:ascii="Times New Roman" w:hAnsi="Times New Roman"/>
          <w:sz w:val="22"/>
          <w:szCs w:val="22"/>
        </w:rPr>
        <w:t>е</w:t>
      </w:r>
      <w:r w:rsidR="00101FC2" w:rsidRPr="00101FC2">
        <w:rPr>
          <w:rFonts w:ascii="Times New Roman" w:hAnsi="Times New Roman"/>
          <w:sz w:val="22"/>
          <w:szCs w:val="22"/>
        </w:rPr>
        <w:t xml:space="preserve"> </w:t>
      </w:r>
      <w:r w:rsidR="00A16A1B" w:rsidRPr="00101FC2">
        <w:rPr>
          <w:rFonts w:ascii="Times New Roman" w:hAnsi="Times New Roman"/>
          <w:sz w:val="22"/>
          <w:szCs w:val="22"/>
        </w:rPr>
        <w:t xml:space="preserve">работы по </w:t>
      </w:r>
      <w:r w:rsidR="00101FC2" w:rsidRPr="00101FC2">
        <w:rPr>
          <w:rFonts w:ascii="Times New Roman" w:hAnsi="Times New Roman"/>
          <w:sz w:val="22"/>
          <w:szCs w:val="22"/>
        </w:rPr>
        <w:t>ремонту асфальтового покрытия</w:t>
      </w:r>
      <w:r w:rsidR="00A16A1B" w:rsidRPr="00101FC2">
        <w:rPr>
          <w:rFonts w:ascii="Times New Roman" w:hAnsi="Times New Roman"/>
          <w:sz w:val="22"/>
          <w:szCs w:val="22"/>
        </w:rPr>
        <w:t>,</w:t>
      </w:r>
      <w:r w:rsidRPr="00101FC2">
        <w:rPr>
          <w:rFonts w:ascii="Times New Roman" w:hAnsi="Times New Roman"/>
          <w:bCs/>
          <w:sz w:val="22"/>
          <w:szCs w:val="22"/>
        </w:rPr>
        <w:t xml:space="preserve"> </w:t>
      </w:r>
      <w:r w:rsidRPr="00101FC2">
        <w:rPr>
          <w:rFonts w:ascii="Times New Roman" w:hAnsi="Times New Roman"/>
          <w:sz w:val="22"/>
          <w:szCs w:val="22"/>
        </w:rPr>
        <w:t>приведенный в нормативно-техни</w:t>
      </w:r>
      <w:r>
        <w:rPr>
          <w:rFonts w:ascii="Times New Roman" w:hAnsi="Times New Roman"/>
          <w:sz w:val="22"/>
          <w:szCs w:val="22"/>
        </w:rPr>
        <w:t>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 xml:space="preserve">8.2. Сдача результатов выполненных работ Подрядчиком и приемка их Заказчиком оформляется </w:t>
      </w:r>
      <w:r>
        <w:rPr>
          <w:rFonts w:ascii="Times New Roman" w:hAnsi="Times New Roman"/>
          <w:sz w:val="22"/>
          <w:szCs w:val="22"/>
        </w:rPr>
        <w:lastRenderedPageBreak/>
        <w:t>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w:t>
      </w:r>
      <w:r w:rsidRPr="00101FC2">
        <w:rPr>
          <w:rFonts w:ascii="Times New Roman" w:eastAsia="SimSun" w:hAnsi="Times New Roman"/>
          <w:sz w:val="22"/>
          <w:szCs w:val="22"/>
          <w:lang w:eastAsia="hi-IN" w:bidi="hi-IN"/>
        </w:rPr>
        <w:t xml:space="preserve">гарантийный срок на выполненные работы – не менее </w:t>
      </w:r>
      <w:r w:rsidR="00A16A1B" w:rsidRPr="00101FC2">
        <w:rPr>
          <w:rFonts w:ascii="Times New Roman" w:eastAsia="SimSun" w:hAnsi="Times New Roman"/>
          <w:sz w:val="22"/>
          <w:szCs w:val="22"/>
          <w:lang w:eastAsia="hi-IN" w:bidi="hi-IN"/>
        </w:rPr>
        <w:t>24</w:t>
      </w:r>
      <w:r w:rsidRPr="00101FC2">
        <w:rPr>
          <w:rFonts w:ascii="Times New Roman" w:eastAsia="SimSun" w:hAnsi="Times New Roman"/>
          <w:sz w:val="22"/>
          <w:szCs w:val="22"/>
          <w:lang w:eastAsia="hi-IN" w:bidi="hi-IN"/>
        </w:rPr>
        <w:t xml:space="preserve"> месяцев с даты подписания итогового Акта приёмки вып</w:t>
      </w:r>
      <w:r>
        <w:rPr>
          <w:rFonts w:ascii="Times New Roman" w:eastAsia="SimSun" w:hAnsi="Times New Roman"/>
          <w:sz w:val="22"/>
          <w:szCs w:val="22"/>
          <w:lang w:eastAsia="hi-IN" w:bidi="hi-IN"/>
        </w:rPr>
        <w:t>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3CC5" w14:textId="77777777" w:rsidR="00CD1A91" w:rsidRDefault="00CD1A91">
      <w:r>
        <w:separator/>
      </w:r>
    </w:p>
  </w:endnote>
  <w:endnote w:type="continuationSeparator" w:id="0">
    <w:p w14:paraId="568F1624" w14:textId="77777777" w:rsidR="00CD1A91" w:rsidRDefault="00CD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8B52" w14:textId="77777777" w:rsidR="00CD1A91" w:rsidRDefault="00CD1A91">
      <w:r>
        <w:separator/>
      </w:r>
    </w:p>
  </w:footnote>
  <w:footnote w:type="continuationSeparator" w:id="0">
    <w:p w14:paraId="46540DA4" w14:textId="77777777" w:rsidR="00CD1A91" w:rsidRDefault="00CD1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01FC2"/>
    <w:rsid w:val="00285834"/>
    <w:rsid w:val="002949BF"/>
    <w:rsid w:val="00302193"/>
    <w:rsid w:val="003049D1"/>
    <w:rsid w:val="003B0124"/>
    <w:rsid w:val="003B5C8F"/>
    <w:rsid w:val="004B50CB"/>
    <w:rsid w:val="00535704"/>
    <w:rsid w:val="00546213"/>
    <w:rsid w:val="005769F3"/>
    <w:rsid w:val="005C763A"/>
    <w:rsid w:val="005E1A9F"/>
    <w:rsid w:val="006A06D3"/>
    <w:rsid w:val="0077546B"/>
    <w:rsid w:val="007E2706"/>
    <w:rsid w:val="00805877"/>
    <w:rsid w:val="00837780"/>
    <w:rsid w:val="00A16A1B"/>
    <w:rsid w:val="00AF35C4"/>
    <w:rsid w:val="00BC2E78"/>
    <w:rsid w:val="00C378E9"/>
    <w:rsid w:val="00C61CF8"/>
    <w:rsid w:val="00CD1A91"/>
    <w:rsid w:val="00D04144"/>
    <w:rsid w:val="00D27542"/>
    <w:rsid w:val="00D91BE8"/>
    <w:rsid w:val="00DE1EE9"/>
    <w:rsid w:val="00F72E06"/>
    <w:rsid w:val="00F948BB"/>
    <w:rsid w:val="00FE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Рабочий 216-1</cp:lastModifiedBy>
  <cp:revision>28</cp:revision>
  <dcterms:created xsi:type="dcterms:W3CDTF">2023-10-26T11:29:00Z</dcterms:created>
  <dcterms:modified xsi:type="dcterms:W3CDTF">2025-02-26T09:52:00Z</dcterms:modified>
</cp:coreProperties>
</file>