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Запрос на разъяснения положений документации</w:t>
      </w:r>
      <w:r>
        <w:rPr>
          <w:rFonts w:ascii="Times New Roman" w:hAnsi="Times New Roman" w:cs="Times New Roman"/>
          <w:b/>
          <w:bCs/>
        </w:rPr>
        <w:t xml:space="preserve"> (№ извещения в </w:t>
      </w:r>
      <w:r>
        <w:rPr>
          <w:rFonts w:ascii="Times New Roman" w:hAnsi="Times New Roman" w:cs="Times New Roman"/>
          <w:b/>
          <w:bCs/>
        </w:rPr>
        <w:t xml:space="preserve">ЕИС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32514579326</w:t>
      </w:r>
      <w:r>
        <w:rPr>
          <w:rFonts w:ascii="Times New Roman" w:hAnsi="Times New Roman" w:cs="Times New Roman"/>
          <w:b/>
          <w:bCs/>
        </w:rPr>
        <w:t xml:space="preserve">)</w:t>
      </w:r>
      <w:r>
        <w:rPr>
          <w:rFonts w:ascii="Times New Roman" w:hAnsi="Times New Roman" w:cs="Times New Roman"/>
          <w:b/>
          <w:bCs/>
        </w:rPr>
        <w:t xml:space="preserve">:</w:t>
      </w:r>
      <w:r>
        <w:rPr>
          <w:rFonts w:ascii="Times New Roman" w:hAnsi="Times New Roman" w:cs="Times New Roman"/>
          <w:b/>
          <w:bCs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Просим рассмотреть возможность расширения характеристик, с целью участия в аукционе поставщиков более широкого круга производителей </w:t>
      </w:r>
      <w:r>
        <w:rPr>
          <w:rFonts w:ascii="Times New Roman" w:hAnsi="Times New Roman" w:eastAsia="Times New Roman" w:cs="Times New Roman"/>
          <w:color w:val="334059"/>
          <w:sz w:val="16"/>
          <w:szCs w:val="16"/>
          <w:shd w:val="clear" w:color="auto" w:fill="ffffff"/>
          <w:lang w:eastAsia="ru-RU"/>
        </w:rPr>
        <w:t xml:space="preserve">установки очистки и обеззараживания воздуха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 В рамках данного аукциона, при условии внесения изменений, может быть предложено к поставке оборудование с техническими параметрами, не ухудшающими указанные в описании объекта закупки.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Пункты технического задания, в которые предлагается внести изменения: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r>
    </w:p>
    <w:p>
      <w:pPr>
        <w:ind w:left="-709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lang w:eastAsia="ru-RU"/>
        </w:rPr>
      </w:r>
    </w:p>
    <w:tbl>
      <w:tblPr>
        <w:tblStyle w:val="689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556"/>
        <w:gridCol w:w="1004"/>
        <w:gridCol w:w="4961"/>
        <w:gridCol w:w="709"/>
        <w:gridCol w:w="697"/>
      </w:tblGrid>
      <w:tr>
        <w:trPr>
          <w:jc w:val="center"/>
        </w:trPr>
        <w:tc>
          <w:tcPr>
            <w:shd w:val="clear" w:color="auto" w:fill="c5e0b3"/>
            <w:tcMar>
              <w:left w:w="108" w:type="dxa"/>
              <w:top w:w="0" w:type="dxa"/>
              <w:right w:w="108" w:type="dxa"/>
              <w:bottom w:w="0" w:type="dxa"/>
            </w:tcMar>
            <w:tcW w:w="5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№ п/п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c5e0b3"/>
            <w:tcBorders>
              <w:bottom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Наименование товара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c5e0b3"/>
            <w:tcW w:w="10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ОКПД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c5e0b3"/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Технические характеристики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c5e0b3"/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Ед. изм.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shd w:val="clear" w:color="auto" w:fill="c5e0b3"/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Кол-во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rPr>
          <w:jc w:val="center"/>
          <w:trHeight w:val="3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3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jc w:val="center"/>
              <w:spacing w:before="60" w:after="60"/>
              <w:widowControl w:val="off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Установка очистки и обеззараживания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воздуха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-001-АМС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32.50.50.190 «О»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Соответствие требованиям класса чистоты воздуха рабочей камеры не менее 5 ИСО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Класс бокса II 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Тип бокса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А2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Класс установленных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НЕРА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фильтров не ниже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Н14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Степень рециркуляции воздуха в боксе не менее 70 %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Средняя скорость воздушного потока, нисходящий поток воздуха не менее 0,40 м/с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Средняя скорость потока воздуха, входящего в бокс через рабочий проем не менее 0,40 м/с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Характеристика потока воздуха нисходящий, однонаправленный (ламинарный)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Габаритные размеры бокса: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Ширина, мм, не более 1200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Глубина, мм, не более 800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Высота (без подставки), мм, не более 1495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Габариты рабочей камеры: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Ширина, мм, не более 1130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Глубина, мм, не более 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610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Высота, мм, не более 670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Суммарная максимально допустимая нагрузка на блок розеток, Вт не менее 2000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Освещенность рабочей зоны, Люмен не менее 1000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Бактерицидная лампа мощностью, Вт не менее 30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Уровень шума,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Дц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не более 65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Производительность по чистому воздуху, подаваемому в рабочую камеру бокса,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/час не менее 1200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Лицевое стекло по направляющим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Лицевое стекло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наличие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Механизм подъема стекла: полностью закрывающееся переднее стекло. Передняя панель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обезвешена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за счет противовесов, легко фиксируется на необходимой высоте. Система противовесов располагается вне корпуса шкафа за легко откидывающейся лицевой панелью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Закаленные боковые стекла Наличие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Светодиодное освещение рабочей камеры Наличие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розетки в рабочей камере бокса Наличие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Ламинаризатор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воздушного потока из мелкоячеистой полимерной сетки Наличие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Съемная столешница из нержавеющей стали Наличие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Съемная подставка для рук из нержавеющей стали Наличие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УФО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рабочая камера стационарная, расположенная на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задней  панели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рабочей камеры 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или выдвижной 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УФО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блок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фильтров для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удаления  воздуха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из бокса Не менее 1 шт.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фильтров на входе в рабочую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камеру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 Не менее 1 шт.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Пульт управления боксом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ЖК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дисплей с мембранной панелью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Датчики параметров воздушных потоков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 xml:space="preserve">Наличие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Кабель питания несъемный Наличие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Встроенные штуцеры отбора проб воздуха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перед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НЕРА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-фильтрами для проверки их целостности Наличие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Транспортировочные колеса для перемещения бокса Наличие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Винтовые опоры для стационарной установки бокса на место эксплуатации Наличие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Автоматическая блокировка пульта управления, доступ к управлению боксом обеспечивается через ключ </w:t>
            </w: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Или  комбинация</w:t>
            </w:r>
            <w:r>
              <w:rPr>
                <w:rFonts w:ascii="Times New Roman" w:hAnsi="Times New Roman"/>
                <w:sz w:val="16"/>
                <w:szCs w:val="16"/>
                <w:highlight w:val="green"/>
              </w:rPr>
              <w:t xml:space="preserve"> клавиш на панели управления для разблокировки панели управления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 Наличие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Язык меню Русский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Индикация включения бокса Наличие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Автоматическое поддержание заданных параметров воздушных потоков, возникающих при работе бокса, вне зависимости от степени загрязненности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НЕРА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-фильтров Наличие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Автоматическое срабатывание звуковой и визуальной аварийной сигнализации при нарушении нормальных режимов работы с отображением предупреждающих надписей Наличие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Специальные режимы для проведения санитарной обработки: режим для обработки бокса парами формальдегида Наличие.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шт.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70c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70c0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color w:val="0070c0"/>
          <w:sz w:val="16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70c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70c0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color w:val="0070c0"/>
          <w:sz w:val="16"/>
          <w:szCs w:val="16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Calibri" w:cs="Times New Roman"/>
          <w:color w:val="000000"/>
          <w:sz w:val="16"/>
          <w:szCs w:val="16"/>
          <w:lang w:eastAsia="ru-RU"/>
        </w:rPr>
        <w:t xml:space="preserve">Внесение указанных изменений в Техническое задание позволит предложить к поставке альтернативное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оборудование</w:t>
      </w:r>
      <w:r>
        <w:rPr>
          <w:rFonts w:ascii="Times New Roman" w:hAnsi="Times New Roman" w:eastAsia="Calibri" w:cs="Times New Roman"/>
          <w:color w:val="000000"/>
          <w:sz w:val="16"/>
          <w:szCs w:val="16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 xml:space="preserve">Это в свою очередь приведет к увеличению числа участников аукциона и повышению эффективности закупки (снижению цены контракта) без ущерба для качества закупаемого товара, но существенной экономии бюджетных средств.</w:t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Ответ на запрос разъяснений положений документации:</w:t>
      </w:r>
      <w:r>
        <w:rPr>
          <w:rFonts w:ascii="Times New Roman" w:hAnsi="Times New Roman" w:cs="Times New Roman"/>
          <w:b/>
          <w:bCs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Рассмотрев запрос на разъяснения положений документации</w:t>
      </w:r>
      <w:r>
        <w:rPr>
          <w:rFonts w:ascii="Times New Roman" w:hAnsi="Times New Roman" w:cs="Times New Roman"/>
        </w:rPr>
        <w:t xml:space="preserve"> Заказчиком</w:t>
      </w:r>
      <w:r>
        <w:rPr>
          <w:rFonts w:ascii="Times New Roman" w:hAnsi="Times New Roman" w:cs="Times New Roman"/>
        </w:rPr>
        <w:t xml:space="preserve">, сообщаем следующее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</w:t>
      </w:r>
      <w:r>
        <w:rPr>
          <w:rFonts w:ascii="Times New Roman" w:hAnsi="Times New Roman" w:cs="Times New Roman"/>
        </w:rPr>
        <w:t xml:space="preserve">деральный закон №223-ФЗ предоставляет заказчикам право сформировать свою систему закупок в зависимости от особенностей осуществления деятельности, установив при этом параметры товара, направленные в первую очередь на выявление в результате закупочных проце</w:t>
      </w:r>
      <w:r>
        <w:rPr>
          <w:rFonts w:ascii="Times New Roman" w:hAnsi="Times New Roman" w:cs="Times New Roman"/>
        </w:rPr>
        <w:t xml:space="preserve">дур лица, исполнение договора которым в наибольшей степени будет отвечать целям эффективного использования источников финансирования, удовлетворения потребности заказчиков в товарах, работах, услугах с необходимыми показателями цены, качества и надежности.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Техническая часть документации о закупке (Техническое задание) не противоречит требованиям части 6.1 статьи 3 Феде</w:t>
      </w:r>
      <w:r>
        <w:rPr>
          <w:rFonts w:ascii="Times New Roman" w:hAnsi="Times New Roman" w:cs="Times New Roman"/>
        </w:rPr>
        <w:t xml:space="preserve">рального закона № 223-ФЗ, а именно в описании предмета закупки указаны требования, наиболее соответствующие потребностям заказчика, и предполагает возможность поставки товара, соответствующего техническим параметрам, установленным в документации о закупке.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свою очередь, Закон №223-ФЗ не обязывает заказчиков устанавливать требования удовлетворяющих всем хозяйствующим субъектам, имеющих намерение получить прибыль в результате заключения договора. Иное противоречило бы принципу целевого и экон</w:t>
      </w:r>
      <w:r>
        <w:rPr>
          <w:rFonts w:ascii="Times New Roman" w:hAnsi="Times New Roman" w:cs="Times New Roman"/>
        </w:rPr>
        <w:t xml:space="preserve">омически эффективного расходования денежных средств, сокращения издержек заказчика (пункт 6 Обзора судебной практики по вопросам, связанным с применением Закона о закупках, утвержденного Президиумом Верховного Суда Российской Федерации от 16.05.2018 года).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положения Технического задания относятся ко всем участникам закупки, но будут применены к победителю закупки после заключения Договора, кроме этого в открыты</w:t>
      </w:r>
      <w:r>
        <w:rPr>
          <w:rFonts w:ascii="Times New Roman" w:hAnsi="Times New Roman" w:cs="Times New Roman"/>
        </w:rPr>
        <w:t xml:space="preserve">х источниках данных телекоммуникационной сети Интернет, так же при формировании начальной (максимальной) цены договора выявлено множество организаций, способных поставить Товар, соответствующий требованиям Заказчика, установленным в документации о закупке.</w:t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документация сформирована в соответствии с требованиями Федерального закона от 18 июля 2011 года № 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</w:rPr>
        <w:t xml:space="preserve"> (далее – Закон № 23-ФЗ)</w:t>
      </w:r>
      <w:r>
        <w:rPr>
          <w:rFonts w:ascii="Times New Roman" w:hAnsi="Times New Roman" w:cs="Times New Roman"/>
        </w:rPr>
        <w:t xml:space="preserve">, Положением о закупке о з</w:t>
      </w:r>
      <w:r>
        <w:rPr>
          <w:rFonts w:ascii="Times New Roman" w:hAnsi="Times New Roman" w:cs="Times New Roman"/>
        </w:rPr>
        <w:t xml:space="preserve">акупке товаров, работ, услуг для нужд Заказчика, признаков нарушений Федеральных законов от 26 июля 2006 года № 135-ФЗ «О защите конкуренции», от 18 июля 2011 года № 223-ФЗ «О закупках товаров, работ, услуг отдельными видами юридических лиц» не выявляется.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1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1" w:hanging="180"/>
      </w:pPr>
    </w:lvl>
  </w:abstractNum>
  <w:num w:numId="1">
    <w:abstractNumId w:val="9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4"/>
    <w:uiPriority w:val="99"/>
  </w:style>
  <w:style w:type="character" w:styleId="45">
    <w:name w:val="Footer Char"/>
    <w:basedOn w:val="674"/>
    <w:link w:val="686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table" w:styleId="677" w:customStyle="1">
    <w:name w:val="Сетка таблицы1"/>
    <w:basedOn w:val="675"/>
    <w:next w:val="6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8">
    <w:name w:val="Table Grid"/>
    <w:basedOn w:val="67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9" w:customStyle="1">
    <w:name w:val="Сетка таблицы2"/>
    <w:basedOn w:val="675"/>
    <w:next w:val="6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0">
    <w:name w:val="Balloon Text"/>
    <w:basedOn w:val="673"/>
    <w:link w:val="68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1" w:customStyle="1">
    <w:name w:val="Текст выноски Знак"/>
    <w:basedOn w:val="674"/>
    <w:link w:val="680"/>
    <w:uiPriority w:val="99"/>
    <w:semiHidden/>
    <w:rPr>
      <w:rFonts w:ascii="Segoe UI" w:hAnsi="Segoe UI" w:cs="Segoe UI"/>
      <w:sz w:val="18"/>
      <w:szCs w:val="18"/>
    </w:rPr>
  </w:style>
  <w:style w:type="paragraph" w:styleId="682" w:customStyle="1">
    <w:name w:val="Обычный1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83">
    <w:name w:val="List Paragraph"/>
    <w:basedOn w:val="673"/>
    <w:uiPriority w:val="34"/>
    <w:qFormat/>
    <w:pPr>
      <w:contextualSpacing/>
      <w:ind w:left="720"/>
    </w:pPr>
  </w:style>
  <w:style w:type="paragraph" w:styleId="684">
    <w:name w:val="Header"/>
    <w:basedOn w:val="673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74"/>
    <w:link w:val="684"/>
    <w:uiPriority w:val="99"/>
  </w:style>
  <w:style w:type="paragraph" w:styleId="686">
    <w:name w:val="Footer"/>
    <w:basedOn w:val="673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74"/>
    <w:link w:val="686"/>
    <w:uiPriority w:val="99"/>
  </w:style>
  <w:style w:type="table" w:styleId="688" w:customStyle="1">
    <w:name w:val="Сетка таблицы3"/>
    <w:basedOn w:val="675"/>
    <w:next w:val="678"/>
    <w:uiPriority w:val="39"/>
    <w:pPr>
      <w:jc w:val="center"/>
      <w:spacing w:after="0" w:line="240" w:lineRule="auto"/>
    </w:pPr>
    <w:rPr>
      <w:rFonts w:ascii="Times New Roman" w:hAnsi="Times New Roman" w:cs="Times New Roman"/>
      <w:bCs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Сетка таблицы4"/>
    <w:basedOn w:val="675"/>
    <w:next w:val="67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Nurgaliev</dc:creator>
  <cp:keywords/>
  <dc:description/>
  <cp:lastModifiedBy>Линар Ильдусович</cp:lastModifiedBy>
  <cp:revision>89</cp:revision>
  <dcterms:created xsi:type="dcterms:W3CDTF">2022-01-13T12:24:00Z</dcterms:created>
  <dcterms:modified xsi:type="dcterms:W3CDTF">2025-03-17T09:52:15Z</dcterms:modified>
</cp:coreProperties>
</file>