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Техническое задание на поставку </w:t>
      </w:r>
      <w:r>
        <w:rPr>
          <w:rFonts w:ascii="Times New Roman" w:hAnsi="Times New Roman" w:eastAsia="Times New Roman" w:cs="Times New Roman"/>
          <w:b/>
        </w:rPr>
        <w:t xml:space="preserve">автомобильных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  <w:b/>
        </w:rPr>
        <w:t xml:space="preserve">шин </w:t>
      </w:r>
      <w:r>
        <w:rPr>
          <w:rFonts w:ascii="Times New Roman" w:hAnsi="Times New Roman" w:eastAsia="Times New Roman" w:cs="Times New Roman"/>
          <w:b/>
        </w:rPr>
        <w:t xml:space="preserve">для </w:t>
      </w:r>
      <w:r>
        <w:rPr>
          <w:rFonts w:ascii="Times New Roman" w:hAnsi="Times New Roman" w:eastAsia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ГАПОУ СО «</w:t>
      </w:r>
      <w:r>
        <w:rPr>
          <w:rFonts w:ascii="Times New Roman" w:hAnsi="Times New Roman" w:eastAsia="Times New Roman" w:cs="Times New Roman"/>
          <w:b/>
        </w:rPr>
        <w:t xml:space="preserve">Уральский колледж бизнеса, управления</w:t>
      </w:r>
      <w:r>
        <w:rPr>
          <w:rFonts w:ascii="Times New Roman" w:hAnsi="Times New Roman" w:eastAsia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и технологии красоты</w:t>
      </w:r>
      <w:r>
        <w:rPr>
          <w:rFonts w:ascii="Times New Roman" w:hAnsi="Times New Roman" w:eastAsia="Times New Roman" w:cs="Times New Roman"/>
          <w:b/>
        </w:rPr>
        <w:t xml:space="preserve">». </w:t>
      </w:r>
      <w:r>
        <w:rPr>
          <w:rFonts w:ascii="Times New Roman" w:hAnsi="Times New Roman" w:eastAsia="Times New Roman" w:cs="Times New Roman"/>
          <w:b/>
        </w:rPr>
        <w:t xml:space="preserve">г</w:t>
      </w:r>
      <w:r>
        <w:rPr>
          <w:rFonts w:ascii="Times New Roman" w:hAnsi="Times New Roman" w:eastAsia="Times New Roman" w:cs="Times New Roman"/>
          <w:b/>
        </w:rPr>
        <w:t xml:space="preserve">. Екатеринбург</w:t>
      </w:r>
      <w:r>
        <w:rPr>
          <w:rFonts w:ascii="Times New Roman" w:hAnsi="Times New Roman" w:eastAsia="Times New Roman" w:cs="Times New Roman"/>
          <w:b/>
        </w:rPr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Функциональные характеристики (потребительские свойства), технические и качественные характеристики, а также эксплуатационные характеристики</w:t>
      </w:r>
      <w:r>
        <w:rPr>
          <w:rFonts w:ascii="Times New Roman" w:hAnsi="Times New Roman" w:cs="Times New Roman"/>
          <w:b/>
        </w:rPr>
      </w:r>
    </w:p>
    <w:tbl>
      <w:tblPr>
        <w:tblW w:w="1063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4536"/>
        <w:gridCol w:w="851"/>
        <w:gridCol w:w="850"/>
      </w:tblGrid>
      <w:tr>
        <w:trPr/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Типоразмер автошины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ОКПД2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Описание функциональных и технических характеристик закупаемого товара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Ед.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изм</w:t>
            </w:r>
            <w:r>
              <w:rPr>
                <w:rFonts w:ascii="Times New Roman" w:hAnsi="Times New Roman"/>
                <w:color w:val="000000"/>
              </w:rPr>
              <w:t xml:space="preserve">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2688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Шины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Cordiant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22.11.11.000-О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подп. "к", "л" п. 10 - При осуществлении закупки по Закону № 223-ФЗ, если извещение размещено либо договор с ед. поставщиком заключен до 1 июля 2025 г. Применяется ограничение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Ширина шины –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215</w:t>
            </w:r>
            <w:r>
              <w:rPr>
                <w:rFonts w:ascii="Times New Roman" w:hAnsi="Times New Roman"/>
                <w:color w:val="000000"/>
              </w:rPr>
              <w:t xml:space="preserve">/60</w:t>
            </w:r>
            <w:r>
              <w:rPr>
                <w:rFonts w:ascii="Times New Roman" w:hAnsi="Times New Roman"/>
                <w:color w:val="000000"/>
              </w:rPr>
              <w:t xml:space="preserve"> мм;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Профиль (высота шины в процентах от ширины –</w:t>
            </w:r>
            <w:r>
              <w:rPr>
                <w:rFonts w:ascii="Times New Roman" w:hAnsi="Times New Roman"/>
                <w:color w:val="000000"/>
              </w:rPr>
              <w:t xml:space="preserve"> не менее</w:t>
            </w:r>
            <w:r>
              <w:rPr>
                <w:rFonts w:ascii="Times New Roman" w:hAnsi="Times New Roman"/>
                <w:color w:val="000000"/>
              </w:rPr>
              <w:t xml:space="preserve"> 129 мм;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Конструкция шины R (радиальная);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Диаметр шины –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</w:rPr>
              <w:t xml:space="preserve">16 дюймов;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Шипы –</w:t>
            </w:r>
            <w:r>
              <w:rPr>
                <w:rFonts w:ascii="Times New Roman" w:hAnsi="Times New Roman"/>
                <w:color w:val="000000"/>
              </w:rPr>
              <w:t xml:space="preserve">наличие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Индекс нагрузки – от не менее 91 (615</w:t>
            </w:r>
            <w:r>
              <w:rPr>
                <w:rFonts w:ascii="Times New Roman" w:hAnsi="Times New Roman"/>
                <w:color w:val="000000"/>
              </w:rPr>
              <w:t xml:space="preserve"> кг</w:t>
            </w:r>
            <w:r>
              <w:rPr>
                <w:rFonts w:ascii="Times New Roman" w:hAnsi="Times New Roman"/>
                <w:color w:val="000000"/>
              </w:rPr>
              <w:t xml:space="preserve">)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Индекс скорости </w:t>
            </w:r>
            <w:r>
              <w:rPr>
                <w:rFonts w:ascii="Times New Roman" w:hAnsi="Times New Roman"/>
                <w:color w:val="000000"/>
              </w:rPr>
              <w:t xml:space="preserve">–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T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</w:rPr>
              <w:t xml:space="preserve">190 км/ч);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Способ герметизации –бескамерное;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*Назначение: для легкового автомобиля;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Шины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Cordiant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22.11.11.000-О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подп. "к", "л" п. 10 - При осуществлении закупки по Закону № 223-ФЗ, если извещение размещено либо договор с ед. поставщиком заключен до 1 июля 2025 г. Применяется ограничение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Ширина </w:t>
            </w:r>
            <w:r>
              <w:rPr>
                <w:rFonts w:ascii="Times New Roman" w:hAnsi="Times New Roman"/>
                <w:color w:val="000000"/>
              </w:rPr>
              <w:t xml:space="preserve">шины –215/60</w:t>
            </w:r>
            <w:r>
              <w:rPr>
                <w:rFonts w:ascii="Times New Roman" w:hAnsi="Times New Roman"/>
                <w:color w:val="000000"/>
              </w:rPr>
              <w:t xml:space="preserve"> мм;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Профиль (высота шины в процентах от ширины –</w:t>
            </w:r>
            <w:r>
              <w:rPr>
                <w:rFonts w:ascii="Times New Roman" w:hAnsi="Times New Roman"/>
                <w:color w:val="000000"/>
              </w:rPr>
              <w:t xml:space="preserve"> не менее</w:t>
            </w:r>
            <w:r>
              <w:rPr>
                <w:rFonts w:ascii="Times New Roman" w:hAnsi="Times New Roman"/>
                <w:color w:val="000000"/>
              </w:rPr>
              <w:t xml:space="preserve"> 129 мм;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Конструкция шины R (радиальная);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Диаметр шины –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</w:rPr>
              <w:t xml:space="preserve">16 дюймов;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Шипы –</w:t>
            </w:r>
            <w:r>
              <w:rPr>
                <w:rFonts w:ascii="Times New Roman" w:hAnsi="Times New Roman"/>
                <w:color w:val="000000"/>
              </w:rPr>
              <w:t xml:space="preserve">отсутствие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Индекс нагрузки – от не менее 91 (615</w:t>
            </w:r>
            <w:r>
              <w:rPr>
                <w:rFonts w:ascii="Times New Roman" w:hAnsi="Times New Roman"/>
                <w:color w:val="000000"/>
              </w:rPr>
              <w:t xml:space="preserve"> кг</w:t>
            </w:r>
            <w:r>
              <w:rPr>
                <w:rFonts w:ascii="Times New Roman" w:hAnsi="Times New Roman"/>
                <w:color w:val="000000"/>
              </w:rPr>
              <w:t xml:space="preserve">)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Индекс скорости –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T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</w:rPr>
              <w:t xml:space="preserve">190 км/ч);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Способ герметизации –бескамерное;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*Назначение: для легкового автомобиля;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Шины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Cordiant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Road Runner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22.11.11.000-О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подп. "к", "л" п. 10 - При осуществлении закупки по Закону № 223-ФЗ, если извещение размещено либо договор с ед. поставщиком заключен до 1 июля 2025 г. Применяется ограничение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Ширина шины –175</w:t>
            </w:r>
            <w:r>
              <w:rPr>
                <w:rFonts w:ascii="Times New Roman" w:hAnsi="Times New Roman"/>
                <w:color w:val="000000"/>
              </w:rPr>
              <w:t xml:space="preserve">/70</w:t>
            </w:r>
            <w:r>
              <w:rPr>
                <w:rFonts w:ascii="Times New Roman" w:hAnsi="Times New Roman"/>
                <w:color w:val="000000"/>
              </w:rPr>
              <w:t xml:space="preserve"> мм;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Профиль (высота шины в процентах от ширины –</w:t>
            </w:r>
            <w:r>
              <w:rPr>
                <w:rFonts w:ascii="Times New Roman" w:hAnsi="Times New Roman"/>
                <w:color w:val="000000"/>
              </w:rPr>
              <w:t xml:space="preserve"> не менее</w:t>
            </w:r>
            <w:r>
              <w:rPr>
                <w:rFonts w:ascii="Times New Roman" w:hAnsi="Times New Roman"/>
                <w:color w:val="000000"/>
              </w:rPr>
              <w:t xml:space="preserve"> 122,5 мм;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Конструкция шины R (ради</w:t>
            </w:r>
            <w:r>
              <w:rPr>
                <w:rFonts w:ascii="Times New Roman" w:hAnsi="Times New Roman"/>
                <w:color w:val="000000"/>
              </w:rPr>
              <w:t xml:space="preserve">альная);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Диаметр шины –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</w:rPr>
              <w:t xml:space="preserve">13 дюймов;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Шипы – </w:t>
            </w:r>
            <w:r>
              <w:rPr>
                <w:rFonts w:ascii="Times New Roman" w:hAnsi="Times New Roman"/>
                <w:color w:val="000000"/>
              </w:rPr>
              <w:t xml:space="preserve">отсутствие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Индекс нагрузки –</w:t>
            </w:r>
            <w:r>
              <w:rPr>
                <w:rFonts w:ascii="Times New Roman" w:hAnsi="Times New Roman"/>
                <w:color w:val="000000"/>
              </w:rPr>
              <w:t xml:space="preserve"> не менее 82Н (475</w:t>
            </w:r>
            <w:r>
              <w:rPr>
                <w:rFonts w:ascii="Times New Roman" w:hAnsi="Times New Roman"/>
                <w:color w:val="000000"/>
              </w:rPr>
              <w:t xml:space="preserve"> кг</w:t>
            </w:r>
            <w:r>
              <w:rPr>
                <w:rFonts w:ascii="Times New Roman" w:hAnsi="Times New Roman"/>
                <w:color w:val="000000"/>
              </w:rPr>
              <w:t xml:space="preserve">)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Индекс скорости –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T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</w:rPr>
              <w:t xml:space="preserve">190 км/ч);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Способ герметизации –бескамерное;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*Назначение: для легкового автомобиля;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*Тип протектора – шоссейный.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Шины  </w:t>
            </w:r>
            <w:r>
              <w:rPr>
                <w:rFonts w:ascii="Times New Roman" w:hAnsi="Times New Roman"/>
                <w:color w:val="00000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Cordiant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Road Runner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22.11.11.000-О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подп. "к", "л" п. 10 - При осуществлении закупки по Закону № 223-ФЗ, если извещение размещено либо договор с ед. </w:t>
            </w:r>
            <w:r>
              <w:rPr>
                <w:rFonts w:ascii="Times New Roman" w:hAnsi="Times New Roman"/>
                <w:color w:val="000000"/>
              </w:rPr>
              <w:t xml:space="preserve">поставщиком заключен до 1 июля 2025 г. Применяется ограничение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Ширина шины –195</w:t>
            </w:r>
            <w:r>
              <w:rPr>
                <w:rFonts w:ascii="Times New Roman" w:hAnsi="Times New Roman"/>
                <w:color w:val="000000"/>
              </w:rPr>
              <w:t xml:space="preserve">/65</w:t>
            </w:r>
            <w:r>
              <w:rPr>
                <w:rFonts w:ascii="Times New Roman" w:hAnsi="Times New Roman"/>
                <w:color w:val="000000"/>
              </w:rPr>
              <w:t xml:space="preserve"> мм;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Профиль (высота шины в процентах от ширины –</w:t>
            </w:r>
            <w:r>
              <w:rPr>
                <w:rFonts w:ascii="Times New Roman" w:hAnsi="Times New Roman"/>
                <w:color w:val="000000"/>
              </w:rPr>
              <w:t xml:space="preserve"> не менее</w:t>
            </w:r>
            <w:r>
              <w:rPr>
                <w:rFonts w:ascii="Times New Roman" w:hAnsi="Times New Roman"/>
                <w:color w:val="000000"/>
              </w:rPr>
              <w:t xml:space="preserve"> 126,75 мм;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Конструкция шины R (радиальная);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Диаметр шины – </w:t>
            </w:r>
            <w:r>
              <w:rPr>
                <w:rFonts w:ascii="Times New Roman" w:hAnsi="Times New Roman"/>
                <w:color w:val="000000"/>
              </w:rPr>
              <w:t xml:space="preserve">не менее 15</w:t>
            </w:r>
            <w:r>
              <w:rPr>
                <w:rFonts w:ascii="Times New Roman" w:hAnsi="Times New Roman"/>
                <w:color w:val="000000"/>
              </w:rPr>
              <w:t xml:space="preserve"> дюймов;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Шипы – </w:t>
            </w:r>
            <w:r>
              <w:rPr>
                <w:rFonts w:ascii="Times New Roman" w:hAnsi="Times New Roman"/>
                <w:color w:val="000000"/>
              </w:rPr>
              <w:t xml:space="preserve">наличие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Индекс нагрузки –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</w:rPr>
              <w:t xml:space="preserve">91</w:t>
            </w:r>
            <w:r>
              <w:rPr>
                <w:rFonts w:ascii="Times New Roman" w:hAnsi="Times New Roman"/>
                <w:color w:val="000000"/>
              </w:rPr>
              <w:t xml:space="preserve">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</w:t>
            </w:r>
            <w:r>
              <w:rPr>
                <w:rFonts w:ascii="Times New Roman" w:hAnsi="Times New Roman"/>
                <w:color w:val="000000"/>
              </w:rPr>
              <w:t xml:space="preserve">615 кг</w:t>
            </w:r>
            <w:r>
              <w:rPr>
                <w:rFonts w:ascii="Times New Roman" w:hAnsi="Times New Roman"/>
                <w:color w:val="000000"/>
              </w:rPr>
              <w:t xml:space="preserve">)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</w:t>
            </w:r>
            <w:r>
              <w:rPr>
                <w:rFonts w:ascii="Times New Roman" w:hAnsi="Times New Roman"/>
                <w:color w:val="000000"/>
              </w:rPr>
              <w:t xml:space="preserve">Индекс скорости –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T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</w:rPr>
              <w:t xml:space="preserve">190 км/ч);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 Способ герметизации –бескамерное;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*Назначение: для легкового автомобиля;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Шины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ordiant business cw2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22.11.11.000-О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подп. "к", "л" п. 10 - При осуществлении закупки по Закону № 223-ФЗ, если извещение размещено либо договор с ед. поставщиком заключен до 1 июля 2025 г. Применяется ограничение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Ширина шины –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/75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мм;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Профиль (высота шины в процентах от ширины –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138,75 мм;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Конструкция шины R (радиальная);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Диаметр шины –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дюймов;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Шипы – </w:t>
            </w:r>
            <w:r>
              <w:rPr>
                <w:rFonts w:ascii="Times New Roman" w:hAnsi="Times New Roman"/>
                <w:color w:val="000000"/>
              </w:rPr>
              <w:t xml:space="preserve">отсутствие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Индекс нагрузки –</w:t>
            </w:r>
            <w:r>
              <w:rPr>
                <w:rFonts w:ascii="Times New Roman" w:hAnsi="Times New Roman"/>
                <w:color w:val="000000"/>
              </w:rPr>
              <w:t xml:space="preserve">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 (900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Индекс скорости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 км/ч);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Способ герметизации –бескамерное;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*Назначение: для легкового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(грузового)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автомобиля;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-567"/>
        <w:jc w:val="both"/>
        <w:spacing w:after="0" w:line="240" w:lineRule="auto"/>
        <w:widowControl w:val="off"/>
        <w:rPr>
          <w:rFonts w:ascii="Times New Roman" w:hAnsi="Times New Roman" w:eastAsia="Liberation Serif" w:cs="Times New Roman"/>
          <w:i/>
          <w:iCs/>
          <w:lang w:eastAsia="ru-RU"/>
        </w:rPr>
      </w:pPr>
      <w:r>
        <w:rPr>
          <w:rFonts w:ascii="Times New Roman" w:hAnsi="Times New Roman" w:eastAsia="Liberation Serif" w:cs="Times New Roman"/>
          <w:i/>
          <w:iCs/>
          <w:lang w:eastAsia="ru-RU"/>
        </w:rPr>
        <w:t xml:space="preserve">При осуществлении закупок на вышеуказанные товары распространяются меры национального режима в виде «</w:t>
      </w:r>
      <w:r>
        <w:rPr>
          <w:rFonts w:ascii="Times New Roman" w:hAnsi="Times New Roman" w:eastAsia="Liberation Serif" w:cs="Times New Roman"/>
          <w:i/>
          <w:iCs/>
          <w:lang w:eastAsia="ru-RU"/>
        </w:rPr>
        <w:t xml:space="preserve">ограничения</w:t>
      </w:r>
      <w:r>
        <w:rPr>
          <w:rFonts w:ascii="Times New Roman" w:hAnsi="Times New Roman" w:eastAsia="Liberation Serif" w:cs="Times New Roman"/>
          <w:i/>
          <w:iCs/>
          <w:lang w:eastAsia="ru-RU"/>
        </w:rPr>
        <w:t xml:space="preserve">» допуска согласно Постановлению Правительства Российско</w:t>
      </w:r>
      <w:r>
        <w:rPr>
          <w:rFonts w:ascii="Times New Roman" w:hAnsi="Times New Roman" w:eastAsia="Liberation Serif" w:cs="Times New Roman"/>
          <w:i/>
          <w:iCs/>
          <w:lang w:eastAsia="ru-RU"/>
        </w:rPr>
        <w:t xml:space="preserve">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  <w:r>
        <w:rPr>
          <w:rFonts w:ascii="Times New Roman" w:hAnsi="Times New Roman" w:eastAsia="Liberation Serif" w:cs="Times New Roman"/>
          <w:i/>
          <w:iCs/>
          <w:lang w:eastAsia="ru-RU"/>
        </w:rPr>
      </w:r>
    </w:p>
    <w:p>
      <w:pPr>
        <w:ind w:left="-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 w:eastAsia="Liberation Serif" w:cs="Times New Roman"/>
          <w:i/>
          <w:iCs/>
          <w:lang w:eastAsia="ru-RU"/>
        </w:rPr>
        <w:t xml:space="preserve">В случае, если в документации (в каком-либо документе, входящем в состав документации, прикрепленном отдельным файлом к документации) имеются указания на знаки обслуживания, фирменные и торговые наименования, патенты, полезные м</w:t>
      </w:r>
      <w:r>
        <w:rPr>
          <w:rFonts w:ascii="Times New Roman" w:hAnsi="Times New Roman" w:eastAsia="Liberation Serif" w:cs="Times New Roman"/>
          <w:i/>
          <w:iCs/>
          <w:lang w:eastAsia="ru-RU"/>
        </w:rPr>
        <w:t xml:space="preserve">одели, промышленные образцы, указания на товарный знак, наименование места происхождения товара или наименование производителя, то такие указания следует читать «знаки обслуживания или эквивалент», «фирменные наименования или эквивалент», «торговые наимено</w:t>
      </w:r>
      <w:r>
        <w:rPr>
          <w:rFonts w:ascii="Times New Roman" w:hAnsi="Times New Roman" w:eastAsia="Liberation Serif" w:cs="Times New Roman"/>
          <w:i/>
          <w:iCs/>
          <w:lang w:eastAsia="ru-RU"/>
        </w:rPr>
        <w:t xml:space="preserve">вания или эквивалент», «патенты или эквивалент», «полезные модели или эквивалент», «промышленные образцы или эквивалент», «товарный знак или эквивалент», «наименование места происхождения товара или эквивалент», «наименование производителя или эквивалент».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</w:r>
    </w:p>
    <w:p>
      <w:pPr>
        <w:ind w:left="-567"/>
        <w:jc w:val="both"/>
        <w:spacing w:after="0" w:line="276" w:lineRule="auto"/>
        <w:rPr>
          <w:rFonts w:ascii="Times New Roman" w:hAnsi="Times New Roman" w:cs="Times New Roman"/>
          <w:bCs/>
          <w:highlight w:val="yellow"/>
          <w:shd w:val="clear" w:color="auto" w:fill="f9fafb"/>
        </w:rPr>
      </w:pPr>
      <w:r>
        <w:rPr>
          <w:rFonts w:ascii="Times New Roman" w:hAnsi="Times New Roman" w:cs="Times New Roman"/>
          <w:b/>
          <w:shd w:val="clear" w:color="auto" w:fill="f9fafb"/>
        </w:rPr>
        <w:t xml:space="preserve">2</w:t>
      </w:r>
      <w:r>
        <w:rPr>
          <w:rFonts w:ascii="Times New Roman" w:hAnsi="Times New Roman" w:cs="Times New Roman"/>
          <w:b/>
          <w:highlight w:val="yellow"/>
          <w:shd w:val="clear" w:color="auto" w:fill="f9fafb"/>
        </w:rPr>
        <w:t xml:space="preserve">. Место поставки:</w:t>
      </w:r>
      <w:r>
        <w:rPr>
          <w:rFonts w:ascii="Times New Roman" w:hAnsi="Times New Roman" w:cs="Times New Roman"/>
          <w:bCs/>
          <w:highlight w:val="yellow"/>
          <w:shd w:val="clear" w:color="auto" w:fill="f9fafb"/>
        </w:rPr>
        <w:t xml:space="preserve"> 620024, Россия, Свердловская обл., г. Екатеринбург, пер. </w:t>
      </w:r>
      <w:r>
        <w:rPr>
          <w:rFonts w:ascii="Times New Roman" w:hAnsi="Times New Roman" w:cs="Times New Roman"/>
          <w:bCs/>
          <w:highlight w:val="yellow"/>
          <w:shd w:val="clear" w:color="auto" w:fill="f9fafb"/>
        </w:rPr>
        <w:t xml:space="preserve">Саранинский</w:t>
      </w:r>
      <w:r>
        <w:rPr>
          <w:rFonts w:ascii="Times New Roman" w:hAnsi="Times New Roman" w:cs="Times New Roman"/>
          <w:bCs/>
          <w:highlight w:val="yellow"/>
          <w:shd w:val="clear" w:color="auto" w:fill="f9fafb"/>
        </w:rPr>
        <w:t xml:space="preserve">, 6</w:t>
      </w:r>
      <w:r>
        <w:rPr>
          <w:rFonts w:ascii="Times New Roman" w:hAnsi="Times New Roman" w:cs="Times New Roman"/>
          <w:bCs/>
          <w:highlight w:val="yellow"/>
          <w:shd w:val="clear" w:color="auto" w:fill="f9fafb"/>
        </w:rPr>
      </w:r>
    </w:p>
    <w:p>
      <w:pPr>
        <w:ind w:left="-567"/>
        <w:jc w:val="both"/>
        <w:spacing w:after="0" w:line="276" w:lineRule="auto"/>
        <w:rPr>
          <w:rFonts w:ascii="Times New Roman" w:hAnsi="Times New Roman" w:cs="Times New Roman"/>
          <w:b/>
          <w:shd w:val="clear" w:color="auto" w:fill="f9fafb"/>
        </w:rPr>
      </w:pPr>
      <w:r>
        <w:rPr>
          <w:rFonts w:ascii="Times New Roman" w:hAnsi="Times New Roman" w:cs="Times New Roman"/>
          <w:b/>
          <w:shd w:val="clear" w:color="auto" w:fill="f9fafb"/>
        </w:rPr>
        <w:t xml:space="preserve">3. </w:t>
      </w:r>
      <w:r>
        <w:rPr>
          <w:rFonts w:ascii="Times New Roman" w:hAnsi="Times New Roman" w:cs="Times New Roman"/>
          <w:b/>
          <w:highlight w:val="yellow"/>
          <w:shd w:val="clear" w:color="auto" w:fill="f9fafb"/>
        </w:rPr>
        <w:t xml:space="preserve">Срок поставки: </w:t>
      </w:r>
      <w:r>
        <w:rPr>
          <w:rFonts w:ascii="Times New Roman" w:hAnsi="Times New Roman" w:cs="Times New Roman"/>
          <w:bCs/>
          <w:highlight w:val="yellow"/>
          <w:shd w:val="clear" w:color="auto" w:fill="f9fafb"/>
        </w:rPr>
        <w:t xml:space="preserve">одной партией, в течение 5 (пяти) рабочих дней с момента заключения контракта.</w:t>
      </w:r>
      <w:r>
        <w:rPr>
          <w:rFonts w:ascii="Times New Roman" w:hAnsi="Times New Roman" w:cs="Times New Roman"/>
          <w:b/>
          <w:shd w:val="clear" w:color="auto" w:fill="f9fafb"/>
        </w:rPr>
        <w:t xml:space="preserve"> </w:t>
      </w:r>
      <w:r>
        <w:rPr>
          <w:rFonts w:ascii="Times New Roman" w:hAnsi="Times New Roman" w:cs="Times New Roman"/>
          <w:b/>
          <w:shd w:val="clear" w:color="auto" w:fill="f9fafb"/>
        </w:rPr>
      </w:r>
    </w:p>
    <w:p>
      <w:pPr>
        <w:ind w:left="-567"/>
        <w:jc w:val="both"/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hd w:val="clear" w:color="auto" w:fill="f9fafb"/>
        </w:rPr>
        <w:t xml:space="preserve">4. Требования к</w:t>
      </w:r>
      <w:r>
        <w:rPr>
          <w:rFonts w:ascii="Times New Roman" w:hAnsi="Times New Roman" w:cs="Times New Roman"/>
          <w:b/>
        </w:rPr>
        <w:t xml:space="preserve"> качеству, безопасности товара: </w:t>
      </w:r>
      <w:r>
        <w:rPr>
          <w:rFonts w:ascii="Times New Roman" w:hAnsi="Times New Roman" w:cs="Times New Roman"/>
          <w:b/>
        </w:rPr>
      </w:r>
    </w:p>
    <w:p>
      <w:pPr>
        <w:ind w:left="-567"/>
        <w:jc w:val="both"/>
        <w:spacing w:after="0" w:line="276" w:lineRule="auto"/>
        <w:rPr>
          <w:rFonts w:ascii="Times New Roman" w:hAnsi="Times New Roman" w:eastAsia="DejaVu Sans" w:cs="Times New Roman"/>
          <w:b/>
          <w:lang w:eastAsia="zh-CN"/>
        </w:rPr>
      </w:pPr>
      <w:r>
        <w:rPr>
          <w:rFonts w:ascii="Times New Roman" w:hAnsi="Times New Roman" w:eastAsia="NSimSu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  <w:r>
        <w:rPr>
          <w:rFonts w:ascii="Times New Roman" w:hAnsi="Times New Roman" w:eastAsia="DejaVu Sans" w:cs="Times New Roman"/>
          <w:b/>
          <w:lang w:eastAsia="zh-CN"/>
        </w:rPr>
      </w:r>
    </w:p>
    <w:p>
      <w:pPr>
        <w:ind w:left="-567" w:right="57"/>
        <w:jc w:val="both"/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eastAsia="NSimSu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>
        <w:rPr>
          <w:rFonts w:ascii="Times New Roman" w:hAnsi="Times New Roman" w:eastAsia="NSimSun" w:cs="Times New Roman"/>
          <w:spacing w:val="-1"/>
        </w:rPr>
        <w:t xml:space="preserve">иметь торговую </w:t>
      </w:r>
      <w:r>
        <w:rPr>
          <w:rFonts w:ascii="Times New Roman" w:hAnsi="Times New Roman" w:eastAsia="NSimSun" w:cs="Times New Roman"/>
        </w:rPr>
        <w:t xml:space="preserve">марку и товарный знак, качество пос</w:t>
      </w:r>
      <w:r>
        <w:rPr>
          <w:rFonts w:ascii="Times New Roman" w:hAnsi="Times New Roman" w:eastAsia="NSimSun" w:cs="Times New Roman"/>
        </w:rPr>
        <w:t xml:space="preserve">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  <w:r>
        <w:rPr>
          <w:rFonts w:ascii="Times New Roman" w:hAnsi="Times New Roman" w:cs="Times New Roman"/>
          <w:b/>
        </w:rPr>
      </w:r>
    </w:p>
    <w:p>
      <w:pPr>
        <w:ind w:left="-567"/>
        <w:jc w:val="both"/>
        <w:spacing w:after="0" w:line="276" w:lineRule="auto"/>
        <w:rPr>
          <w:rFonts w:ascii="Times New Roman" w:hAnsi="Times New Roman" w:eastAsia="NSimSun" w:cs="Times New Roman"/>
          <w:b/>
        </w:rPr>
      </w:pPr>
      <w:r>
        <w:rPr>
          <w:rFonts w:ascii="Times New Roman" w:hAnsi="Times New Roman" w:eastAsia="NSimSun" w:cs="Times New Roman"/>
        </w:rPr>
        <w:t xml:space="preserve"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  <w:r>
        <w:rPr>
          <w:rFonts w:ascii="Times New Roman" w:hAnsi="Times New Roman" w:eastAsia="NSimSun" w:cs="Times New Roman"/>
          <w:b/>
        </w:rPr>
      </w:r>
    </w:p>
    <w:p>
      <w:pPr>
        <w:ind w:left="-567"/>
        <w:jc w:val="both"/>
        <w:spacing w:after="0" w:line="276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DejaVu Sans" w:cs="Times New Roman"/>
          <w:b/>
        </w:rPr>
      </w:pPr>
      <w:r>
        <w:rPr>
          <w:rFonts w:ascii="Times New Roman" w:hAnsi="Times New Roman" w:eastAsia="NSimSun" w:cs="Times New Roman"/>
        </w:rPr>
        <w:t xml:space="preserve">4.4. На товаре не должно быть следов механических повреждений, изменений вида комплектующих;</w:t>
      </w:r>
      <w:r>
        <w:rPr>
          <w:rFonts w:ascii="Times New Roman" w:hAnsi="Times New Roman" w:eastAsia="DejaVu Sans" w:cs="Times New Roman"/>
          <w:b/>
        </w:rPr>
      </w:r>
    </w:p>
    <w:p>
      <w:pPr>
        <w:ind w:left="-567"/>
        <w:jc w:val="both"/>
        <w:spacing w:after="0" w:line="276" w:lineRule="auto"/>
        <w:rPr>
          <w:rFonts w:ascii="Times New Roman" w:hAnsi="Times New Roman" w:eastAsia="DejaVu Sans" w:cs="Times New Roman"/>
          <w:b/>
        </w:rPr>
      </w:pPr>
      <w:r>
        <w:rPr>
          <w:rFonts w:ascii="Times New Roman" w:hAnsi="Times New Roman" w:eastAsia="NSimSun" w:cs="Times New Roman"/>
        </w:rPr>
        <w:t xml:space="preserve"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  <w:r>
        <w:rPr>
          <w:rFonts w:ascii="Times New Roman" w:hAnsi="Times New Roman" w:eastAsia="DejaVu Sans" w:cs="Times New Roman"/>
          <w:b/>
        </w:rPr>
      </w:r>
    </w:p>
    <w:p>
      <w:pPr>
        <w:ind w:left="-567"/>
        <w:jc w:val="both"/>
        <w:spacing w:after="0" w:line="276" w:lineRule="auto"/>
        <w:rPr>
          <w:rFonts w:ascii="Times New Roman" w:hAnsi="Times New Roman" w:eastAsia="NSimSun" w:cs="Times New Roman"/>
          <w:b/>
        </w:rPr>
      </w:pPr>
      <w:r>
        <w:rPr>
          <w:rFonts w:ascii="Times New Roman" w:hAnsi="Times New Roman" w:eastAsia="NSimSun" w:cs="Times New Roman"/>
        </w:rPr>
        <w:t xml:space="preserve"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  <w:r>
        <w:rPr>
          <w:rFonts w:ascii="Times New Roman" w:hAnsi="Times New Roman" w:eastAsia="NSimSun" w:cs="Times New Roman"/>
          <w:b/>
        </w:rPr>
      </w:r>
    </w:p>
    <w:p>
      <w:pPr>
        <w:ind w:left="-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</w:t>
      </w:r>
      <w:r>
        <w:rPr>
          <w:rFonts w:ascii="Times New Roman" w:hAnsi="Times New Roman" w:cs="Times New Roman"/>
        </w:rPr>
        <w:t xml:space="preserve">(производителем). В течение гарантийного срока обнаруженные недостатки товара подлежат устранению силами и средствами Поставщика;</w:t>
      </w:r>
      <w:r>
        <w:rPr>
          <w:rFonts w:ascii="Times New Roman" w:hAnsi="Times New Roman" w:cs="Times New Roman"/>
        </w:rPr>
      </w:r>
    </w:p>
    <w:p>
      <w:pPr>
        <w:ind w:left="-567"/>
        <w:jc w:val="both"/>
        <w:spacing w:after="0" w:line="276" w:lineRule="auto"/>
        <w:rPr>
          <w:rFonts w:ascii="Times New Roman" w:hAnsi="Times New Roman" w:eastAsia="DejaVu Sans" w:cs="Times New Roman"/>
          <w:b/>
        </w:rPr>
      </w:pPr>
      <w:r>
        <w:rPr>
          <w:rFonts w:ascii="Times New Roman" w:hAnsi="Times New Roman" w:cs="Times New Roman"/>
        </w:rPr>
        <w:t xml:space="preserve">4.8. Поставляемые Товары должны быть совместимы между собой и обеспечивать совместное бесперебойное функционирование.</w:t>
      </w:r>
      <w:r>
        <w:rPr>
          <w:rFonts w:ascii="Times New Roman" w:hAnsi="Times New Roman" w:eastAsia="DejaVu Sans" w:cs="Times New Roman"/>
          <w:b/>
        </w:rPr>
      </w:r>
    </w:p>
    <w:p>
      <w:pPr>
        <w:ind w:left="-567"/>
        <w:jc w:val="both"/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Требования к упаковке, маркировке товара:</w:t>
      </w:r>
      <w:r>
        <w:rPr>
          <w:rFonts w:ascii="Times New Roman" w:hAnsi="Times New Roman" w:cs="Times New Roman"/>
          <w:b/>
        </w:rPr>
      </w:r>
    </w:p>
    <w:p>
      <w:pPr>
        <w:ind w:left="-567" w:right="57"/>
        <w:jc w:val="both"/>
        <w:spacing w:after="0" w:line="276" w:lineRule="auto"/>
        <w:tabs>
          <w:tab w:val="left" w:pos="0" w:leader="none"/>
        </w:tabs>
        <w:rPr>
          <w:rFonts w:ascii="Times New Roman" w:hAnsi="Times New Roman" w:eastAsia="DejaVu Sans" w:cs="Times New Roman"/>
          <w:b/>
          <w:lang w:eastAsia="zh-CN"/>
        </w:rPr>
      </w:pPr>
      <w:r>
        <w:rPr>
          <w:rFonts w:ascii="Times New Roman" w:hAnsi="Times New Roman" w:eastAsia="NSimSun" w:cs="Times New Roman"/>
        </w:rPr>
        <w:t xml:space="preserve">5.1. Товар поставляе</w:t>
      </w:r>
      <w:r>
        <w:rPr>
          <w:rFonts w:ascii="Times New Roman" w:hAnsi="Times New Roman" w:eastAsia="NSimSun" w:cs="Times New Roman"/>
        </w:rPr>
        <w:t xml:space="preserve">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  <w:r>
        <w:rPr>
          <w:rFonts w:ascii="Times New Roman" w:hAnsi="Times New Roman" w:eastAsia="DejaVu Sans" w:cs="Times New Roman"/>
          <w:b/>
          <w:lang w:eastAsia="zh-CN"/>
        </w:rPr>
      </w:r>
    </w:p>
    <w:p>
      <w:pPr>
        <w:ind w:left="-567"/>
        <w:jc w:val="both"/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eastAsia="NSimSun" w:cs="Times New Roman"/>
        </w:rPr>
        <w:t xml:space="preserve">5.2. </w:t>
      </w:r>
      <w:r>
        <w:rPr>
          <w:rFonts w:ascii="Times New Roman" w:hAnsi="Times New Roman" w:eastAsia="NSimSun" w:cs="Times New Roman"/>
        </w:rPr>
        <w:t xml:space="preserve">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  <w:r>
        <w:rPr>
          <w:rFonts w:ascii="Times New Roman" w:hAnsi="Times New Roman" w:cs="Times New Roman"/>
          <w:b/>
        </w:rPr>
      </w:r>
    </w:p>
    <w:p>
      <w:pPr>
        <w:ind w:left="-567"/>
        <w:jc w:val="both"/>
        <w:spacing w:after="0" w:line="276" w:lineRule="auto"/>
        <w:rPr>
          <w:rFonts w:ascii="Times New Roman" w:hAnsi="Times New Roman" w:eastAsia="NSimSun" w:cs="Times New Roman"/>
        </w:rPr>
      </w:pPr>
      <w:r>
        <w:rPr>
          <w:rFonts w:ascii="Times New Roman" w:hAnsi="Times New Roman" w:eastAsia="NSimSun" w:cs="Times New Roman"/>
        </w:rPr>
        <w:t xml:space="preserve"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  <w:r>
        <w:rPr>
          <w:rFonts w:ascii="Times New Roman" w:hAnsi="Times New Roman" w:eastAsia="NSimSun" w:cs="Times New Roman"/>
        </w:rPr>
      </w:r>
    </w:p>
    <w:p>
      <w:pPr>
        <w:ind w:left="-567"/>
        <w:jc w:val="both"/>
        <w:spacing w:after="0" w:line="276" w:lineRule="auto"/>
        <w:rPr>
          <w:rFonts w:ascii="Times New Roman" w:hAnsi="Times New Roman" w:eastAsia="NSimSun" w:cs="Times New Roman"/>
        </w:rPr>
      </w:pPr>
      <w:r>
        <w:rPr>
          <w:rFonts w:ascii="Times New Roman" w:hAnsi="Times New Roman" w:eastAsia="NSimSun" w:cs="Times New Roman"/>
        </w:rPr>
        <w:t xml:space="preserve">5.4. Поставщик несет ответственность за ненадлежащую упаковку, не обеспечивающую сохранность товара при его хранении и транспортировании;</w:t>
      </w:r>
      <w:r>
        <w:rPr>
          <w:rFonts w:ascii="Times New Roman" w:hAnsi="Times New Roman" w:eastAsia="NSimSun" w:cs="Times New Roman"/>
        </w:rPr>
      </w:r>
    </w:p>
    <w:p>
      <w:pPr>
        <w:ind w:left="-567"/>
        <w:jc w:val="both"/>
        <w:spacing w:after="0" w:line="276" w:lineRule="auto"/>
        <w:rPr>
          <w:rFonts w:ascii="Times New Roman" w:hAnsi="Times New Roman" w:eastAsia="NSimSun" w:cs="Times New Roman"/>
        </w:rPr>
      </w:pPr>
      <w:r>
        <w:rPr>
          <w:rFonts w:ascii="Times New Roman" w:hAnsi="Times New Roman" w:eastAsia="NSimSun" w:cs="Times New Roman"/>
        </w:rPr>
        <w:t xml:space="preserve">5.5. Упаковка и маркировка товара должна соответствовать требованиям ГОСТ, и</w:t>
      </w:r>
      <w:r>
        <w:rPr>
          <w:rFonts w:ascii="Times New Roman" w:hAnsi="Times New Roman" w:eastAsia="NSimSun" w:cs="Times New Roman"/>
        </w:rPr>
        <w:t xml:space="preserve">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  <w:r>
        <w:rPr>
          <w:rFonts w:ascii="Times New Roman" w:hAnsi="Times New Roman" w:eastAsia="NSimSun" w:cs="Times New Roman"/>
        </w:rPr>
      </w:r>
    </w:p>
    <w:p>
      <w:pPr>
        <w:ind w:left="-567"/>
        <w:jc w:val="both"/>
        <w:spacing w:after="0" w:line="276" w:lineRule="auto"/>
        <w:rPr>
          <w:rFonts w:ascii="Times New Roman" w:hAnsi="Times New Roman" w:eastAsia="NSimSun" w:cs="Times New Roman"/>
        </w:rPr>
      </w:pPr>
      <w:r>
        <w:rPr>
          <w:rFonts w:ascii="Times New Roman" w:hAnsi="Times New Roman" w:eastAsia="NSimSun" w:cs="Times New Roman"/>
        </w:rPr>
      </w:r>
      <w:r>
        <w:rPr>
          <w:rFonts w:ascii="Times New Roman" w:hAnsi="Times New Roman" w:eastAsia="NSimSu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567"/>
        <w:jc w:val="both"/>
        <w:spacing w:after="0" w:line="276" w:lineRule="auto"/>
        <w:rPr>
          <w:rFonts w:ascii="Times New Roman" w:hAnsi="Times New Roman" w:cs="Times New Roman"/>
          <w:bCs/>
          <w:shd w:val="clear" w:color="auto" w:fill="f9fafb"/>
        </w:rPr>
      </w:pPr>
      <w:r>
        <w:rPr>
          <w:rFonts w:ascii="Times New Roman" w:hAnsi="Times New Roman" w:cs="Times New Roman"/>
          <w:bCs/>
          <w:shd w:val="clear" w:color="auto" w:fill="f9fafb"/>
        </w:rPr>
      </w:r>
      <w:r>
        <w:rPr>
          <w:rFonts w:ascii="Times New Roman" w:hAnsi="Times New Roman" w:cs="Times New Roman"/>
          <w:bCs/>
          <w:shd w:val="clear" w:color="auto" w:fill="f9fafb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Liberation Serif">
    <w:panose1 w:val="02020603050405020304"/>
  </w:font>
  <w:font w:name="Times New Roman">
    <w:panose1 w:val="02020603050405020304"/>
  </w:font>
  <w:font w:name="NSimSun">
    <w:panose1 w:val="02020603020101020101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character" w:styleId="176">
    <w:name w:val="Footnote Text Char"/>
    <w:link w:val="814"/>
    <w:uiPriority w:val="99"/>
    <w:rPr>
      <w:sz w:val="18"/>
    </w:rPr>
  </w:style>
  <w:style w:type="character" w:styleId="179">
    <w:name w:val="Endnote Text Char"/>
    <w:link w:val="817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83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2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7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8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9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0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1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1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2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3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4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5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7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8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0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2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4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4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5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6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7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8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9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1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2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3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4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5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6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7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8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9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0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1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2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563c1" w:themeColor="hyperlink"/>
      <w:u w:val="single"/>
    </w:rPr>
  </w:style>
  <w:style w:type="paragraph" w:styleId="814">
    <w:name w:val="footnote text"/>
    <w:basedOn w:val="653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basedOn w:val="663"/>
    <w:uiPriority w:val="99"/>
    <w:unhideWhenUsed/>
    <w:rPr>
      <w:vertAlign w:val="superscript"/>
    </w:rPr>
  </w:style>
  <w:style w:type="paragraph" w:styleId="817">
    <w:name w:val="endnote text"/>
    <w:basedOn w:val="653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basedOn w:val="663"/>
    <w:uiPriority w:val="99"/>
    <w:semiHidden/>
    <w:unhideWhenUsed/>
    <w:rPr>
      <w:vertAlign w:val="superscript"/>
    </w:rPr>
  </w:style>
  <w:style w:type="paragraph" w:styleId="820">
    <w:name w:val="toc 1"/>
    <w:basedOn w:val="653"/>
    <w:next w:val="653"/>
    <w:uiPriority w:val="39"/>
    <w:unhideWhenUsed/>
    <w:pPr>
      <w:spacing w:after="57"/>
    </w:pPr>
  </w:style>
  <w:style w:type="paragraph" w:styleId="821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2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3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4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5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6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7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28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53"/>
    <w:next w:val="653"/>
    <w:uiPriority w:val="99"/>
    <w:unhideWhenUsed/>
    <w:pPr>
      <w:spacing w:after="0"/>
    </w:pPr>
  </w:style>
  <w:style w:type="table" w:styleId="831">
    <w:name w:val="Table Grid"/>
    <w:basedOn w:val="66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2" w:customStyle="1">
    <w:name w:val="Таблица-сетка 1 светлая1"/>
    <w:basedOn w:val="664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66666" w:themeColor="text1" w:themeTint="99" w:sz="2" w:space="0"/>
        </w:tcBorders>
      </w:tcPr>
    </w:tblStylePr>
  </w:style>
  <w:style w:type="table" w:styleId="833" w:customStyle="1">
    <w:name w:val="Таблица простая 51"/>
    <w:basedOn w:val="664"/>
    <w:uiPriority w:val="45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rFonts w:asciiTheme="majorHAnsi" w:hAnsiTheme="majorHAnsi" w:eastAsiaTheme="majorEastAsia" w:cstheme="majorBidi"/>
        <w:i/>
        <w:iCs/>
        <w:sz w:val="26"/>
      </w:rPr>
      <w:pPr>
        <w:jc w:val="right"/>
      </w:pPr>
      <w:tcPr>
        <w:shd w:val="clear" w:color="auto" w:fill="ffffff" w:themeFill="background1"/>
        <w:tcBorders>
          <w:right w:val="single" w:color="7F7F7F" w:themeColor="text1" w:themeTint="80" w:sz="4" w:space="0"/>
        </w:tcBorders>
      </w:tcPr>
    </w:tblStyle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bottom w:val="single" w:color="7F7F7F" w:themeColor="text1" w:themeTint="80" w:sz="4" w:space="0"/>
        </w:tcBorders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left w:val="single" w:color="7F7F7F" w:themeColor="text1" w:themeTint="80" w:sz="4" w:space="0"/>
        </w:tcBorders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top w:val="single" w:color="7F7F7F" w:themeColor="text1" w:themeTint="80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right w:val="none" w:color="000000" w:sz="4" w:space="0"/>
        </w:tcBorders>
      </w:tcPr>
    </w:tblStylePr>
    <w:tblStylePr w:type="seCell">
      <w:tcPr>
        <w:tcBorders>
          <w:left w:val="none" w:color="000000" w:sz="4" w:space="0"/>
        </w:tcBorders>
      </w:tcPr>
    </w:tblStylePr>
  </w:style>
  <w:style w:type="table" w:styleId="834" w:customStyle="1">
    <w:name w:val="Таблица простая 31"/>
    <w:basedOn w:val="664"/>
    <w:uiPriority w:val="43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  <w:caps/>
      </w:rPr>
      <w:tcPr>
        <w:tcBorders>
          <w:right w:val="single" w:color="7F7F7F" w:themeColor="text1" w:themeTint="80" w:sz="4" w:space="0"/>
        </w:tcBorders>
      </w:tcPr>
    </w:tblStylePr>
    <w:tblStylePr w:type="firstRow">
      <w:rPr>
        <w:b/>
        <w:bCs/>
        <w:caps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one" w:color="000000" w:sz="4" w:space="0"/>
        </w:tcBorders>
      </w:tcPr>
    </w:tblStylePr>
    <w:tblStylePr w:type="lastRow">
      <w:rPr>
        <w:b/>
        <w:bCs/>
        <w:caps/>
      </w:rPr>
      <w:tcPr>
        <w:tcBorders>
          <w:top w:val="none" w:color="000000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</w:style>
  <w:style w:type="character" w:styleId="835" w:customStyle="1">
    <w:name w:val="ds-text"/>
    <w:basedOn w:val="663"/>
  </w:style>
  <w:style w:type="character" w:styleId="836" w:customStyle="1">
    <w:name w:val="Заголовок 1 Знак"/>
    <w:basedOn w:val="663"/>
    <w:link w:val="65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Элина Ильгизовна</cp:lastModifiedBy>
  <cp:revision>15</cp:revision>
  <dcterms:created xsi:type="dcterms:W3CDTF">2025-04-03T11:16:00Z</dcterms:created>
  <dcterms:modified xsi:type="dcterms:W3CDTF">2025-04-11T12:53:45Z</dcterms:modified>
</cp:coreProperties>
</file>