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22"/>
          <w:szCs w:val="22"/>
        </w:rPr>
      </w:pPr>
      <w:r>
        <w:rPr>
          <w:sz w:val="22"/>
          <w:szCs w:val="22"/>
        </w:rPr>
        <w:t>ИЗВЕЩЕНИЕ</w:t>
      </w:r>
    </w:p>
    <w:p>
      <w:pPr>
        <w:pStyle w:val="Normal"/>
        <w:jc w:val="center"/>
        <w:rPr>
          <w:sz w:val="22"/>
          <w:szCs w:val="22"/>
        </w:rPr>
      </w:pPr>
      <w:r>
        <w:rPr>
          <w:sz w:val="22"/>
          <w:szCs w:val="22"/>
        </w:rPr>
        <w:t>О КОНКУРСЕ В ЭЛЕКТРОННОЙ ФОРМЕ</w:t>
      </w:r>
    </w:p>
    <w:p>
      <w:pPr>
        <w:pStyle w:val="Normal"/>
        <w:widowControl w:val="false"/>
        <w:tabs>
          <w:tab w:val="clear" w:pos="708"/>
          <w:tab w:val="left" w:pos="5442" w:leader="none"/>
        </w:tabs>
        <w:jc w:val="center"/>
        <w:rPr>
          <w:b/>
          <w:spacing w:val="1"/>
          <w:sz w:val="22"/>
          <w:szCs w:val="22"/>
        </w:rPr>
      </w:pPr>
      <w:r>
        <w:rPr>
          <w:b/>
          <w:spacing w:val="1"/>
          <w:sz w:val="22"/>
          <w:szCs w:val="22"/>
        </w:rPr>
      </w:r>
    </w:p>
    <w:tbl>
      <w:tblPr>
        <w:tblW w:w="5000" w:type="pct"/>
        <w:jc w:val="left"/>
        <w:tblInd w:w="-1139" w:type="dxa"/>
        <w:tblLayout w:type="fixed"/>
        <w:tblCellMar>
          <w:top w:w="0" w:type="dxa"/>
          <w:left w:w="108" w:type="dxa"/>
          <w:bottom w:w="0" w:type="dxa"/>
          <w:right w:w="108" w:type="dxa"/>
        </w:tblCellMar>
        <w:tblLook w:firstRow="1" w:noVBand="1" w:lastRow="0" w:firstColumn="1" w:lastColumn="0" w:noHBand="0" w:val="04a0"/>
      </w:tblPr>
      <w:tblGrid>
        <w:gridCol w:w="607"/>
        <w:gridCol w:w="2765"/>
        <w:gridCol w:w="6247"/>
        <w:gridCol w:w="17"/>
      </w:tblGrid>
      <w:tr>
        <w:trPr/>
        <w:tc>
          <w:tcPr>
            <w:tcW w:w="9636" w:type="dxa"/>
            <w:gridSpan w:val="4"/>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60"/>
              <w:jc w:val="center"/>
              <w:rPr>
                <w:sz w:val="22"/>
                <w:szCs w:val="22"/>
              </w:rPr>
            </w:pPr>
            <w:r>
              <w:rPr>
                <w:sz w:val="22"/>
                <w:szCs w:val="22"/>
              </w:rPr>
              <w:t>Извещение составлено в соответствии со ст. 4 ФЗ-223</w:t>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Способ осуществления закупки</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r>
          </w:p>
          <w:p>
            <w:pPr>
              <w:pStyle w:val="Normal"/>
              <w:widowControl w:val="false"/>
              <w:rPr>
                <w:b/>
                <w:bCs/>
                <w:sz w:val="22"/>
                <w:szCs w:val="22"/>
              </w:rPr>
            </w:pPr>
            <w:r>
              <w:rPr>
                <w:b/>
                <w:bCs/>
                <w:sz w:val="22"/>
                <w:szCs w:val="22"/>
              </w:rPr>
              <w:t>Конкурс в электронной форме.</w:t>
            </w:r>
          </w:p>
          <w:p>
            <w:pPr>
              <w:pStyle w:val="Normal"/>
              <w:widowControl w:val="false"/>
              <w:rPr>
                <w:sz w:val="22"/>
                <w:szCs w:val="22"/>
              </w:rPr>
            </w:pPr>
            <w:r>
              <w:rPr>
                <w:sz w:val="22"/>
                <w:szCs w:val="22"/>
              </w:rPr>
              <w:t>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2</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Наименование, место нахождения, почтовый адрес, адрес электронной почты, номер контактного телефона заказчика</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Наименование (полное): АО «Региональная сетевая компания», сокращенное наименование АО «РCК» 620017, Свердловская область, г. Екатеринбург, переулок Полимерный д. 4</w:t>
            </w:r>
          </w:p>
          <w:p>
            <w:pPr>
              <w:pStyle w:val="Normal"/>
              <w:widowControl w:val="false"/>
              <w:rPr>
                <w:sz w:val="22"/>
                <w:szCs w:val="22"/>
              </w:rPr>
            </w:pPr>
            <w:r>
              <w:rPr>
                <w:sz w:val="22"/>
                <w:szCs w:val="22"/>
              </w:rPr>
              <w:t>Почтовый адрес: 620017, Свердловская область, г. Екатеринбург, переулок Полимерный д. 4</w:t>
            </w:r>
          </w:p>
          <w:p>
            <w:pPr>
              <w:pStyle w:val="Normal"/>
              <w:widowControl w:val="false"/>
              <w:rPr>
                <w:sz w:val="22"/>
                <w:szCs w:val="22"/>
              </w:rPr>
            </w:pPr>
            <w:r>
              <w:rPr>
                <w:sz w:val="22"/>
                <w:szCs w:val="22"/>
                <w:u w:val="single"/>
              </w:rPr>
              <w:t>Контактное лицо</w:t>
            </w:r>
            <w:r>
              <w:rPr>
                <w:sz w:val="22"/>
                <w:szCs w:val="22"/>
              </w:rPr>
              <w:t>: ведущий специалист отдела закупок Мартинович Елена Зинуровна (343) 379-43-77 доб.: 1742</w:t>
            </w:r>
          </w:p>
          <w:p>
            <w:pPr>
              <w:pStyle w:val="Normal"/>
              <w:widowControl w:val="false"/>
              <w:rPr>
                <w:sz w:val="22"/>
                <w:szCs w:val="22"/>
              </w:rPr>
            </w:pPr>
            <w:r>
              <w:rPr>
                <w:sz w:val="22"/>
                <w:szCs w:val="22"/>
              </w:rPr>
              <w:t>Адрес электронной почты  e.martinovich@sv-rsk.ru</w:t>
            </w:r>
          </w:p>
          <w:p>
            <w:pPr>
              <w:pStyle w:val="Normal"/>
              <w:widowControl w:val="false"/>
              <w:rPr>
                <w:sz w:val="22"/>
                <w:szCs w:val="22"/>
              </w:rPr>
            </w:pPr>
            <w:r>
              <w:rPr>
                <w:sz w:val="22"/>
                <w:szCs w:val="22"/>
                <w:u w:val="single"/>
              </w:rPr>
              <w:t>По вопросам ТЗ</w:t>
            </w:r>
            <w:r>
              <w:rPr>
                <w:sz w:val="22"/>
                <w:szCs w:val="22"/>
              </w:rPr>
              <w:t>: начальник отдела ПТО Давыдов Николай Сергеевич</w:t>
            </w:r>
          </w:p>
          <w:p>
            <w:pPr>
              <w:pStyle w:val="Normal"/>
              <w:widowControl w:val="false"/>
              <w:rPr>
                <w:sz w:val="22"/>
                <w:szCs w:val="22"/>
              </w:rPr>
            </w:pPr>
            <w:r>
              <w:rPr>
                <w:sz w:val="22"/>
                <w:szCs w:val="22"/>
              </w:rPr>
              <w:t>(343) 379-43-77  доб.:1716</w:t>
            </w:r>
          </w:p>
          <w:p>
            <w:pPr>
              <w:pStyle w:val="Normal"/>
              <w:widowControl w:val="false"/>
              <w:rPr>
                <w:sz w:val="22"/>
                <w:szCs w:val="22"/>
              </w:rPr>
            </w:pPr>
            <w:r>
              <w:rPr>
                <w:sz w:val="22"/>
                <w:szCs w:val="22"/>
              </w:rPr>
              <w:t>факс: (343) 379-43-77</w:t>
            </w:r>
          </w:p>
          <w:p>
            <w:pPr>
              <w:pStyle w:val="Normal"/>
              <w:widowControl w:val="false"/>
              <w:rPr>
                <w:sz w:val="22"/>
                <w:szCs w:val="22"/>
              </w:rPr>
            </w:pPr>
            <w:r>
              <w:rPr>
                <w:sz w:val="22"/>
                <w:szCs w:val="22"/>
              </w:rPr>
              <w:t>Контактный телефон: +(343) 379-43-77</w:t>
            </w:r>
          </w:p>
          <w:p>
            <w:pPr>
              <w:pStyle w:val="Normal"/>
              <w:widowControl w:val="false"/>
              <w:spacing w:before="0" w:after="60"/>
              <w:rPr>
                <w:sz w:val="22"/>
                <w:szCs w:val="22"/>
              </w:rPr>
            </w:pPr>
            <w:r>
              <w:rPr>
                <w:sz w:val="22"/>
                <w:szCs w:val="22"/>
              </w:rPr>
              <w:t>Адрес сайта Заказчика: www.sv-rsk.ru</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3</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fldChar w:fldCharType="begin"/>
            </w:r>
            <w:r>
              <w:rPr>
                <w:rStyle w:val="-"/>
                <w:sz w:val="22"/>
                <w:szCs w:val="22"/>
              </w:rPr>
              <w:instrText xml:space="preserve"> HYPERLINK "https://www.consultant.ru/document/cons_doc_LAW_483052/fddec0f5c16a67f6fca41f9e31dfb0dcc72cc49a/" \l "dst199"</w:instrText>
            </w:r>
            <w:r>
              <w:rPr>
                <w:rStyle w:val="-"/>
                <w:sz w:val="22"/>
                <w:szCs w:val="22"/>
              </w:rPr>
              <w:fldChar w:fldCharType="separate"/>
            </w:r>
            <w:r>
              <w:rPr>
                <w:rStyle w:val="-"/>
                <w:sz w:val="22"/>
                <w:szCs w:val="22"/>
              </w:rPr>
              <w:t>частью 6.1 статьи 3</w:t>
            </w:r>
            <w:r>
              <w:rPr>
                <w:rStyle w:val="-"/>
                <w:sz w:val="22"/>
                <w:szCs w:val="22"/>
              </w:rPr>
              <w:fldChar w:fldCharType="end"/>
            </w:r>
            <w:r>
              <w:rPr>
                <w:sz w:val="22"/>
                <w:szCs w:val="22"/>
              </w:rPr>
              <w:t>  Федерального закона № 223-ФЗ</w:t>
            </w:r>
          </w:p>
        </w:tc>
        <w:tc>
          <w:tcPr>
            <w:tcW w:w="6247" w:type="dxa"/>
            <w:tcBorders>
              <w:bottom w:val="single" w:sz="4" w:space="0" w:color="000000"/>
              <w:right w:val="single" w:sz="4" w:space="0" w:color="000000"/>
            </w:tcBorders>
            <w:vAlign w:val="center"/>
          </w:tcPr>
          <w:p>
            <w:pPr>
              <w:pStyle w:val="Normal"/>
              <w:widowControl w:val="false"/>
              <w:spacing w:before="0" w:after="60"/>
              <w:rPr>
                <w:sz w:val="22"/>
                <w:szCs w:val="22"/>
                <w:highlight w:val="yellow"/>
              </w:rPr>
            </w:pPr>
            <w:r>
              <w:rPr>
                <w:sz w:val="22"/>
                <w:szCs w:val="22"/>
              </w:rPr>
              <w:t>В соответствии с Техническим заданием (Приложение № 2 к Документации)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4</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Место поставки товара, выполнения работы, оказания услуги</w:t>
            </w:r>
          </w:p>
        </w:tc>
        <w:tc>
          <w:tcPr>
            <w:tcW w:w="6247" w:type="dxa"/>
            <w:tcBorders>
              <w:bottom w:val="single" w:sz="4" w:space="0" w:color="000000"/>
              <w:right w:val="single" w:sz="4" w:space="0" w:color="000000"/>
            </w:tcBorders>
            <w:vAlign w:val="center"/>
          </w:tcPr>
          <w:p>
            <w:pPr>
              <w:pStyle w:val="Normal"/>
              <w:widowControl w:val="false"/>
              <w:spacing w:before="0" w:after="60"/>
              <w:rPr>
                <w:b/>
                <w:bCs/>
                <w:sz w:val="22"/>
                <w:szCs w:val="22"/>
              </w:rPr>
            </w:pPr>
            <w:r>
              <w:rPr>
                <w:b/>
                <w:bCs/>
                <w:sz w:val="22"/>
                <w:szCs w:val="22"/>
              </w:rPr>
              <w:t>Территория Свердловской области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5</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6247" w:type="dxa"/>
            <w:tcBorders>
              <w:bottom w:val="single" w:sz="4" w:space="0" w:color="000000"/>
              <w:right w:val="single" w:sz="4" w:space="0" w:color="000000"/>
            </w:tcBorders>
            <w:vAlign w:val="center"/>
          </w:tcPr>
          <w:p>
            <w:pPr>
              <w:pStyle w:val="Normal"/>
              <w:widowControl w:val="false"/>
              <w:spacing w:before="0" w:after="60"/>
              <w:ind w:right="93" w:hanging="0"/>
              <w:contextualSpacing/>
              <w:rPr>
                <w:b/>
                <w:bCs/>
                <w:sz w:val="22"/>
                <w:szCs w:val="22"/>
              </w:rPr>
            </w:pPr>
            <w:r>
              <w:rPr>
                <w:sz w:val="22"/>
                <w:szCs w:val="22"/>
              </w:rPr>
              <w:t xml:space="preserve">Максимальная цена договора: </w:t>
            </w:r>
            <w:r>
              <w:rPr>
                <w:b/>
                <w:bCs/>
                <w:sz w:val="22"/>
                <w:szCs w:val="22"/>
                <w:highlight w:val="yellow"/>
              </w:rPr>
              <w:t>38 076 807,00 (Тридцать восемь миллионов семьдесят шесть тысяч восемьсот семь рублей) 00 копеек.</w:t>
            </w:r>
          </w:p>
          <w:p>
            <w:pPr>
              <w:pStyle w:val="Normal"/>
              <w:widowControl w:val="false"/>
              <w:spacing w:before="0" w:after="60"/>
              <w:ind w:right="93" w:hanging="0"/>
              <w:contextualSpacing/>
              <w:rPr>
                <w:sz w:val="22"/>
                <w:szCs w:val="22"/>
              </w:rPr>
            </w:pPr>
            <w:r>
              <w:rPr>
                <w:sz w:val="22"/>
                <w:szCs w:val="22"/>
              </w:rPr>
            </w:r>
          </w:p>
          <w:p>
            <w:pPr>
              <w:pStyle w:val="Normal"/>
              <w:widowControl w:val="false"/>
              <w:spacing w:before="0" w:after="60"/>
              <w:ind w:right="93" w:hanging="0"/>
              <w:contextualSpacing/>
              <w:rPr>
                <w:sz w:val="22"/>
                <w:szCs w:val="22"/>
              </w:rPr>
            </w:pPr>
            <w:r>
              <w:rPr>
                <w:sz w:val="22"/>
                <w:szCs w:val="22"/>
              </w:rPr>
              <w:t xml:space="preserve">Участникам закупки необходимо подавать ценовые предложения относительно Начальной (максимальной) </w:t>
            </w:r>
            <w:r>
              <w:rPr>
                <w:sz w:val="22"/>
                <w:szCs w:val="22"/>
              </w:rPr>
              <w:t>цены договора</w:t>
            </w:r>
            <w:r>
              <w:rPr>
                <w:b/>
                <w:bCs/>
                <w:sz w:val="22"/>
                <w:szCs w:val="22"/>
              </w:rPr>
              <w:t xml:space="preserve">. </w:t>
            </w:r>
            <w:r>
              <w:rPr>
                <w:sz w:val="22"/>
                <w:szCs w:val="22"/>
              </w:rPr>
              <w:t xml:space="preserve">Договор заключается с победителем по </w:t>
            </w:r>
            <w:r>
              <w:rPr>
                <w:sz w:val="22"/>
                <w:szCs w:val="22"/>
              </w:rPr>
              <w:t>предложенной</w:t>
            </w:r>
            <w:r>
              <w:rPr>
                <w:sz w:val="22"/>
                <w:szCs w:val="22"/>
              </w:rPr>
              <w:t xml:space="preserve"> цене договора. Цена за единицу товара, работы, услуги, устанавливается в Договоре с учетом коэффициента снижения, пропорционально к каждой позиции товара, работы или услуги.</w:t>
            </w:r>
          </w:p>
          <w:p>
            <w:pPr>
              <w:pStyle w:val="Normal"/>
              <w:widowControl w:val="false"/>
              <w:spacing w:before="0" w:after="60"/>
              <w:ind w:right="93" w:hanging="0"/>
              <w:contextualSpacing/>
              <w:rPr>
                <w:b/>
                <w:bCs/>
                <w:sz w:val="22"/>
                <w:szCs w:val="22"/>
              </w:rPr>
            </w:pPr>
            <w:r>
              <w:rPr>
                <w:b/>
                <w:bCs/>
                <w:sz w:val="22"/>
                <w:szCs w:val="22"/>
              </w:rPr>
              <w:t xml:space="preserve">Объем товара, работы, услуги – не определен, определяется Заказчиком самостоятельно исходя из потребности. </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6</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tc>
        <w:tc>
          <w:tcPr>
            <w:tcW w:w="6247" w:type="dxa"/>
            <w:tcBorders>
              <w:bottom w:val="single" w:sz="4" w:space="0" w:color="000000"/>
              <w:right w:val="single" w:sz="4" w:space="0" w:color="000000"/>
            </w:tcBorders>
            <w:vAlign w:val="center"/>
          </w:tcPr>
          <w:p>
            <w:pPr>
              <w:pStyle w:val="Normal"/>
              <w:widowControl w:val="false"/>
              <w:spacing w:before="0" w:after="60"/>
              <w:rPr>
                <w:sz w:val="22"/>
                <w:szCs w:val="22"/>
                <w:highlight w:val="yellow"/>
              </w:rPr>
            </w:pPr>
            <w:r>
              <w:rPr>
                <w:sz w:val="22"/>
                <w:szCs w:val="22"/>
              </w:rPr>
              <w:t xml:space="preserve">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t>
            </w:r>
            <w:r>
              <w:rPr>
                <w:b/>
                <w:bCs/>
                <w:sz w:val="22"/>
                <w:szCs w:val="22"/>
              </w:rPr>
              <w:t>www.zakupki.gov.ru</w:t>
            </w:r>
            <w:r>
              <w:rPr>
                <w:sz w:val="22"/>
                <w:szCs w:val="22"/>
              </w:rPr>
              <w:t xml:space="preserve">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7</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Адрес электронной площадки в информационно-телекоммуникационной сети "Интернет" </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Электронная торговая площадка ООО «РЕГИОН»</w:t>
            </w:r>
          </w:p>
          <w:p>
            <w:pPr>
              <w:pStyle w:val="Normal"/>
              <w:widowControl w:val="false"/>
              <w:rPr>
                <w:sz w:val="22"/>
                <w:szCs w:val="22"/>
              </w:rPr>
            </w:pPr>
            <w:r>
              <w:rPr>
                <w:sz w:val="22"/>
                <w:szCs w:val="22"/>
              </w:rPr>
              <w:t xml:space="preserve">Адрес электронной площадки в сети Интернет: </w:t>
            </w:r>
            <w:hyperlink r:id="rId2">
              <w:r>
                <w:rPr>
                  <w:rStyle w:val="-"/>
                  <w:sz w:val="22"/>
                  <w:szCs w:val="22"/>
                </w:rPr>
                <w:t>https://etp-region.ru</w:t>
              </w:r>
            </w:hyperlink>
            <w:r>
              <w:rPr>
                <w:sz w:val="22"/>
                <w:szCs w:val="22"/>
              </w:rPr>
              <w:t xml:space="preserve"> </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w:t>
            </w:r>
          </w:p>
        </w:tc>
        <w:tc>
          <w:tcPr>
            <w:tcW w:w="9012" w:type="dxa"/>
            <w:gridSpan w:val="2"/>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8.1.</w:t>
            </w:r>
          </w:p>
        </w:tc>
        <w:tc>
          <w:tcPr>
            <w:tcW w:w="2765"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подачи заявок на участие в закупке (этапах конкурентной закупки)</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Участник закупки для участия в конкурентной закупке подает заявку на участие в конкурентной закупке.</w:t>
            </w:r>
          </w:p>
          <w:p>
            <w:pPr>
              <w:pStyle w:val="Normal"/>
              <w:widowControl w:val="false"/>
              <w:rPr>
                <w:sz w:val="22"/>
                <w:szCs w:val="22"/>
              </w:rPr>
            </w:pPr>
            <w:r>
              <w:rPr>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pPr>
              <w:pStyle w:val="Normal"/>
              <w:widowControl w:val="false"/>
              <w:rPr>
                <w:sz w:val="22"/>
                <w:szCs w:val="22"/>
              </w:rPr>
            </w:pPr>
            <w:r>
              <w:rPr>
                <w:sz w:val="22"/>
                <w:szCs w:val="22"/>
              </w:rPr>
              <w:t>Заявка на участие в закупке направляется участником оператору электронной площадки в форме электронного документа, который должен содержать информацию, предусмотренную документацией о закупке.</w:t>
            </w:r>
          </w:p>
          <w:p>
            <w:pPr>
              <w:pStyle w:val="Normal"/>
              <w:widowControl w:val="false"/>
              <w:rPr>
                <w:sz w:val="22"/>
                <w:szCs w:val="22"/>
              </w:rPr>
            </w:pPr>
            <w:r>
              <w:rPr>
                <w:sz w:val="22"/>
                <w:szCs w:val="22"/>
              </w:rPr>
              <w:t>Участник закупки формирует заявку на участие в закупке в соответствии с регламентом электронной площадки, определенной для проведения закупки, требованиями Федерального закона № 223-ФЗ.</w:t>
            </w:r>
          </w:p>
          <w:p>
            <w:pPr>
              <w:pStyle w:val="Normal"/>
              <w:widowControl w:val="false"/>
              <w:rPr>
                <w:sz w:val="22"/>
                <w:szCs w:val="22"/>
              </w:rPr>
            </w:pPr>
            <w:r>
              <w:rPr>
                <w:sz w:val="22"/>
                <w:szCs w:val="22"/>
              </w:rPr>
              <w:t>При описании условий и предложений участником закупки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не должны допускать двусмысленных толкований.</w:t>
            </w:r>
          </w:p>
          <w:p>
            <w:pPr>
              <w:pStyle w:val="Normal"/>
              <w:widowControl w:val="false"/>
              <w:rPr>
                <w:sz w:val="22"/>
                <w:szCs w:val="22"/>
              </w:rPr>
            </w:pPr>
            <w:r>
              <w:rPr>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и т.д.</w:t>
            </w:r>
          </w:p>
          <w:p>
            <w:pPr>
              <w:pStyle w:val="Normal"/>
              <w:widowControl w:val="false"/>
              <w:rPr>
                <w:sz w:val="22"/>
                <w:szCs w:val="22"/>
              </w:rPr>
            </w:pPr>
            <w:r>
              <w:rPr>
                <w:sz w:val="22"/>
                <w:szCs w:val="22"/>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закупки, заверенные печатью организации.</w:t>
            </w:r>
          </w:p>
          <w:p>
            <w:pPr>
              <w:pStyle w:val="Normal"/>
              <w:widowControl w:val="false"/>
              <w:rPr>
                <w:sz w:val="22"/>
                <w:szCs w:val="22"/>
              </w:rPr>
            </w:pPr>
            <w:r>
              <w:rPr>
                <w:sz w:val="22"/>
                <w:szCs w:val="22"/>
              </w:rPr>
              <w:t xml:space="preserve">Наличие ЭП участника закупки подтверждает, что документ отправлен от имени участника и являются точными цифровыми копиями документов-оригиналов. </w:t>
            </w:r>
          </w:p>
          <w:p>
            <w:pPr>
              <w:pStyle w:val="Normal"/>
              <w:widowControl w:val="false"/>
              <w:spacing w:before="0" w:after="60"/>
              <w:rPr>
                <w:sz w:val="22"/>
                <w:szCs w:val="22"/>
              </w:rPr>
            </w:pPr>
            <w:r>
              <w:rPr>
                <w:sz w:val="22"/>
                <w:szCs w:val="22"/>
              </w:rPr>
              <w:t>Файлы формируются по принципу: один файл – один документ.</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8.2.</w:t>
            </w:r>
          </w:p>
        </w:tc>
        <w:tc>
          <w:tcPr>
            <w:tcW w:w="2765"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Количество частей заявки участников</w:t>
            </w:r>
          </w:p>
        </w:tc>
        <w:tc>
          <w:tcPr>
            <w:tcW w:w="6247"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Конкурс в электронной форме, предусматривает подачу заявок участниками в </w:t>
            </w:r>
            <w:r>
              <w:rPr>
                <w:b/>
                <w:bCs/>
                <w:sz w:val="22"/>
                <w:szCs w:val="22"/>
              </w:rPr>
              <w:t>ОДНОЙ</w:t>
            </w:r>
            <w:r>
              <w:rPr>
                <w:sz w:val="22"/>
                <w:szCs w:val="22"/>
              </w:rPr>
              <w:t xml:space="preserve"> части</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8.3.</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и дата начала приема заявок </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 xml:space="preserve">ЭТП РЕГИОН </w:t>
            </w:r>
            <w:hyperlink r:id="rId3">
              <w:r>
                <w:rPr>
                  <w:rStyle w:val="-"/>
                  <w:sz w:val="22"/>
                  <w:szCs w:val="22"/>
                </w:rPr>
                <w:t>https://etp-region.ru</w:t>
              </w:r>
            </w:hyperlink>
            <w:r>
              <w:rPr>
                <w:sz w:val="22"/>
                <w:szCs w:val="22"/>
              </w:rPr>
              <w:t xml:space="preserve"> </w:t>
            </w:r>
          </w:p>
          <w:p>
            <w:pPr>
              <w:pStyle w:val="Normal"/>
              <w:widowControl w:val="false"/>
              <w:rPr>
                <w:sz w:val="22"/>
                <w:szCs w:val="22"/>
              </w:rPr>
            </w:pPr>
            <w:r>
              <w:rPr>
                <w:sz w:val="22"/>
                <w:szCs w:val="22"/>
              </w:rPr>
              <w:t xml:space="preserve">С момента размещения информации об осуществлении закупки на официальном сайте ЕИС </w:t>
            </w:r>
          </w:p>
          <w:p>
            <w:pPr>
              <w:pStyle w:val="Normal"/>
              <w:widowControl w:val="false"/>
              <w:spacing w:before="0" w:after="60"/>
              <w:rPr>
                <w:sz w:val="22"/>
                <w:szCs w:val="22"/>
              </w:rPr>
            </w:pPr>
            <w:r>
              <w:rPr>
                <w:sz w:val="22"/>
                <w:szCs w:val="22"/>
                <w:highlight w:val="yellow"/>
              </w:rPr>
              <w:t>«18» апреля 2025 года</w:t>
            </w:r>
            <w:r>
              <w:rPr>
                <w:sz w:val="22"/>
                <w:szCs w:val="22"/>
              </w:rPr>
              <w:t xml:space="preserve"> </w:t>
            </w:r>
            <w:r>
              <w:fldChar w:fldCharType="begin">
                <w:ffData>
                  <w:name w:val="ДатаНачалаПриёмаЦП"/>
                  <w:enabled/>
                  <w:calcOnExit w:val="0"/>
                  <w:textInput>
                    <w:maxLength w:val="1"/>
                  </w:textInput>
                </w:ffData>
              </w:fldChar>
            </w:r>
            <w:r>
              <w:rPr>
                <w:sz w:val="22"/>
                <w:szCs w:val="22"/>
              </w:rPr>
              <w:instrText xml:space="preserve"> FORMTEXT </w:instrText>
            </w:r>
            <w:r>
              <w:rPr>
                <w:sz w:val="22"/>
                <w:szCs w:val="22"/>
              </w:rPr>
            </w:r>
            <w:r>
              <w:rPr>
                <w:sz w:val="22"/>
                <w:szCs w:val="22"/>
              </w:rPr>
              <w:fldChar w:fldCharType="separate"/>
            </w:r>
            <w:r>
              <w:rPr>
                <w:sz w:val="22"/>
                <w:szCs w:val="22"/>
              </w:rPr>
            </w:r>
            <w:r/>
            <w:r>
              <w:rPr>
                <w:sz w:val="22"/>
                <w:szCs w:val="22"/>
              </w:rPr>
              <w:fldChar w:fldCharType="end"/>
            </w: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8.4.</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дата и время окончания срока подачи заявок </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 xml:space="preserve">ЭТП ООО «РЕГИОН» </w:t>
            </w:r>
            <w:hyperlink r:id="rId4">
              <w:r>
                <w:rPr>
                  <w:rStyle w:val="-"/>
                  <w:sz w:val="22"/>
                  <w:szCs w:val="22"/>
                </w:rPr>
                <w:t>https://etp-region.ru</w:t>
              </w:r>
            </w:hyperlink>
            <w:r>
              <w:rPr>
                <w:sz w:val="22"/>
                <w:szCs w:val="22"/>
              </w:rPr>
              <w:t xml:space="preserve"> </w:t>
            </w:r>
          </w:p>
          <w:p>
            <w:pPr>
              <w:pStyle w:val="Normal"/>
              <w:widowControl w:val="false"/>
              <w:spacing w:before="0" w:after="60"/>
              <w:rPr>
                <w:sz w:val="22"/>
                <w:szCs w:val="22"/>
              </w:rPr>
            </w:pPr>
            <w:r>
              <w:rPr>
                <w:sz w:val="22"/>
                <w:szCs w:val="22"/>
                <w:highlight w:val="yellow"/>
              </w:rPr>
              <w:t xml:space="preserve">«05» мая 2025 года, 10 : </w:t>
            </w:r>
            <w:r>
              <w:rPr>
                <w:sz w:val="22"/>
                <w:szCs w:val="22"/>
              </w:rPr>
              <w:t>00 (местное время заказчика)</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8.5.</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Место и дата рассмотрения заявок, сравнения и сопоставления заявок </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месту нахождения Заказчика.</w:t>
            </w:r>
          </w:p>
          <w:p>
            <w:pPr>
              <w:pStyle w:val="Normal"/>
              <w:widowControl w:val="false"/>
              <w:rPr>
                <w:sz w:val="22"/>
                <w:szCs w:val="22"/>
              </w:rPr>
            </w:pPr>
            <w:r>
              <w:rPr>
                <w:sz w:val="22"/>
                <w:szCs w:val="22"/>
                <w:highlight w:val="yellow"/>
              </w:rPr>
              <w:t>Рассмотрение заявок - «06» мая 2025 года</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8.6.</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Место и дата подведения итогов закупки</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месту нахождения Заказчика.</w:t>
            </w:r>
          </w:p>
          <w:p>
            <w:pPr>
              <w:pStyle w:val="Normal"/>
              <w:widowControl w:val="false"/>
              <w:spacing w:before="0" w:after="60"/>
              <w:rPr>
                <w:sz w:val="22"/>
                <w:szCs w:val="22"/>
              </w:rPr>
            </w:pPr>
            <w:r>
              <w:rPr>
                <w:sz w:val="22"/>
                <w:szCs w:val="22"/>
                <w:highlight w:val="yellow"/>
              </w:rPr>
              <w:t>«07» мая 2025 года</w:t>
            </w:r>
          </w:p>
        </w:tc>
        <w:tc>
          <w:tcPr>
            <w:tcW w:w="17" w:type="dxa"/>
            <w:tcBorders/>
          </w:tcPr>
          <w:p>
            <w:pPr>
              <w:pStyle w:val="Normal"/>
              <w:widowControl w:val="false"/>
              <w:spacing w:before="0" w:after="60"/>
              <w:rPr/>
            </w:pPr>
            <w:r>
              <w:rPr/>
            </w:r>
          </w:p>
        </w:tc>
      </w:tr>
      <w:tr>
        <w:trPr/>
        <w:tc>
          <w:tcPr>
            <w:tcW w:w="607" w:type="dxa"/>
            <w:tcBorders>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8.7.</w:t>
            </w:r>
          </w:p>
        </w:tc>
        <w:tc>
          <w:tcPr>
            <w:tcW w:w="2765" w:type="dxa"/>
            <w:tcBorders>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Порядок подведения итогов конкурентной закупки (этапов конкурентной закупки);</w:t>
            </w:r>
          </w:p>
        </w:tc>
        <w:tc>
          <w:tcPr>
            <w:tcW w:w="6247" w:type="dxa"/>
            <w:tcBorders>
              <w:bottom w:val="single" w:sz="4" w:space="0" w:color="000000"/>
              <w:right w:val="single" w:sz="4" w:space="0" w:color="000000"/>
            </w:tcBorders>
            <w:vAlign w:val="center"/>
          </w:tcPr>
          <w:p>
            <w:pPr>
              <w:pStyle w:val="Normal"/>
              <w:widowControl w:val="false"/>
              <w:rPr>
                <w:sz w:val="22"/>
                <w:szCs w:val="22"/>
              </w:rPr>
            </w:pPr>
            <w:r>
              <w:rPr>
                <w:sz w:val="22"/>
                <w:szCs w:val="22"/>
              </w:rPr>
              <w:t>По результатам проведения процедуры рассмотрения заявок закупочной комиссией Заказчика оформляется протокол рассмотрения заявок.</w:t>
            </w:r>
          </w:p>
          <w:p>
            <w:pPr>
              <w:pStyle w:val="Normal"/>
              <w:widowControl w:val="false"/>
              <w:rPr>
                <w:sz w:val="22"/>
                <w:szCs w:val="22"/>
              </w:rPr>
            </w:pPr>
            <w:r>
              <w:rPr>
                <w:sz w:val="22"/>
                <w:szCs w:val="22"/>
              </w:rPr>
              <w:t>Протокол рассмотрения заявок подписывается присутствующими членами закупочной комиссии в день рассмотрения заявок.</w:t>
            </w:r>
          </w:p>
          <w:p>
            <w:pPr>
              <w:pStyle w:val="Normal"/>
              <w:widowControl w:val="false"/>
              <w:rPr>
                <w:sz w:val="22"/>
                <w:szCs w:val="22"/>
              </w:rPr>
            </w:pPr>
            <w:r>
              <w:rPr>
                <w:sz w:val="22"/>
                <w:szCs w:val="22"/>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w:t>
            </w:r>
            <w:r>
              <w:rPr>
                <w:b/>
                <w:bCs/>
                <w:sz w:val="22"/>
                <w:szCs w:val="22"/>
              </w:rPr>
              <w:t>через три дня</w:t>
            </w:r>
            <w:r>
              <w:rPr>
                <w:sz w:val="22"/>
                <w:szCs w:val="22"/>
              </w:rPr>
              <w:t xml:space="preserve"> со дня подписания таких протоколов. </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9.</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 xml:space="preserve">Размер обеспечения заявки на участие в закупке, порядок и срок его предоставления </w:t>
            </w:r>
          </w:p>
        </w:tc>
        <w:tc>
          <w:tcPr>
            <w:tcW w:w="6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rPr>
            </w:pPr>
            <w:r>
              <w:rPr>
                <w:b/>
                <w:bCs/>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10.</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w:t>
            </w:r>
          </w:p>
        </w:tc>
        <w:tc>
          <w:tcPr>
            <w:tcW w:w="6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Cs/>
              </w:rPr>
            </w:pPr>
            <w:r>
              <w:rPr>
                <w:b/>
                <w:bCs/>
                <w:sz w:val="22"/>
                <w:szCs w:val="22"/>
              </w:rPr>
              <w:t>Не установлено</w:t>
            </w:r>
          </w:p>
          <w:p>
            <w:pPr>
              <w:pStyle w:val="Normal"/>
              <w:widowControl w:val="false"/>
              <w:spacing w:before="0" w:after="60"/>
              <w:rPr>
                <w:sz w:val="22"/>
                <w:szCs w:val="22"/>
              </w:rPr>
            </w:pPr>
            <w:r>
              <w:rPr>
                <w:sz w:val="22"/>
                <w:szCs w:val="22"/>
              </w:rPr>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10.1.</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Антидемпинговые меры</w:t>
            </w:r>
          </w:p>
        </w:tc>
        <w:tc>
          <w:tcPr>
            <w:tcW w:w="6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2"/>
                <w:szCs w:val="22"/>
              </w:rPr>
            </w:pPr>
            <w:r>
              <w:rPr>
                <w:sz w:val="22"/>
                <w:szCs w:val="22"/>
              </w:rPr>
              <w:t>1. Если в ходе проведения конкурентной закупки при заключении договора победителем закупки была снижена начальная (максимальная) цена договора на 25 (двадцать пять) процентов и более, заказчик применяет к победителю закупки антидемпинговые меры, а именно:</w:t>
            </w:r>
          </w:p>
          <w:p>
            <w:pPr>
              <w:pStyle w:val="Normal"/>
              <w:widowControl w:val="false"/>
              <w:rPr>
                <w:sz w:val="22"/>
                <w:szCs w:val="22"/>
              </w:rPr>
            </w:pPr>
            <w:r>
              <w:rPr>
                <w:sz w:val="22"/>
                <w:szCs w:val="22"/>
              </w:rPr>
              <w:t xml:space="preserve">победитель закупки обязан до заключения договора предоставить обеспечение исполнения договора в размере, </w:t>
            </w:r>
            <w:r>
              <w:rPr>
                <w:b/>
                <w:bCs/>
                <w:sz w:val="22"/>
                <w:szCs w:val="22"/>
              </w:rPr>
              <w:t>превышающем в полтора раза</w:t>
            </w:r>
            <w:r>
              <w:rPr>
                <w:sz w:val="22"/>
                <w:szCs w:val="22"/>
              </w:rPr>
              <w:t xml:space="preserve"> размер обеспечения исполнения договора, указанный в извещении и (или) закупочной документации, но не менее чем в размере аванса (если договором предусмотрена выплата аванса), если в извещении и (или) закупочной документации установлено требование о предоставлении обеспечения исполнения договора.</w:t>
            </w:r>
          </w:p>
          <w:p>
            <w:pPr>
              <w:pStyle w:val="Normal"/>
              <w:widowControl w:val="false"/>
              <w:rPr>
                <w:sz w:val="22"/>
                <w:szCs w:val="22"/>
              </w:rPr>
            </w:pPr>
            <w:r>
              <w:rPr>
                <w:sz w:val="22"/>
                <w:szCs w:val="22"/>
              </w:rPr>
              <w:t xml:space="preserve">2. В случае неисполнения установленных антидемпинговыми мерами требований победитель закупки признается уклонившимся от заключения договора. </w:t>
            </w:r>
          </w:p>
          <w:p>
            <w:pPr>
              <w:pStyle w:val="Normal"/>
              <w:widowControl w:val="false"/>
              <w:spacing w:before="0" w:after="60"/>
              <w:rPr>
                <w:sz w:val="22"/>
                <w:szCs w:val="22"/>
              </w:rPr>
            </w:pPr>
            <w:r>
              <w:rPr>
                <w:sz w:val="22"/>
                <w:szCs w:val="22"/>
              </w:rPr>
              <w:t>3.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w:t>
            </w:r>
          </w:p>
        </w:tc>
        <w:tc>
          <w:tcPr>
            <w:tcW w:w="901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i/>
                <w:i/>
                <w:iCs/>
                <w:sz w:val="22"/>
                <w:szCs w:val="22"/>
                <w:highlight w:val="yellow"/>
              </w:rPr>
            </w:pPr>
            <w:r>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11.1.</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sz w:val="22"/>
                <w:szCs w:val="22"/>
              </w:rPr>
            </w:pPr>
            <w:r>
              <w:rPr>
                <w:sz w:val="22"/>
                <w:szCs w:val="22"/>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2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b/>
                <w:bCs/>
                <w:i/>
                <w:i/>
                <w:iCs/>
                <w:sz w:val="22"/>
                <w:szCs w:val="22"/>
              </w:rPr>
            </w:pPr>
            <w:r>
              <w:rPr>
                <w:sz w:val="22"/>
                <w:szCs w:val="22"/>
              </w:rPr>
              <w:t xml:space="preserve"> </w:t>
            </w:r>
            <w:r>
              <w:rPr>
                <w:sz w:val="22"/>
                <w:szCs w:val="22"/>
              </w:rPr>
              <w:t xml:space="preserve">Не установлено </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11.2.</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11.3.</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Не установлено</w:t>
            </w:r>
          </w:p>
        </w:tc>
        <w:tc>
          <w:tcPr>
            <w:tcW w:w="17" w:type="dxa"/>
            <w:tcBorders/>
          </w:tcPr>
          <w:p>
            <w:pPr>
              <w:pStyle w:val="Normal"/>
              <w:widowControl w:val="false"/>
              <w:spacing w:before="0" w:after="60"/>
              <w:rPr/>
            </w:pPr>
            <w:r>
              <w:rPr/>
            </w:r>
          </w:p>
        </w:tc>
      </w:tr>
      <w:tr>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12.</w:t>
            </w:r>
          </w:p>
        </w:tc>
        <w:tc>
          <w:tcPr>
            <w:tcW w:w="27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sz w:val="22"/>
                <w:szCs w:val="22"/>
              </w:rPr>
            </w:pPr>
            <w:r>
              <w:rPr>
                <w:sz w:val="22"/>
                <w:szCs w:val="22"/>
              </w:rPr>
              <w:t>Иные сведения в соответствии с Положением Заказчика</w:t>
            </w:r>
          </w:p>
        </w:tc>
        <w:tc>
          <w:tcPr>
            <w:tcW w:w="624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sz w:val="22"/>
                <w:szCs w:val="22"/>
              </w:rPr>
            </w:pPr>
            <w:r>
              <w:rPr>
                <w:sz w:val="22"/>
                <w:szCs w:val="22"/>
              </w:rPr>
              <w:t>В случае если предусмотрено Положением</w:t>
            </w:r>
          </w:p>
        </w:tc>
        <w:tc>
          <w:tcPr>
            <w:tcW w:w="17" w:type="dxa"/>
            <w:tcBorders/>
          </w:tcPr>
          <w:p>
            <w:pPr>
              <w:pStyle w:val="Normal"/>
              <w:widowControl w:val="false"/>
              <w:spacing w:before="0" w:after="60"/>
              <w:rPr/>
            </w:pPr>
            <w:r>
              <w:rPr/>
            </w:r>
          </w:p>
        </w:tc>
      </w:tr>
    </w:tbl>
    <w:p>
      <w:pPr>
        <w:pStyle w:val="Normal"/>
        <w:widowControl w:val="false"/>
        <w:jc w:val="center"/>
        <w:rPr>
          <w:sz w:val="22"/>
          <w:szCs w:val="22"/>
        </w:rPr>
      </w:pPr>
      <w:r>
        <w:rPr>
          <w:sz w:val="22"/>
          <w:szCs w:val="22"/>
        </w:rPr>
      </w:r>
    </w:p>
    <w:p>
      <w:pPr>
        <w:pStyle w:val="Normal"/>
        <w:widowControl w:val="false"/>
        <w:jc w:val="center"/>
        <w:rPr>
          <w:sz w:val="22"/>
          <w:szCs w:val="22"/>
        </w:rPr>
      </w:pPr>
      <w:r>
        <w:rPr>
          <w:sz w:val="22"/>
          <w:szCs w:val="22"/>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Normal"/>
        <w:widowControl w:val="false"/>
        <w:numPr>
          <w:ilvl w:val="0"/>
          <w:numId w:val="0"/>
        </w:numPr>
        <w:ind w:left="5580" w:right="-54" w:hanging="0"/>
        <w:jc w:val="right"/>
        <w:outlineLvl w:val="0"/>
        <w:rPr>
          <w:b/>
          <w:sz w:val="22"/>
          <w:szCs w:val="22"/>
          <w:highlight w:val="yellow"/>
        </w:rPr>
      </w:pPr>
      <w:r>
        <w:rPr>
          <w:b/>
          <w:sz w:val="22"/>
          <w:szCs w:val="22"/>
          <w:highlight w:val="yellow"/>
        </w:rPr>
      </w:r>
    </w:p>
    <w:p>
      <w:pPr>
        <w:pStyle w:val="Xl24"/>
        <w:widowControl w:val="false"/>
        <w:tabs>
          <w:tab w:val="clear" w:pos="708"/>
          <w:tab w:val="left" w:pos="0" w:leader="none"/>
        </w:tabs>
        <w:spacing w:before="0" w:after="0"/>
        <w:jc w:val="left"/>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tbl>
      <w:tblPr>
        <w:tblpPr w:bottomFromText="0" w:horzAnchor="margin" w:leftFromText="180" w:rightFromText="180" w:tblpX="0" w:tblpY="2" w:topFromText="0" w:vertAnchor="text"/>
        <w:tblW w:w="10031"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785"/>
        <w:gridCol w:w="5245"/>
      </w:tblGrid>
      <w:tr>
        <w:trPr/>
        <w:tc>
          <w:tcPr>
            <w:tcW w:w="4785" w:type="dxa"/>
            <w:tcBorders/>
          </w:tcPr>
          <w:p>
            <w:pPr>
              <w:pStyle w:val="Xl24"/>
              <w:widowControl w:val="false"/>
              <w:tabs>
                <w:tab w:val="clear" w:pos="708"/>
                <w:tab w:val="left" w:pos="0" w:leader="none"/>
              </w:tabs>
              <w:spacing w:before="0" w:after="0"/>
              <w:jc w:val="left"/>
              <w:rPr>
                <w:b/>
                <w:sz w:val="22"/>
                <w:szCs w:val="22"/>
              </w:rPr>
            </w:pPr>
            <w:r>
              <w:rPr>
                <w:b/>
                <w:sz w:val="22"/>
                <w:szCs w:val="22"/>
              </w:rPr>
            </w:r>
          </w:p>
        </w:tc>
        <w:tc>
          <w:tcPr>
            <w:tcW w:w="5245" w:type="dxa"/>
            <w:tcBorders/>
          </w:tcPr>
          <w:p>
            <w:pPr>
              <w:pStyle w:val="Normal"/>
              <w:keepNext w:val="true"/>
              <w:keepLines/>
              <w:widowControl w:val="false"/>
              <w:suppressLineNumbers/>
              <w:jc w:val="right"/>
              <w:rPr>
                <w:sz w:val="22"/>
                <w:szCs w:val="22"/>
              </w:rPr>
            </w:pPr>
            <w:r>
              <w:rPr>
                <w:sz w:val="22"/>
                <w:szCs w:val="22"/>
              </w:rPr>
              <w:t>УТВЕРЖДАЮ</w:t>
            </w:r>
          </w:p>
          <w:p>
            <w:pPr>
              <w:pStyle w:val="Normal"/>
              <w:widowControl w:val="false"/>
              <w:jc w:val="right"/>
              <w:rPr>
                <w:sz w:val="22"/>
                <w:szCs w:val="22"/>
              </w:rPr>
            </w:pPr>
            <w:r>
              <w:rPr>
                <w:sz w:val="22"/>
                <w:szCs w:val="22"/>
              </w:rPr>
              <w:t xml:space="preserve">АО "РСК" </w:t>
            </w:r>
          </w:p>
          <w:p>
            <w:pPr>
              <w:pStyle w:val="Normal"/>
              <w:widowControl w:val="false"/>
              <w:jc w:val="right"/>
              <w:rPr>
                <w:sz w:val="22"/>
                <w:szCs w:val="22"/>
              </w:rPr>
            </w:pPr>
            <w:r>
              <w:rPr>
                <w:sz w:val="22"/>
                <w:szCs w:val="22"/>
              </w:rPr>
              <w:t>Генеральный директор</w:t>
            </w:r>
          </w:p>
          <w:p>
            <w:pPr>
              <w:pStyle w:val="Normal"/>
              <w:keepNext w:val="true"/>
              <w:keepLines/>
              <w:widowControl w:val="false"/>
              <w:suppressLineNumbers/>
              <w:jc w:val="right"/>
              <w:rPr>
                <w:sz w:val="22"/>
                <w:szCs w:val="22"/>
              </w:rPr>
            </w:pPr>
            <w:r>
              <w:rPr>
                <w:sz w:val="22"/>
                <w:szCs w:val="22"/>
              </w:rPr>
              <w:t xml:space="preserve">Мирный Артем Сергеевич </w:t>
            </w:r>
          </w:p>
          <w:p>
            <w:pPr>
              <w:pStyle w:val="Normal"/>
              <w:keepNext w:val="true"/>
              <w:keepLines/>
              <w:widowControl w:val="false"/>
              <w:suppressLineNumbers/>
              <w:jc w:val="right"/>
              <w:rPr>
                <w:rFonts w:eastAsia="Calibri"/>
                <w:b/>
                <w:bCs/>
                <w:sz w:val="22"/>
                <w:szCs w:val="22"/>
              </w:rPr>
            </w:pPr>
            <w:r>
              <w:rPr>
                <w:sz w:val="22"/>
                <w:szCs w:val="22"/>
              </w:rPr>
              <w:t xml:space="preserve">     </w:t>
            </w:r>
            <w:r>
              <w:rPr>
                <w:sz w:val="22"/>
                <w:szCs w:val="22"/>
              </w:rPr>
              <w:t>«18» апреля 2025 г.</w:t>
            </w:r>
          </w:p>
          <w:p>
            <w:pPr>
              <w:pStyle w:val="Xl24"/>
              <w:widowControl w:val="false"/>
              <w:tabs>
                <w:tab w:val="clear" w:pos="708"/>
                <w:tab w:val="left" w:pos="0" w:leader="none"/>
              </w:tabs>
              <w:spacing w:before="0" w:after="0"/>
              <w:jc w:val="right"/>
              <w:rPr>
                <w:b/>
                <w:sz w:val="22"/>
                <w:szCs w:val="22"/>
              </w:rPr>
            </w:pPr>
            <w:r>
              <w:rPr>
                <w:b/>
                <w:sz w:val="22"/>
                <w:szCs w:val="22"/>
              </w:rPr>
            </w:r>
          </w:p>
        </w:tc>
      </w:tr>
    </w:tbl>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spacing w:before="0" w:after="0"/>
        <w:jc w:val="center"/>
        <w:rPr>
          <w:sz w:val="22"/>
          <w:szCs w:val="22"/>
        </w:rPr>
      </w:pPr>
      <w:r>
        <w:rPr>
          <w:sz w:val="22"/>
          <w:szCs w:val="22"/>
        </w:rPr>
        <w:t>Документация об открытом конкурсе в электронной форме</w:t>
      </w:r>
    </w:p>
    <w:p>
      <w:pPr>
        <w:pStyle w:val="Normal"/>
        <w:keepNext w:val="true"/>
        <w:keepLines/>
        <w:widowControl w:val="false"/>
        <w:suppressLineNumbers/>
        <w:suppressAutoHyphens w:val="true"/>
        <w:spacing w:before="0" w:after="0"/>
        <w:jc w:val="center"/>
        <w:rPr>
          <w:b/>
          <w:sz w:val="22"/>
          <w:szCs w:val="22"/>
        </w:rPr>
      </w:pPr>
      <w:r>
        <w:rPr>
          <w:sz w:val="22"/>
          <w:szCs w:val="22"/>
        </w:rPr>
        <w:t xml:space="preserve">Наименование объекта закупки: </w:t>
      </w:r>
      <w:r>
        <w:rPr>
          <w:b/>
          <w:bCs/>
          <w:sz w:val="22"/>
          <w:szCs w:val="22"/>
        </w:rPr>
        <w:t>выполнение комплекса работ по установке оборудования для организации коммерческого учета э/э в соответствии с требованиями ФЗ от 27.12.2018 № 522-ФЗ</w:t>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keepNext w:val="true"/>
        <w:keepLines/>
        <w:widowControl w:val="false"/>
        <w:suppressLineNumbers/>
        <w:suppressAutoHyphens w:val="true"/>
        <w:spacing w:before="0" w:after="0"/>
        <w:jc w:val="center"/>
        <w:rPr>
          <w:b/>
          <w:sz w:val="22"/>
          <w:szCs w:val="22"/>
        </w:rPr>
      </w:pPr>
      <w:r>
        <w:rPr>
          <w:b/>
          <w:sz w:val="22"/>
          <w:szCs w:val="22"/>
        </w:rPr>
      </w:r>
    </w:p>
    <w:p>
      <w:pPr>
        <w:pStyle w:val="Normal"/>
        <w:tabs>
          <w:tab w:val="clear" w:pos="708"/>
          <w:tab w:val="left" w:pos="-360" w:leader="none"/>
          <w:tab w:val="left" w:pos="360" w:leader="none"/>
        </w:tabs>
        <w:spacing w:before="0" w:after="0"/>
        <w:rPr>
          <w:b/>
          <w:sz w:val="22"/>
          <w:szCs w:val="22"/>
        </w:rPr>
      </w:pPr>
      <w:r>
        <w:rPr>
          <w:b/>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pStyle w:val="Normal"/>
        <w:spacing w:before="0" w:after="0"/>
        <w:rPr>
          <w:sz w:val="22"/>
          <w:szCs w:val="22"/>
        </w:rPr>
      </w:pPr>
      <w:r>
        <w:rPr>
          <w:sz w:val="22"/>
          <w:szCs w:val="22"/>
        </w:rPr>
      </w:r>
    </w:p>
    <w:p>
      <w:pPr>
        <w:sectPr>
          <w:type w:val="nextPage"/>
          <w:pgSz w:w="11906" w:h="16838"/>
          <w:pgMar w:left="1418" w:right="851" w:gutter="0" w:header="0" w:top="426" w:footer="0" w:bottom="851"/>
          <w:pgNumType w:fmt="decimal"/>
          <w:formProt w:val="false"/>
          <w:titlePg/>
          <w:textDirection w:val="lrTb"/>
          <w:docGrid w:type="default" w:linePitch="360" w:charSpace="0"/>
        </w:sectPr>
        <w:pStyle w:val="Normal"/>
        <w:tabs>
          <w:tab w:val="clear" w:pos="708"/>
          <w:tab w:val="left" w:pos="-360" w:leader="none"/>
          <w:tab w:val="left" w:pos="360" w:leader="none"/>
        </w:tabs>
        <w:spacing w:before="0" w:after="0"/>
        <w:jc w:val="center"/>
        <w:rPr>
          <w:b/>
          <w:sz w:val="22"/>
          <w:szCs w:val="22"/>
        </w:rPr>
      </w:pPr>
      <w:r>
        <w:rPr>
          <w:b/>
          <w:sz w:val="22"/>
          <w:szCs w:val="22"/>
        </w:rPr>
        <w:t>2025г</w:t>
      </w:r>
    </w:p>
    <w:p>
      <w:pPr>
        <w:pStyle w:val="Normal"/>
        <w:spacing w:before="0" w:after="0"/>
        <w:ind w:left="-567" w:hanging="0"/>
        <w:rPr>
          <w:sz w:val="22"/>
          <w:szCs w:val="22"/>
        </w:rPr>
      </w:pPr>
      <w:r>
        <w:rPr>
          <w:sz w:val="22"/>
          <w:szCs w:val="22"/>
        </w:rPr>
        <w:t>Настоящая документация о конкурсе в электронной форме подготовлена в соответствии с Федеральным законом от 18 июля 2011 г. № 223-ФЗ «О закупках товаров, работ, услуг отдельными видами юридических лиц» (далее – Закон № 223-ФЗ), Гражданским кодексом Российской Федерации, Федеральным законом от 26 июля 2006 г. № 135-ФЗ «О защите конкуренции», Федеральным законом от 25 декабря 2008 г. №273-ФЗ «О противодействии коррупции».</w:t>
      </w:r>
    </w:p>
    <w:p>
      <w:pPr>
        <w:pStyle w:val="Normal"/>
        <w:spacing w:before="0" w:after="0"/>
        <w:ind w:left="-567" w:hanging="0"/>
        <w:rPr>
          <w:sz w:val="22"/>
          <w:szCs w:val="22"/>
        </w:rPr>
      </w:pPr>
      <w:r>
        <w:rPr>
          <w:sz w:val="22"/>
          <w:szCs w:val="22"/>
        </w:rPr>
        <w:t xml:space="preserve">Настоящий конкурс в электронной форме проводится на сайте https://etp-region.ru, полная информация о котором указана в извещении и документации о закупке. Настоящая процедура проводится в соответствии с регламентом и с использованием функционала ЭП.  </w:t>
      </w:r>
    </w:p>
    <w:p>
      <w:pPr>
        <w:pStyle w:val="Normal"/>
        <w:spacing w:before="0" w:after="0"/>
        <w:ind w:left="-567" w:hanging="0"/>
        <w:rPr>
          <w:sz w:val="22"/>
          <w:szCs w:val="22"/>
        </w:rPr>
      </w:pPr>
      <w:r>
        <w:rPr>
          <w:sz w:val="22"/>
          <w:szCs w:val="22"/>
        </w:rPr>
        <w:t>На официальном сайте www.zakupki.gov.ru и сайте https://etp-region.ru будет размещено извещение, документация о проведении конкурса в электронной форме и проект договора.</w:t>
      </w:r>
    </w:p>
    <w:p>
      <w:pPr>
        <w:pStyle w:val="Normal"/>
        <w:spacing w:before="0" w:after="0"/>
        <w:ind w:left="-567" w:hanging="0"/>
        <w:rPr>
          <w:sz w:val="22"/>
          <w:szCs w:val="22"/>
        </w:rPr>
      </w:pPr>
      <w:r>
        <w:rPr>
          <w:sz w:val="22"/>
          <w:szCs w:val="22"/>
        </w:rPr>
        <w:t xml:space="preserve">На  указанных сайтах будут публиковаться все разъяснения, касающиеся настоящей закупочной документации, а также все изменения или дополнения в закупочную документацию, в случае возникновения таковых. </w:t>
      </w:r>
    </w:p>
    <w:p>
      <w:pPr>
        <w:pStyle w:val="Normal"/>
        <w:spacing w:before="0" w:after="0"/>
        <w:ind w:left="-567" w:hanging="0"/>
        <w:rPr>
          <w:sz w:val="22"/>
          <w:szCs w:val="22"/>
        </w:rPr>
      </w:pPr>
      <w:r>
        <w:rPr>
          <w:sz w:val="22"/>
          <w:szCs w:val="22"/>
        </w:rPr>
        <w:t>Участники закупки должны самостоятельно отслеживать изменения извещения и документации о закупке. Заказчик не несет ответственность за несовременное получение участником закупки информации об изменениях.</w:t>
      </w:r>
    </w:p>
    <w:p>
      <w:pPr>
        <w:pStyle w:val="Normal"/>
        <w:spacing w:before="0" w:after="0"/>
        <w:ind w:firstLine="709"/>
        <w:rPr>
          <w:rFonts w:eastAsia="Calibri"/>
          <w:b/>
          <w:sz w:val="22"/>
          <w:szCs w:val="22"/>
          <w:lang w:eastAsia="en-US"/>
        </w:rPr>
      </w:pPr>
      <w:r>
        <w:rPr>
          <w:sz w:val="22"/>
          <w:szCs w:val="22"/>
        </w:rPr>
        <w:t> </w:t>
      </w:r>
    </w:p>
    <w:p>
      <w:pPr>
        <w:pStyle w:val="Normal"/>
        <w:spacing w:before="0" w:after="0"/>
        <w:ind w:firstLine="709"/>
        <w:rPr>
          <w:rFonts w:eastAsia="Calibri"/>
          <w:b/>
          <w:sz w:val="22"/>
          <w:szCs w:val="22"/>
          <w:lang w:eastAsia="en-US"/>
        </w:rPr>
      </w:pPr>
      <w:r>
        <w:rPr>
          <w:rFonts w:eastAsia="Calibri"/>
          <w:b/>
          <w:sz w:val="22"/>
          <w:szCs w:val="22"/>
          <w:lang w:eastAsia="en-US"/>
        </w:rPr>
      </w:r>
    </w:p>
    <w:tbl>
      <w:tblPr>
        <w:tblW w:w="10374" w:type="dxa"/>
        <w:jc w:val="left"/>
        <w:tblInd w:w="-717" w:type="dxa"/>
        <w:tblLayout w:type="fixed"/>
        <w:tblCellMar>
          <w:top w:w="0" w:type="dxa"/>
          <w:left w:w="101" w:type="dxa"/>
          <w:bottom w:w="0" w:type="dxa"/>
          <w:right w:w="108" w:type="dxa"/>
        </w:tblCellMar>
        <w:tblLook w:firstRow="1" w:noVBand="1" w:lastRow="0" w:firstColumn="1" w:lastColumn="0" w:noHBand="0" w:val="04a0"/>
      </w:tblPr>
      <w:tblGrid>
        <w:gridCol w:w="649"/>
        <w:gridCol w:w="3720"/>
        <w:gridCol w:w="6005"/>
      </w:tblGrid>
      <w:tr>
        <w:trPr>
          <w:trHeight w:val="13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s>
              <w:spacing w:before="0" w:after="60"/>
              <w:jc w:val="center"/>
              <w:rPr>
                <w:b/>
                <w:color w:val="000000" w:themeColor="text1"/>
                <w:sz w:val="22"/>
                <w:szCs w:val="22"/>
              </w:rPr>
            </w:pPr>
            <w:r>
              <w:rPr>
                <w:b/>
                <w:color w:val="000000" w:themeColor="text1"/>
                <w:sz w:val="22"/>
                <w:szCs w:val="22"/>
              </w:rPr>
              <w:t>№</w:t>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rPr>
                <w:b/>
                <w:color w:val="000000" w:themeColor="text1"/>
                <w:sz w:val="22"/>
                <w:szCs w:val="22"/>
              </w:rPr>
            </w:pPr>
            <w:r>
              <w:rPr>
                <w:b/>
                <w:color w:val="000000" w:themeColor="text1"/>
                <w:sz w:val="22"/>
                <w:szCs w:val="22"/>
              </w:rPr>
              <w:t>Описание</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ind w:right="152" w:hanging="0"/>
              <w:jc w:val="center"/>
              <w:rPr>
                <w:b/>
                <w:color w:val="000000" w:themeColor="text1"/>
                <w:sz w:val="22"/>
                <w:szCs w:val="22"/>
              </w:rPr>
            </w:pPr>
            <w:r>
              <w:rPr>
                <w:b/>
                <w:color w:val="000000" w:themeColor="text1"/>
                <w:sz w:val="22"/>
                <w:szCs w:val="22"/>
              </w:rPr>
              <w:t>Данные</w:t>
            </w:r>
          </w:p>
        </w:tc>
      </w:tr>
      <w:tr>
        <w:trPr>
          <w:trHeight w:val="124"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Способ закупки</w:t>
            </w:r>
          </w:p>
        </w:tc>
        <w:tc>
          <w:tcPr>
            <w:tcW w:w="600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tabs>
                <w:tab w:val="clear" w:pos="708"/>
                <w:tab w:val="left" w:pos="1276" w:leader="none"/>
              </w:tabs>
              <w:spacing w:before="0" w:after="60"/>
              <w:ind w:right="70" w:hanging="0"/>
              <w:rPr>
                <w:bCs/>
                <w:color w:val="000000" w:themeColor="text1"/>
                <w:sz w:val="22"/>
                <w:szCs w:val="22"/>
              </w:rPr>
            </w:pPr>
            <w:r>
              <w:rPr>
                <w:bCs/>
                <w:color w:val="000000" w:themeColor="text1"/>
                <w:sz w:val="22"/>
                <w:szCs w:val="22"/>
              </w:rPr>
              <w:t>Открытый конкурс в электронной форме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Cs/>
                <w:color w:val="000000" w:themeColor="text1"/>
                <w:sz w:val="22"/>
                <w:szCs w:val="22"/>
              </w:rPr>
            </w:pPr>
            <w:r>
              <w:rPr>
                <w:bCs/>
                <w:color w:val="000000" w:themeColor="text1"/>
                <w:sz w:val="22"/>
                <w:szCs w:val="22"/>
              </w:rPr>
              <w:t>Участник закупки</w:t>
            </w:r>
          </w:p>
        </w:tc>
        <w:tc>
          <w:tcPr>
            <w:tcW w:w="600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ind w:right="70" w:hanging="0"/>
              <w:rPr>
                <w:bCs/>
                <w:color w:val="000000" w:themeColor="text1"/>
                <w:sz w:val="22"/>
                <w:szCs w:val="22"/>
              </w:rPr>
            </w:pPr>
            <w:r>
              <w:rPr>
                <w:bCs/>
                <w:color w:val="000000" w:themeColor="text1"/>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 xml:space="preserve">Требование о привлечении к исполнению договора  соисполнителей (субподрядчиков) </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bCs/>
                <w:color w:val="000000" w:themeColor="text1"/>
                <w:sz w:val="22"/>
                <w:szCs w:val="22"/>
              </w:rPr>
            </w:pPr>
            <w:bookmarkStart w:id="0" w:name="_Hlk139007988"/>
            <w:r>
              <w:rPr>
                <w:bCs/>
                <w:color w:val="000000" w:themeColor="text1"/>
                <w:sz w:val="22"/>
                <w:szCs w:val="22"/>
              </w:rPr>
              <w:t>Не установлено</w:t>
            </w:r>
            <w:bookmarkEnd w:id="0"/>
          </w:p>
        </w:tc>
      </w:tr>
      <w:tr>
        <w:trPr/>
        <w:tc>
          <w:tcPr>
            <w:tcW w:w="649" w:type="dxa"/>
            <w:tcBorders>
              <w:top w:val="single" w:sz="6" w:space="0" w:color="000000"/>
              <w:left w:val="single" w:sz="6" w:space="0" w:color="000000"/>
              <w:bottom w:val="single" w:sz="4" w:space="0" w:color="FFFFFF"/>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Наименование, место нахождения, почтовый адрес Заказчика, адрес электронной почты, номер контактного телефона заказчика</w:t>
            </w:r>
          </w:p>
        </w:tc>
        <w:tc>
          <w:tcPr>
            <w:tcW w:w="6005"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before="0" w:after="60"/>
              <w:ind w:right="152" w:hanging="0"/>
              <w:rPr>
                <w:bCs/>
                <w:color w:val="000000" w:themeColor="text1"/>
                <w:sz w:val="22"/>
                <w:szCs w:val="22"/>
              </w:rPr>
            </w:pPr>
            <w:r>
              <w:rPr>
                <w:bCs/>
                <w:color w:val="000000" w:themeColor="text1"/>
                <w:sz w:val="22"/>
                <w:szCs w:val="22"/>
              </w:rPr>
              <w:t>Указано в пункте 2 информационной карты извещения о закупке.</w:t>
            </w:r>
          </w:p>
        </w:tc>
      </w:tr>
      <w:tr>
        <w:trPr>
          <w:trHeight w:val="267"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Предмет договора</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
                <w:color w:val="000000" w:themeColor="text1"/>
                <w:sz w:val="22"/>
                <w:szCs w:val="22"/>
                <w:highlight w:val="yellow"/>
              </w:rPr>
            </w:pPr>
            <w:r>
              <w:rPr>
                <w:b/>
                <w:color w:val="000000" w:themeColor="text1"/>
                <w:sz w:val="22"/>
                <w:szCs w:val="22"/>
              </w:rPr>
              <w:t>Выполнение комплекса работ по установке оборудования для организации коммерческого учета э/э в соответствии с требованиями ФЗ от 27.12.2018 № 522-ФЗ</w:t>
            </w:r>
          </w:p>
        </w:tc>
      </w:tr>
      <w:tr>
        <w:trPr>
          <w:trHeight w:val="3383"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Официальный сайт, на котором размещена документация о конкурсе.</w:t>
            </w:r>
          </w:p>
          <w:p>
            <w:pPr>
              <w:pStyle w:val="Normal"/>
              <w:widowControl w:val="false"/>
              <w:spacing w:before="0" w:after="60"/>
              <w:rPr>
                <w:color w:val="000000" w:themeColor="text1"/>
                <w:sz w:val="22"/>
                <w:szCs w:val="22"/>
              </w:rPr>
            </w:pPr>
            <w:r>
              <w:rPr>
                <w:color w:val="000000" w:themeColor="text1"/>
                <w:sz w:val="22"/>
                <w:szCs w:val="22"/>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ind w:left="34" w:hanging="0"/>
              <w:rPr>
                <w:color w:val="000000" w:themeColor="text1"/>
                <w:sz w:val="22"/>
                <w:szCs w:val="22"/>
              </w:rPr>
            </w:pPr>
            <w:r>
              <w:rPr>
                <w:color w:val="000000" w:themeColor="text1"/>
                <w:sz w:val="22"/>
                <w:szCs w:val="22"/>
              </w:rPr>
              <w:t xml:space="preserve">Информация о настоящей закупке подлежит размещению в соответствии с требованиями Федерального закона от 18.07.2011г. № 223-ФЗ «О закупках товаров, работ, услуг отдельными видами юридических лиц» на официальном сайте в информационно-телекоммуникационной сети «Интернет» </w:t>
            </w:r>
            <w:hyperlink r:id="rId5">
              <w:r>
                <w:rPr>
                  <w:color w:val="000000" w:themeColor="text1"/>
                  <w:sz w:val="22"/>
                  <w:szCs w:val="22"/>
                </w:rPr>
                <w:t>http://www.zakupki.gov.ru/</w:t>
              </w:r>
            </w:hyperlink>
            <w:r>
              <w:rPr>
                <w:color w:val="000000" w:themeColor="text1"/>
                <w:sz w:val="22"/>
                <w:szCs w:val="22"/>
              </w:rPr>
              <w:t>.</w:t>
            </w:r>
          </w:p>
          <w:p>
            <w:pPr>
              <w:pStyle w:val="Normal"/>
              <w:widowControl w:val="false"/>
              <w:spacing w:before="0" w:after="60"/>
              <w:rPr>
                <w:color w:val="000000" w:themeColor="text1"/>
                <w:sz w:val="22"/>
                <w:szCs w:val="22"/>
              </w:rPr>
            </w:pPr>
            <w:r>
              <w:rPr>
                <w:color w:val="000000" w:themeColor="text1"/>
                <w:sz w:val="22"/>
                <w:szCs w:val="22"/>
              </w:rPr>
              <w:t xml:space="preserve">Закупочная документация предоставляется бесплатно в ЕИС и на сайте электронной торговой площадки с даты размещения извещения.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Наименование оператора электронной площадки.</w:t>
            </w:r>
          </w:p>
          <w:p>
            <w:pPr>
              <w:pStyle w:val="Normal"/>
              <w:widowControl w:val="false"/>
              <w:spacing w:before="0" w:after="60"/>
              <w:rPr>
                <w:color w:val="000000" w:themeColor="text1"/>
                <w:sz w:val="22"/>
                <w:szCs w:val="22"/>
              </w:rPr>
            </w:pPr>
            <w:r>
              <w:rPr>
                <w:color w:val="000000" w:themeColor="text1"/>
                <w:sz w:val="22"/>
                <w:szCs w:val="22"/>
              </w:rPr>
              <w:t>Адрес электронной площадки в сети Интернет</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276" w:leader="none"/>
              </w:tabs>
              <w:spacing w:before="0" w:after="60"/>
              <w:ind w:right="152" w:hanging="0"/>
              <w:rPr>
                <w:bCs/>
                <w:color w:val="000000" w:themeColor="text1"/>
                <w:sz w:val="22"/>
                <w:szCs w:val="22"/>
              </w:rPr>
            </w:pPr>
            <w:r>
              <w:rPr>
                <w:bCs/>
                <w:color w:val="000000" w:themeColor="text1"/>
                <w:sz w:val="22"/>
                <w:szCs w:val="22"/>
              </w:rPr>
              <w:t xml:space="preserve">ООО «РЕГИОН», адрес электронно-торговой площадки:  </w:t>
            </w:r>
            <w:hyperlink r:id="rId6">
              <w:r>
                <w:rPr>
                  <w:rStyle w:val="-"/>
                  <w:color w:val="000000" w:themeColor="text1"/>
                  <w:sz w:val="22"/>
                  <w:szCs w:val="22"/>
                </w:rPr>
                <w:t>https://etp-region.ru</w:t>
              </w:r>
            </w:hyperlink>
          </w:p>
        </w:tc>
      </w:tr>
      <w:tr>
        <w:trPr>
          <w:trHeight w:val="131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bCs/>
                <w:color w:val="000000" w:themeColor="text1"/>
                <w:sz w:val="22"/>
                <w:szCs w:val="22"/>
              </w:rPr>
            </w:pPr>
            <w:r>
              <w:rPr>
                <w:bCs/>
                <w:color w:val="000000" w:themeColor="text1"/>
                <w:sz w:val="22"/>
                <w:szCs w:val="22"/>
              </w:rPr>
              <w:t>Установлены в Техническом задании, являющимся неотъемлемой частью настоящей документации о закупке.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rPr>
                <w:color w:val="000000" w:themeColor="text1"/>
                <w:sz w:val="22"/>
                <w:szCs w:val="22"/>
              </w:rPr>
            </w:pPr>
            <w:r>
              <w:rPr>
                <w:color w:val="000000" w:themeColor="text1"/>
                <w:sz w:val="22"/>
                <w:szCs w:val="22"/>
              </w:rPr>
              <w:t>Место, условия и сроки поставки товаров, оказания услуг (выполнения работ) и (или) последовательность их оказания (выполнения).</w:t>
            </w:r>
          </w:p>
          <w:p>
            <w:pPr>
              <w:pStyle w:val="Normal"/>
              <w:widowControl w:val="false"/>
              <w:spacing w:before="0" w:after="60"/>
              <w:rPr>
                <w:color w:val="000000" w:themeColor="text1"/>
                <w:sz w:val="22"/>
                <w:szCs w:val="22"/>
              </w:rPr>
            </w:pPr>
            <w:r>
              <w:rPr>
                <w:color w:val="000000" w:themeColor="text1"/>
                <w:sz w:val="22"/>
                <w:szCs w:val="22"/>
              </w:rPr>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93" w:hanging="0"/>
              <w:contextualSpacing/>
              <w:rPr>
                <w:color w:val="000000" w:themeColor="text1"/>
                <w:sz w:val="22"/>
                <w:szCs w:val="22"/>
              </w:rPr>
            </w:pPr>
            <w:r>
              <w:rPr>
                <w:b/>
                <w:bCs/>
                <w:color w:val="000000" w:themeColor="text1"/>
                <w:sz w:val="22"/>
                <w:szCs w:val="22"/>
              </w:rPr>
              <w:t xml:space="preserve">Место: </w:t>
            </w:r>
            <w:r>
              <w:rPr>
                <w:bCs/>
                <w:color w:val="000000" w:themeColor="text1"/>
                <w:sz w:val="22"/>
                <w:szCs w:val="22"/>
              </w:rPr>
              <w:t>Указано в пункте 4 информационной карты извещения о закупке.</w:t>
            </w:r>
          </w:p>
          <w:p>
            <w:pPr>
              <w:pStyle w:val="Normal"/>
              <w:widowControl w:val="false"/>
              <w:spacing w:before="0" w:after="60"/>
              <w:ind w:right="93" w:hanging="0"/>
              <w:contextualSpacing/>
              <w:rPr>
                <w:b/>
                <w:bCs/>
                <w:color w:val="000000" w:themeColor="text1"/>
                <w:sz w:val="22"/>
                <w:szCs w:val="22"/>
              </w:rPr>
            </w:pPr>
            <w:r>
              <w:rPr>
                <w:b/>
                <w:bCs/>
                <w:color w:val="000000" w:themeColor="text1"/>
                <w:sz w:val="22"/>
                <w:szCs w:val="22"/>
              </w:rPr>
            </w:r>
          </w:p>
          <w:p>
            <w:pPr>
              <w:pStyle w:val="Normal"/>
              <w:widowControl w:val="false"/>
              <w:spacing w:before="0" w:after="60"/>
              <w:rPr>
                <w:color w:val="000000" w:themeColor="text1"/>
                <w:sz w:val="22"/>
                <w:szCs w:val="22"/>
              </w:rPr>
            </w:pPr>
            <w:r>
              <w:rPr>
                <w:b/>
                <w:bCs/>
                <w:color w:val="000000" w:themeColor="text1"/>
                <w:sz w:val="22"/>
                <w:szCs w:val="22"/>
                <w:highlight w:val="yellow"/>
              </w:rPr>
              <w:t xml:space="preserve">Срок: </w:t>
            </w:r>
            <w:r>
              <w:rPr>
                <w:bCs/>
                <w:color w:val="000000" w:themeColor="text1"/>
                <w:sz w:val="22"/>
                <w:szCs w:val="22"/>
                <w:highlight w:val="yellow"/>
              </w:rPr>
              <w:t>с момента заключения договора по 31 «октября» 2025 года. По заявкам Заказчика.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93" w:hanging="0"/>
              <w:contextualSpacing/>
              <w:rPr>
                <w:color w:val="000000" w:themeColor="text1"/>
                <w:sz w:val="22"/>
                <w:szCs w:val="22"/>
              </w:rPr>
            </w:pPr>
            <w:r>
              <w:rPr>
                <w:sz w:val="22"/>
                <w:szCs w:val="22"/>
              </w:rPr>
              <w:t xml:space="preserve">Начальная максимальная цена договора: </w:t>
            </w:r>
            <w:r>
              <w:rPr>
                <w:bCs/>
                <w:color w:val="000000" w:themeColor="text1"/>
                <w:sz w:val="22"/>
                <w:szCs w:val="22"/>
              </w:rPr>
              <w:t>Указано в пункте 5 информационной карты извещения о закупке.</w:t>
            </w:r>
          </w:p>
          <w:p>
            <w:pPr>
              <w:pStyle w:val="Normal"/>
              <w:widowControl w:val="false"/>
              <w:spacing w:before="0" w:after="60"/>
              <w:ind w:right="93" w:hanging="0"/>
              <w:contextualSpacing/>
              <w:rPr>
                <w:color w:val="000000" w:themeColor="text1"/>
                <w:sz w:val="22"/>
                <w:szCs w:val="22"/>
              </w:rPr>
            </w:pPr>
            <w:r>
              <w:rPr>
                <w:color w:val="000000" w:themeColor="text1"/>
                <w:sz w:val="22"/>
                <w:szCs w:val="22"/>
              </w:rPr>
            </w:r>
          </w:p>
          <w:p>
            <w:pPr>
              <w:pStyle w:val="Normal"/>
              <w:widowControl w:val="false"/>
              <w:spacing w:before="0" w:after="60"/>
              <w:ind w:right="93" w:hanging="0"/>
              <w:contextualSpacing/>
              <w:rPr>
                <w:color w:val="000000" w:themeColor="text1"/>
                <w:sz w:val="22"/>
                <w:szCs w:val="22"/>
              </w:rPr>
            </w:pPr>
            <w:r>
              <w:rPr>
                <w:color w:val="000000" w:themeColor="text1"/>
                <w:sz w:val="22"/>
                <w:szCs w:val="22"/>
              </w:rPr>
            </w:r>
          </w:p>
          <w:p>
            <w:pPr>
              <w:pStyle w:val="Normal"/>
              <w:widowControl w:val="false"/>
              <w:spacing w:before="0" w:after="60"/>
              <w:ind w:right="93" w:hanging="0"/>
              <w:contextualSpacing/>
              <w:rPr>
                <w:color w:val="000000" w:themeColor="text1"/>
                <w:sz w:val="22"/>
                <w:szCs w:val="22"/>
              </w:rPr>
            </w:pPr>
            <w:r>
              <w:rPr>
                <w:color w:val="000000" w:themeColor="text1"/>
                <w:sz w:val="22"/>
                <w:szCs w:val="22"/>
              </w:rPr>
              <w:t xml:space="preserve">Расчет и обоснование НМЦД выполнен </w:t>
            </w:r>
            <w:r>
              <w:rPr>
                <w:b/>
                <w:bCs/>
                <w:color w:val="000000" w:themeColor="text1"/>
                <w:sz w:val="22"/>
                <w:szCs w:val="22"/>
              </w:rPr>
              <w:t>сметным</w:t>
            </w:r>
            <w:r>
              <w:rPr>
                <w:color w:val="000000" w:themeColor="text1"/>
                <w:sz w:val="22"/>
                <w:szCs w:val="22"/>
              </w:rPr>
              <w:t xml:space="preserve"> </w:t>
            </w:r>
            <w:r>
              <w:rPr>
                <w:b/>
                <w:bCs/>
                <w:color w:val="000000" w:themeColor="text1"/>
                <w:sz w:val="22"/>
                <w:szCs w:val="22"/>
              </w:rPr>
              <w:t>методом</w:t>
            </w:r>
            <w:r>
              <w:rPr>
                <w:color w:val="000000" w:themeColor="text1"/>
                <w:sz w:val="22"/>
                <w:szCs w:val="22"/>
              </w:rPr>
              <w:t xml:space="preserve"> и приложен отдельным файлом.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Сведения о валюте, используемой для формирования цены договора и расчетов с исполнителями (подрядчиками, поставщиками)</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Валютой, используемой для формирования цены договора и расчетов с поставщиками (исполнителями, подрядчиками) является рубль Российской Федерации. При оплате заключённого договора иностранная валюта не используется</w:t>
            </w:r>
          </w:p>
        </w:tc>
      </w:tr>
      <w:tr>
        <w:trPr>
          <w:trHeight w:val="143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color w:val="000000" w:themeColor="text1"/>
                <w:sz w:val="22"/>
                <w:szCs w:val="22"/>
                <w:lang w:eastAsia="zh-CN"/>
              </w:rPr>
            </w:pPr>
            <w:r>
              <w:rPr>
                <w:color w:val="000000" w:themeColor="text1"/>
                <w:sz w:val="22"/>
                <w:szCs w:val="22"/>
                <w:lang w:eastAsia="zh-CN"/>
              </w:rPr>
              <w:t>В соответствии с проектом Договора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Форма, сроки и порядок оплаты товара, услуги, работы</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ind w:right="152" w:hanging="0"/>
              <w:rPr>
                <w:color w:val="000000" w:themeColor="text1"/>
                <w:sz w:val="22"/>
                <w:szCs w:val="22"/>
                <w:lang w:eastAsia="zh-CN"/>
              </w:rPr>
            </w:pPr>
            <w:r>
              <w:rPr>
                <w:color w:val="000000" w:themeColor="text1"/>
                <w:sz w:val="22"/>
                <w:szCs w:val="22"/>
                <w:lang w:eastAsia="zh-CN"/>
              </w:rPr>
              <w:t>В соответствии с проектом Договора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Любой участник конкурентной закупки вправе направить заказчику в порядке, предусмотренном Федеральным законом от 18.07.2011 № 223-ФЗ "О закупках товаров, работ, услуг отдельными видами юридических лиц" и положением о закупке, запрос о даче разъяснений положений извещения об осуществлении закупки и (или) документации о закупке.</w:t>
            </w:r>
          </w:p>
          <w:p>
            <w:pPr>
              <w:pStyle w:val="Normal"/>
              <w:widowControl w:val="false"/>
              <w:rPr>
                <w:i/>
                <w:i/>
                <w:color w:val="000000" w:themeColor="text1"/>
                <w:sz w:val="22"/>
                <w:szCs w:val="22"/>
              </w:rPr>
            </w:pPr>
            <w:r>
              <w:rPr>
                <w:bCs/>
                <w:i/>
                <w:color w:val="000000" w:themeColor="text1"/>
                <w:sz w:val="22"/>
                <w:szCs w:val="22"/>
              </w:rPr>
              <w:t>Форма:</w:t>
            </w:r>
            <w:r>
              <w:rPr>
                <w:i/>
                <w:color w:val="000000" w:themeColor="text1"/>
                <w:sz w:val="22"/>
                <w:szCs w:val="22"/>
              </w:rPr>
              <w:t xml:space="preserve"> произвольная, в виде электронного документа.</w:t>
            </w:r>
          </w:p>
          <w:p>
            <w:pPr>
              <w:pStyle w:val="Normal"/>
              <w:widowControl w:val="false"/>
              <w:rPr>
                <w:color w:val="000000" w:themeColor="text1"/>
                <w:sz w:val="22"/>
                <w:szCs w:val="22"/>
              </w:rPr>
            </w:pPr>
            <w:r>
              <w:rPr>
                <w:color w:val="000000" w:themeColor="text1"/>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pPr>
              <w:pStyle w:val="Normal"/>
              <w:widowControl w:val="false"/>
              <w:rPr>
                <w:color w:val="000000" w:themeColor="text1"/>
                <w:sz w:val="22"/>
                <w:szCs w:val="22"/>
              </w:rPr>
            </w:pPr>
            <w:r>
              <w:rPr>
                <w:color w:val="000000" w:themeColor="text1"/>
                <w:sz w:val="22"/>
                <w:szCs w:val="22"/>
              </w:rPr>
              <w:t xml:space="preserve">Дата начала и окончания срока предоставления участникам, разъяснений положений извещения о проведении конкурса в электронной форме и (или) документации о закупке: </w:t>
            </w:r>
          </w:p>
          <w:p>
            <w:pPr>
              <w:pStyle w:val="Normal"/>
              <w:widowControl w:val="false"/>
              <w:rPr>
                <w:color w:val="000000" w:themeColor="text1"/>
                <w:sz w:val="22"/>
                <w:szCs w:val="22"/>
              </w:rPr>
            </w:pPr>
            <w:r>
              <w:rPr>
                <w:color w:val="000000" w:themeColor="text1"/>
                <w:sz w:val="22"/>
                <w:szCs w:val="22"/>
              </w:rPr>
            </w:r>
          </w:p>
          <w:p>
            <w:pPr>
              <w:pStyle w:val="Normal"/>
              <w:widowControl w:val="false"/>
              <w:rPr>
                <w:b/>
                <w:i/>
                <w:i/>
                <w:color w:val="000000" w:themeColor="text1"/>
                <w:sz w:val="22"/>
                <w:szCs w:val="22"/>
                <w:highlight w:val="yellow"/>
              </w:rPr>
            </w:pPr>
            <w:r>
              <w:rPr>
                <w:b/>
                <w:i/>
                <w:color w:val="000000" w:themeColor="text1"/>
                <w:sz w:val="22"/>
                <w:szCs w:val="22"/>
                <w:highlight w:val="yellow"/>
              </w:rPr>
              <w:t>С даты размещения документации в ЕИС 18.04.2025 г.</w:t>
            </w:r>
          </w:p>
          <w:p>
            <w:pPr>
              <w:pStyle w:val="Normal"/>
              <w:widowControl w:val="false"/>
              <w:rPr>
                <w:b/>
                <w:i/>
                <w:i/>
                <w:color w:val="000000" w:themeColor="text1"/>
                <w:sz w:val="22"/>
                <w:szCs w:val="22"/>
              </w:rPr>
            </w:pPr>
            <w:r>
              <w:rPr>
                <w:b/>
                <w:i/>
                <w:color w:val="000000" w:themeColor="text1"/>
                <w:sz w:val="22"/>
                <w:szCs w:val="22"/>
                <w:highlight w:val="yellow"/>
              </w:rPr>
              <w:t>до 05.05.2025 г. 09.59 часов (по местному времени Заказчика).</w:t>
            </w:r>
            <w:r>
              <w:rPr>
                <w:b/>
                <w:i/>
                <w:color w:val="000000" w:themeColor="text1"/>
                <w:sz w:val="22"/>
                <w:szCs w:val="22"/>
              </w:rPr>
              <w:t xml:space="preserve"> </w:t>
            </w:r>
          </w:p>
          <w:p>
            <w:pPr>
              <w:pStyle w:val="Normal"/>
              <w:widowControl w:val="false"/>
              <w:rPr>
                <w:b/>
                <w:i/>
                <w:i/>
                <w:color w:val="000000" w:themeColor="text1"/>
                <w:sz w:val="22"/>
                <w:szCs w:val="22"/>
              </w:rPr>
            </w:pPr>
            <w:r>
              <w:rPr>
                <w:b/>
                <w:i/>
                <w:color w:val="000000" w:themeColor="text1"/>
                <w:sz w:val="22"/>
                <w:szCs w:val="22"/>
              </w:rPr>
            </w:r>
          </w:p>
          <w:p>
            <w:pPr>
              <w:pStyle w:val="Normal"/>
              <w:widowControl w:val="false"/>
              <w:spacing w:before="0" w:after="60"/>
              <w:rPr>
                <w:color w:val="000000" w:themeColor="text1"/>
                <w:sz w:val="22"/>
                <w:szCs w:val="22"/>
              </w:rPr>
            </w:pPr>
            <w:r>
              <w:rPr>
                <w:color w:val="000000" w:themeColor="text1"/>
                <w:sz w:val="22"/>
                <w:szCs w:val="22"/>
              </w:rPr>
              <w:t>Разъяснения положений документации о закупке могут быть даны Заказчиком по собственной инициативе в любое время до даты окончания срока подачи заявок. В течение трех дней со дня подписания указанных разъяснений уполномоченным лицом Заказчика, но не позднее даты окончания срока подачи заявок, такие разъяснения размещаются в единой информационной системе.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Требования к участникам закупки </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ind w:firstLine="567"/>
              <w:rPr>
                <w:b/>
                <w:bCs/>
                <w:color w:val="000000" w:themeColor="text1"/>
                <w:sz w:val="22"/>
                <w:szCs w:val="22"/>
              </w:rPr>
            </w:pPr>
            <w:r>
              <w:rPr>
                <w:b/>
                <w:bCs/>
                <w:color w:val="000000" w:themeColor="text1"/>
                <w:sz w:val="22"/>
                <w:szCs w:val="22"/>
              </w:rPr>
              <w:t>ТРЕБОВАНИЯ К УЧАСТНИКАМ:</w:t>
            </w:r>
          </w:p>
          <w:p>
            <w:pPr>
              <w:pStyle w:val="Normal"/>
              <w:widowControl w:val="false"/>
              <w:rPr>
                <w:color w:val="000000" w:themeColor="text1"/>
                <w:sz w:val="22"/>
                <w:szCs w:val="22"/>
              </w:rPr>
            </w:pPr>
            <w:r>
              <w:rPr>
                <w:color w:val="000000" w:themeColor="text1"/>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pPr>
              <w:pStyle w:val="Normal"/>
              <w:widowControl w:val="false"/>
              <w:rPr>
                <w:color w:val="000000" w:themeColor="text1"/>
                <w:sz w:val="22"/>
                <w:szCs w:val="22"/>
              </w:rPr>
            </w:pPr>
            <w:r>
              <w:rPr>
                <w:color w:val="000000" w:themeColor="text1"/>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widowControl w:val="false"/>
              <w:rPr>
                <w:color w:val="000000" w:themeColor="text1"/>
                <w:sz w:val="22"/>
                <w:szCs w:val="22"/>
              </w:rPr>
            </w:pPr>
            <w:r>
              <w:rPr>
                <w:color w:val="000000" w:themeColor="text1"/>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pPr>
              <w:pStyle w:val="Normal"/>
              <w:widowControl w:val="false"/>
              <w:rPr>
                <w:color w:val="000000" w:themeColor="text1"/>
                <w:sz w:val="22"/>
                <w:szCs w:val="22"/>
              </w:rPr>
            </w:pPr>
            <w:r>
              <w:rPr>
                <w:color w:val="000000" w:themeColor="text1"/>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widowControl w:val="false"/>
              <w:rPr>
                <w:color w:val="000000" w:themeColor="text1"/>
                <w:sz w:val="22"/>
                <w:szCs w:val="22"/>
              </w:rPr>
            </w:pPr>
            <w:r>
              <w:rPr>
                <w:color w:val="000000" w:themeColor="text1"/>
                <w:sz w:val="22"/>
                <w:szCs w:val="22"/>
              </w:rPr>
              <w:t>5) отсутствие в предусмотренном федеральными законами № 223-ФЗ и № 44-ФЗ реестре недобросовестных поставщиков (подрядчиков, исполнителей) информации об участнике закупки;</w:t>
            </w:r>
          </w:p>
          <w:p>
            <w:pPr>
              <w:pStyle w:val="Normal"/>
              <w:widowControl w:val="false"/>
              <w:rPr>
                <w:color w:val="000000" w:themeColor="text1"/>
                <w:sz w:val="22"/>
                <w:szCs w:val="22"/>
              </w:rPr>
            </w:pPr>
            <w:r>
              <w:rPr>
                <w:color w:val="000000" w:themeColor="text1"/>
                <w:sz w:val="22"/>
                <w:szCs w:val="22"/>
              </w:rPr>
              <w:t>6)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pPr>
              <w:pStyle w:val="Normal"/>
              <w:widowControl w:val="false"/>
              <w:rPr>
                <w:color w:val="000000" w:themeColor="text1"/>
                <w:sz w:val="22"/>
                <w:szCs w:val="22"/>
              </w:rPr>
            </w:pPr>
            <w:r>
              <w:rPr>
                <w:color w:val="000000" w:themeColor="text1"/>
                <w:sz w:val="22"/>
                <w:szCs w:val="22"/>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widowControl w:val="false"/>
              <w:rPr>
                <w:color w:val="000000" w:themeColor="text1"/>
                <w:sz w:val="22"/>
                <w:szCs w:val="22"/>
              </w:rPr>
            </w:pPr>
            <w:r>
              <w:rPr>
                <w:color w:val="000000" w:themeColor="text1"/>
                <w:sz w:val="22"/>
                <w:szCs w:val="22"/>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pStyle w:val="Normal"/>
              <w:widowControl w:val="false"/>
              <w:rPr>
                <w:color w:val="000000" w:themeColor="text1"/>
                <w:sz w:val="22"/>
                <w:szCs w:val="22"/>
              </w:rPr>
            </w:pPr>
            <w:r>
              <w:rPr>
                <w:color w:val="000000" w:themeColor="text1"/>
                <w:sz w:val="22"/>
                <w:szCs w:val="22"/>
              </w:rPr>
              <w:t>9) участник закупки не является офшорной компанией;</w:t>
            </w:r>
          </w:p>
          <w:p>
            <w:pPr>
              <w:pStyle w:val="Normal"/>
              <w:widowControl w:val="false"/>
              <w:spacing w:before="0" w:after="60"/>
              <w:rPr>
                <w:color w:val="000000" w:themeColor="text1"/>
                <w:sz w:val="22"/>
                <w:szCs w:val="22"/>
              </w:rPr>
            </w:pPr>
            <w:r>
              <w:rPr>
                <w:color w:val="000000" w:themeColor="text1"/>
                <w:sz w:val="22"/>
                <w:szCs w:val="22"/>
              </w:rPr>
              <w:t>10) отсутствие у участника закупки ограничений для участия в закупках, установленных законодательством Российской Федерации.</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 w:val="left" w:pos="786" w:leader="none"/>
              </w:tabs>
              <w:spacing w:lineRule="auto" w:line="259" w:before="0" w:after="160"/>
              <w:rPr>
                <w:b/>
                <w:color w:val="000000" w:themeColor="text1"/>
                <w:sz w:val="22"/>
                <w:szCs w:val="22"/>
              </w:rPr>
            </w:pPr>
            <w:r>
              <w:rPr>
                <w:b/>
                <w:color w:val="000000" w:themeColor="text1"/>
                <w:sz w:val="22"/>
                <w:szCs w:val="22"/>
              </w:rPr>
              <w:t>15.1.</w:t>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Дополнительные требования к участникам закупки</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Участник должен обладать опытом выполнения аналогичных работ.</w:t>
            </w:r>
          </w:p>
          <w:p>
            <w:pPr>
              <w:pStyle w:val="Normal"/>
              <w:widowControl w:val="false"/>
              <w:rPr>
                <w:color w:val="000000" w:themeColor="text1"/>
                <w:sz w:val="22"/>
                <w:szCs w:val="22"/>
              </w:rPr>
            </w:pPr>
            <w:r>
              <w:rPr>
                <w:b/>
                <w:bCs/>
                <w:color w:val="000000" w:themeColor="text1"/>
                <w:sz w:val="22"/>
                <w:szCs w:val="22"/>
              </w:rPr>
              <w:t>Аналогичным признается опыт:</w:t>
            </w:r>
            <w:r>
              <w:rPr>
                <w:color w:val="000000" w:themeColor="text1"/>
                <w:sz w:val="22"/>
                <w:szCs w:val="22"/>
              </w:rPr>
              <w:t xml:space="preserve"> по установке приборов учета электрической энергии и трансформаторов тока, устройств сбора и передачи данных.</w:t>
            </w:r>
          </w:p>
          <w:p>
            <w:pPr>
              <w:pStyle w:val="Normal"/>
              <w:widowControl w:val="false"/>
              <w:rPr>
                <w:b/>
                <w:bCs/>
                <w:color w:val="000000" w:themeColor="text1"/>
                <w:sz w:val="22"/>
                <w:szCs w:val="22"/>
              </w:rPr>
            </w:pPr>
            <w:r>
              <w:rPr>
                <w:color w:val="000000" w:themeColor="text1"/>
                <w:sz w:val="22"/>
                <w:szCs w:val="22"/>
              </w:rPr>
              <w:t>К учету принимается опыт за последние 24 месяца (</w:t>
            </w:r>
            <w:r>
              <w:rPr>
                <w:i/>
                <w:iCs/>
                <w:color w:val="000000" w:themeColor="text1"/>
                <w:sz w:val="22"/>
                <w:szCs w:val="22"/>
              </w:rPr>
              <w:t>отсчет производится с даты объявления данной закупки. Соответственно дата заключения и исполнения договора не может быть раньше</w:t>
            </w:r>
            <w:r>
              <w:rPr>
                <w:color w:val="000000" w:themeColor="text1"/>
                <w:sz w:val="22"/>
                <w:szCs w:val="22"/>
              </w:rPr>
              <w:t xml:space="preserve">) на сумму не менее половины начальной (максимальной) цены договора, что составляет </w:t>
            </w:r>
            <w:r>
              <w:rPr>
                <w:b/>
                <w:bCs/>
                <w:color w:val="000000" w:themeColor="text1"/>
                <w:sz w:val="22"/>
                <w:szCs w:val="22"/>
              </w:rPr>
              <w:t xml:space="preserve">19 038 403, 50 (Девятнадцать миллионов тридцать восемь тысяч четыреста три рубля) 50 копеек. </w:t>
            </w:r>
          </w:p>
          <w:p>
            <w:pPr>
              <w:pStyle w:val="Normal"/>
              <w:widowControl w:val="false"/>
              <w:rPr>
                <w:color w:val="000000" w:themeColor="text1"/>
                <w:sz w:val="22"/>
                <w:szCs w:val="22"/>
              </w:rPr>
            </w:pPr>
            <w:r>
              <w:rPr>
                <w:color w:val="000000" w:themeColor="text1"/>
                <w:sz w:val="22"/>
                <w:szCs w:val="22"/>
              </w:rPr>
            </w:r>
          </w:p>
          <w:p>
            <w:pPr>
              <w:pStyle w:val="Normal"/>
              <w:widowControl w:val="false"/>
              <w:rPr>
                <w:color w:val="000000" w:themeColor="text1"/>
                <w:sz w:val="22"/>
                <w:szCs w:val="22"/>
              </w:rPr>
            </w:pPr>
            <w:r>
              <w:rPr>
                <w:color w:val="000000" w:themeColor="text1"/>
                <w:sz w:val="22"/>
                <w:szCs w:val="22"/>
              </w:rPr>
              <w:t>Для подтверждения участники закупки обязаны предоставить копии документов:</w:t>
            </w:r>
          </w:p>
          <w:p>
            <w:pPr>
              <w:pStyle w:val="Normal"/>
              <w:widowControl w:val="false"/>
              <w:rPr>
                <w:color w:val="000000" w:themeColor="text1"/>
                <w:sz w:val="22"/>
                <w:szCs w:val="22"/>
              </w:rPr>
            </w:pPr>
            <w:r>
              <w:rPr>
                <w:color w:val="000000" w:themeColor="text1"/>
                <w:sz w:val="22"/>
                <w:szCs w:val="22"/>
              </w:rPr>
              <w:t>- копии ранее исполненных контрактов (договоров);</w:t>
            </w:r>
          </w:p>
          <w:p>
            <w:pPr>
              <w:pStyle w:val="Normal"/>
              <w:widowControl w:val="false"/>
              <w:rPr>
                <w:color w:val="000000" w:themeColor="text1"/>
                <w:sz w:val="22"/>
                <w:szCs w:val="22"/>
              </w:rPr>
            </w:pPr>
            <w:r>
              <w:rPr>
                <w:color w:val="000000" w:themeColor="text1"/>
                <w:sz w:val="22"/>
                <w:szCs w:val="22"/>
              </w:rPr>
              <w:t>- копии документов, подтверждающих исполнение договора (контракта),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w:t>
            </w:r>
          </w:p>
          <w:p>
            <w:pPr>
              <w:pStyle w:val="Normal"/>
              <w:widowControl w:val="false"/>
              <w:rPr>
                <w:color w:val="000000" w:themeColor="text1"/>
                <w:sz w:val="22"/>
                <w:szCs w:val="22"/>
              </w:rPr>
            </w:pPr>
            <w:r>
              <w:rPr>
                <w:color w:val="000000" w:themeColor="text1"/>
                <w:sz w:val="22"/>
                <w:szCs w:val="22"/>
              </w:rPr>
              <w:t>Или</w:t>
            </w:r>
          </w:p>
          <w:p>
            <w:pPr>
              <w:pStyle w:val="Normal"/>
              <w:widowControl w:val="false"/>
              <w:spacing w:before="0" w:after="60"/>
              <w:rPr>
                <w:color w:val="000000" w:themeColor="text1"/>
                <w:sz w:val="22"/>
                <w:szCs w:val="22"/>
              </w:rPr>
            </w:pPr>
            <w:r>
              <w:rPr>
                <w:color w:val="000000" w:themeColor="text1"/>
                <w:sz w:val="22"/>
                <w:szCs w:val="22"/>
              </w:rPr>
              <w:t>- реестровый номер (ссылка) из реестра контрактов, размещенного в ЕИС,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548" w:leader="none"/>
                <w:tab w:val="left" w:pos="1438" w:leader="none"/>
              </w:tabs>
              <w:spacing w:before="0" w:after="60"/>
              <w:rPr>
                <w:bCs/>
                <w:color w:val="000000" w:themeColor="text1"/>
                <w:sz w:val="22"/>
                <w:szCs w:val="22"/>
              </w:rPr>
            </w:pPr>
            <w:r>
              <w:rPr>
                <w:bCs/>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rPr>
                <w:color w:val="000000" w:themeColor="text1"/>
                <w:sz w:val="22"/>
                <w:szCs w:val="22"/>
              </w:rPr>
            </w:pPr>
            <w:r>
              <w:rPr>
                <w:color w:val="000000" w:themeColor="text1"/>
                <w:sz w:val="22"/>
                <w:szCs w:val="22"/>
              </w:rPr>
              <w:t>Требования к содержанию, форме, оформлению и составу заявок на участие в конкурсе в электронной форме, перечень документов, которые должны быть представлены в составе заявки</w:t>
            </w:r>
          </w:p>
        </w:tc>
        <w:tc>
          <w:tcPr>
            <w:tcW w:w="6005"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Заявки на участие в конкурсе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конкурса в электронной форме квалификационным требованиям, установленным документацией о закупке.</w:t>
            </w:r>
          </w:p>
          <w:p>
            <w:pPr>
              <w:pStyle w:val="Normal"/>
              <w:widowControl w:val="false"/>
              <w:ind w:firstLine="322"/>
              <w:rPr>
                <w:bCs/>
                <w:color w:val="000000" w:themeColor="text1"/>
                <w:sz w:val="22"/>
                <w:szCs w:val="22"/>
              </w:rPr>
            </w:pPr>
            <w:r>
              <w:rPr>
                <w:bCs/>
                <w:color w:val="000000" w:themeColor="text1"/>
                <w:sz w:val="22"/>
                <w:szCs w:val="22"/>
              </w:rPr>
              <w:t>Заявка и документы, входящие в состав заявки, должны быть составлены на русском языке.</w:t>
            </w:r>
          </w:p>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Документы, подготовленные участником размещаются в виде файлов в формате с расширением «doc», «docх», «rtf» (или аналогичных отрытых форматов) и позволяющих открыть их с помощью текстовых редакторов пакета приложений MicrosoftOffice и допускающих после сохранения возможность поиска, копирования и редактирования произвольного фрагмента текста документа. </w:t>
            </w:r>
          </w:p>
          <w:p>
            <w:pPr>
              <w:pStyle w:val="Normal"/>
              <w:widowControl w:val="false"/>
              <w:tabs>
                <w:tab w:val="clear" w:pos="708"/>
                <w:tab w:val="left" w:pos="548" w:leader="none"/>
                <w:tab w:val="left" w:pos="1438" w:leader="none"/>
              </w:tabs>
              <w:ind w:firstLine="322"/>
              <w:rPr>
                <w:bCs/>
                <w:color w:val="000000" w:themeColor="text1"/>
                <w:sz w:val="22"/>
                <w:szCs w:val="22"/>
              </w:rPr>
            </w:pPr>
            <w:r>
              <w:rPr>
                <w:bCs/>
                <w:color w:val="000000" w:themeColor="text1"/>
                <w:sz w:val="22"/>
                <w:szCs w:val="22"/>
              </w:rPr>
              <w:t xml:space="preserve">Участник может дополнительно (информационно) приложить документы заявки, в других форматах (pdf, jpeg и т.д.). Данные документы могут использоваться Заказчиком для уточнения информации представленной участником закупки. </w:t>
            </w:r>
          </w:p>
          <w:p>
            <w:pPr>
              <w:pStyle w:val="Normal"/>
              <w:widowControl w:val="false"/>
              <w:ind w:firstLine="322"/>
              <w:rPr>
                <w:bCs/>
                <w:color w:val="000000" w:themeColor="text1"/>
                <w:sz w:val="22"/>
                <w:szCs w:val="22"/>
              </w:rPr>
            </w:pPr>
            <w:r>
              <w:rPr>
                <w:bCs/>
                <w:color w:val="000000" w:themeColor="text1"/>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pPr>
              <w:pStyle w:val="ConsPlusNormal1"/>
              <w:widowControl w:val="false"/>
              <w:ind w:firstLine="709"/>
              <w:jc w:val="both"/>
              <w:rPr>
                <w:rFonts w:ascii="Times New Roman" w:hAnsi="Times New Roman" w:cs="Times New Roman"/>
                <w:bCs/>
                <w:color w:val="000000" w:themeColor="text1"/>
                <w:sz w:val="22"/>
                <w:szCs w:val="22"/>
              </w:rPr>
            </w:pPr>
            <w:r>
              <w:rPr>
                <w:rFonts w:cs="Times New Roman" w:ascii="Times New Roman" w:hAnsi="Times New Roman"/>
                <w:bCs/>
                <w:color w:val="000000" w:themeColor="text1"/>
                <w:sz w:val="22"/>
                <w:szCs w:val="22"/>
              </w:rPr>
            </w:r>
          </w:p>
          <w:p>
            <w:pPr>
              <w:pStyle w:val="ConsPlusNormal1"/>
              <w:widowControl w:val="false"/>
              <w:ind w:hanging="0"/>
              <w:jc w:val="both"/>
              <w:rPr>
                <w:rFonts w:ascii="Times New Roman" w:hAnsi="Times New Roman" w:cs="Times New Roman"/>
                <w:b/>
                <w:color w:val="000000" w:themeColor="text1"/>
                <w:sz w:val="22"/>
                <w:szCs w:val="22"/>
              </w:rPr>
            </w:pPr>
            <w:r>
              <w:rPr>
                <w:rFonts w:cs="Times New Roman" w:ascii="Times New Roman" w:hAnsi="Times New Roman"/>
                <w:b/>
                <w:color w:val="000000" w:themeColor="text1"/>
                <w:sz w:val="22"/>
                <w:szCs w:val="22"/>
              </w:rPr>
              <w:t>СОСТАВ ЗАЯВКИ: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1) сведения и документы об участнике закупки, подавшем такую заявку:</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а)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в)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г) копии учредительных документов участника закупки (для юридических лиц);</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е)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пояснительное письмо.</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в том числе: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1-1) при осуществлении закупки на поставку товара: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а) согласие участника процедуры закупки на поставку товара в случае: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3-1) при осуществлении закупки на выполнение работ, оказание услуг для выполнения, оказания которых используется товар:</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3) документы или копии документов, подтверждающие соответствие участника закупки установленным требованиям и условиям допуска к участию в конкурсе:</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документы, подтверждающие соответствие участника закупки требованиям конкурсной документации, установленным в соответствии с п. 15 информационной карты документации;</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сведения и документы, подтверждающие соответствие соисполнителей, предприятий-изготовителей требованиям, установленным в конкурсной документации, если таковые требования были установлены, или справку о том, что соисполнители участником закупки привлекаться не будут.</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должна содержать также документы, подтверждающие его квалификацию;</w:t>
            </w:r>
          </w:p>
          <w:p>
            <w:pPr>
              <w:pStyle w:val="ConsPlusNormal1"/>
              <w:widowControl w:val="false"/>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5) документ, </w:t>
            </w:r>
            <w:r>
              <w:rPr>
                <w:rFonts w:cs="Times New Roman" w:ascii="Times New Roman" w:hAnsi="Times New Roman"/>
                <w:b/>
                <w:bCs/>
                <w:color w:val="000000" w:themeColor="text1"/>
                <w:sz w:val="22"/>
                <w:szCs w:val="22"/>
              </w:rPr>
              <w:t>декларирующий</w:t>
            </w:r>
            <w:r>
              <w:rPr>
                <w:rFonts w:cs="Times New Roman" w:ascii="Times New Roman" w:hAnsi="Times New Roman"/>
                <w:color w:val="000000" w:themeColor="text1"/>
                <w:sz w:val="22"/>
                <w:szCs w:val="22"/>
              </w:rPr>
              <w:t xml:space="preserve"> соответствие участника закупки требованиям, установленным в документации о конкурентной закупке (извещении об осуществлении конкурентной закупки) на основании подпунктов 2 – 9 пункта 15 информационной карты документации;</w:t>
            </w:r>
          </w:p>
          <w:p>
            <w:pPr>
              <w:pStyle w:val="ConsPlusNormal1"/>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6) заявка на участие в открытом конкурсе, в случае, если в конкурсной документации указано такое требование, должна содержать эскиз, рисунок, чертеж, фотографию, иное изображение, образец, пробу товара, закупка которого осуществляется.</w:t>
            </w:r>
          </w:p>
          <w:p>
            <w:pPr>
              <w:pStyle w:val="ConsPlusNormal1"/>
              <w:widowControl w:val="false"/>
              <w:jc w:val="both"/>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Размер обеспечения заявки на участие в закупке, порядок и срок его предоставления</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bCs/>
                <w:color w:val="000000" w:themeColor="text1"/>
                <w:sz w:val="22"/>
                <w:szCs w:val="22"/>
              </w:rPr>
              <w:t>Указано в пункте 9 информационной карты извещения о закупке.</w:t>
            </w:r>
          </w:p>
        </w:tc>
      </w:tr>
      <w:tr>
        <w:trPr>
          <w:trHeight w:val="1123"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before="0" w:after="60"/>
              <w:rPr>
                <w:color w:val="000000" w:themeColor="text1"/>
                <w:sz w:val="22"/>
                <w:szCs w:val="22"/>
              </w:rPr>
            </w:pPr>
            <w:r>
              <w:rPr>
                <w:color w:val="000000" w:themeColor="text1"/>
                <w:sz w:val="22"/>
                <w:szCs w:val="22"/>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60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before="0" w:after="60"/>
              <w:rPr>
                <w:color w:val="000000" w:themeColor="text1"/>
                <w:sz w:val="22"/>
                <w:szCs w:val="22"/>
              </w:rPr>
            </w:pPr>
            <w:r>
              <w:rPr>
                <w:bCs/>
                <w:color w:val="000000" w:themeColor="text1"/>
                <w:sz w:val="22"/>
                <w:szCs w:val="22"/>
              </w:rPr>
              <w:t>Указано в пункте 10 информационной карты извещения о закупке.</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573" w:leader="none"/>
              </w:tabs>
              <w:rPr>
                <w:bCs/>
                <w:color w:val="000000" w:themeColor="text1"/>
                <w:sz w:val="22"/>
                <w:szCs w:val="22"/>
              </w:rPr>
            </w:pPr>
            <w:r>
              <w:rPr>
                <w:bCs/>
                <w:color w:val="000000" w:themeColor="text1"/>
                <w:sz w:val="22"/>
                <w:szCs w:val="22"/>
              </w:rPr>
              <w:t>Участник закупки обязан указать конкретные показатели товаров поставляемых при оказании услуг, выполнении работ товаров, соответствующие всем значениям параметров, значения и показатели которых установлены в техническом задании, являющимся неотъемлемой частью настоящей документации о закупке.</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Описание оказываемых услуг, которые являются предметом закупки, указывается в форме заявки в соответствии с требованиями документации и извещения.</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являющимся неотъемлемой частью настоящей документации о закупке.</w:t>
            </w:r>
          </w:p>
          <w:p>
            <w:pPr>
              <w:pStyle w:val="Normal"/>
              <w:widowControl w:val="false"/>
              <w:tabs>
                <w:tab w:val="clear" w:pos="708"/>
                <w:tab w:val="left" w:pos="573" w:leader="none"/>
              </w:tabs>
              <w:rPr>
                <w:bCs/>
                <w:color w:val="000000" w:themeColor="text1"/>
                <w:sz w:val="22"/>
                <w:szCs w:val="22"/>
              </w:rPr>
            </w:pPr>
            <w:r>
              <w:rPr>
                <w:bCs/>
                <w:color w:val="000000" w:themeColor="text1"/>
                <w:sz w:val="22"/>
                <w:szCs w:val="22"/>
              </w:rPr>
              <w:t>В случае, если в документации о закупке в электронной форме для определения соответствия закупаемых услуг, работ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разделе «Описание предмета закупки» настоящей документации, участник закупки должен указать конкретный показатель, соответствующий значениям, установленным нормативно-технической документацией.</w:t>
            </w:r>
          </w:p>
          <w:p>
            <w:pPr>
              <w:pStyle w:val="Normal"/>
              <w:widowControl w:val="false"/>
              <w:snapToGrid w:val="false"/>
              <w:rPr>
                <w:bCs/>
                <w:color w:val="000000" w:themeColor="text1"/>
                <w:sz w:val="22"/>
                <w:szCs w:val="22"/>
              </w:rPr>
            </w:pPr>
            <w:r>
              <w:rPr>
                <w:bCs/>
                <w:color w:val="000000" w:themeColor="text1"/>
                <w:sz w:val="22"/>
                <w:szCs w:val="22"/>
              </w:rPr>
              <w:t>Информация, содержащаяся в заявке на участие, не должны допускать двусмысленных толкований (разночтений), должны трактоваться однозначно.</w:t>
            </w:r>
          </w:p>
          <w:p>
            <w:pPr>
              <w:pStyle w:val="Normal"/>
              <w:widowControl w:val="false"/>
              <w:snapToGrid w:val="false"/>
              <w:rPr>
                <w:bCs/>
                <w:color w:val="000000" w:themeColor="text1"/>
                <w:sz w:val="22"/>
                <w:szCs w:val="22"/>
              </w:rPr>
            </w:pPr>
            <w:r>
              <w:rPr>
                <w:bCs/>
                <w:color w:val="000000" w:themeColor="text1"/>
                <w:sz w:val="22"/>
                <w:szCs w:val="22"/>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pPr>
              <w:pStyle w:val="Normal"/>
              <w:widowControl w:val="false"/>
              <w:snapToGrid w:val="false"/>
              <w:rPr>
                <w:bCs/>
                <w:color w:val="000000" w:themeColor="text1"/>
                <w:sz w:val="22"/>
                <w:szCs w:val="22"/>
              </w:rPr>
            </w:pPr>
            <w:r>
              <w:rPr>
                <w:bCs/>
                <w:color w:val="000000" w:themeColor="text1"/>
                <w:sz w:val="22"/>
                <w:szCs w:val="22"/>
              </w:rPr>
              <w:t>Участники закупки при предоставлении конкретных показателей, соответствующих значениям, установленным в документации должны учитывать, что:</w:t>
            </w:r>
          </w:p>
          <w:p>
            <w:pPr>
              <w:pStyle w:val="Normal"/>
              <w:widowControl w:val="false"/>
              <w:snapToGrid w:val="false"/>
              <w:rPr>
                <w:bCs/>
                <w:color w:val="000000" w:themeColor="text1"/>
                <w:sz w:val="22"/>
                <w:szCs w:val="22"/>
              </w:rPr>
            </w:pPr>
            <w:r>
              <w:rPr>
                <w:bCs/>
                <w:color w:val="000000" w:themeColor="text1"/>
                <w:sz w:val="22"/>
                <w:szCs w:val="22"/>
              </w:rPr>
              <w:t>-</w:t>
              <w:tab/>
              <w:t>показатели, значения которых являются точными, не подлежат изменению и предоставляются в заявки на участие в закупке в соответствии с документацией;</w:t>
            </w:r>
          </w:p>
          <w:p>
            <w:pPr>
              <w:pStyle w:val="Normal"/>
              <w:widowControl w:val="false"/>
              <w:snapToGrid w:val="false"/>
              <w:rPr>
                <w:bCs/>
                <w:color w:val="000000" w:themeColor="text1"/>
                <w:sz w:val="22"/>
                <w:szCs w:val="22"/>
              </w:rPr>
            </w:pPr>
            <w:r>
              <w:rPr>
                <w:bCs/>
                <w:color w:val="000000" w:themeColor="text1"/>
                <w:sz w:val="22"/>
                <w:szCs w:val="22"/>
              </w:rPr>
              <w:t>-</w:t>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
          <w:p>
            <w:pPr>
              <w:pStyle w:val="Normal"/>
              <w:widowControl w:val="false"/>
              <w:snapToGrid w:val="false"/>
              <w:rPr>
                <w:bCs/>
                <w:color w:val="000000" w:themeColor="text1"/>
                <w:sz w:val="22"/>
                <w:szCs w:val="22"/>
              </w:rPr>
            </w:pPr>
            <w:r>
              <w:rPr>
                <w:bCs/>
                <w:color w:val="000000" w:themeColor="text1"/>
                <w:sz w:val="22"/>
                <w:szCs w:val="22"/>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pPr>
              <w:pStyle w:val="Normal"/>
              <w:widowControl w:val="false"/>
              <w:snapToGrid w:val="false"/>
              <w:rPr>
                <w:bCs/>
                <w:color w:val="000000" w:themeColor="text1"/>
                <w:sz w:val="22"/>
                <w:szCs w:val="22"/>
              </w:rPr>
            </w:pPr>
            <w:r>
              <w:rPr>
                <w:bCs/>
                <w:color w:val="000000" w:themeColor="text1"/>
                <w:sz w:val="22"/>
                <w:szCs w:val="22"/>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pPr>
              <w:pStyle w:val="Normal"/>
              <w:widowControl w:val="false"/>
              <w:snapToGrid w:val="false"/>
              <w:rPr>
                <w:bCs/>
                <w:color w:val="000000" w:themeColor="text1"/>
                <w:sz w:val="22"/>
                <w:szCs w:val="22"/>
              </w:rPr>
            </w:pPr>
            <w:r>
              <w:rPr>
                <w:bCs/>
                <w:color w:val="000000" w:themeColor="text1"/>
                <w:sz w:val="22"/>
                <w:szCs w:val="22"/>
              </w:rPr>
              <w:t>Все характеристики объекта закупки, указанные в техническом задании, обязательны для предоставления в заявки на участие в соответствии с вышеуказанными требованиями.</w:t>
            </w:r>
          </w:p>
          <w:p>
            <w:pPr>
              <w:pStyle w:val="Normal"/>
              <w:widowControl w:val="false"/>
              <w:snapToGrid w:val="false"/>
              <w:rPr>
                <w:bCs/>
                <w:color w:val="000000" w:themeColor="text1"/>
                <w:sz w:val="22"/>
                <w:szCs w:val="22"/>
              </w:rPr>
            </w:pPr>
            <w:r>
              <w:rPr>
                <w:bCs/>
                <w:color w:val="000000" w:themeColor="text1"/>
                <w:sz w:val="22"/>
                <w:szCs w:val="22"/>
              </w:rPr>
              <w:t>Рекомендуемая форма заявки указана в приложении.</w:t>
            </w:r>
          </w:p>
          <w:p>
            <w:pPr>
              <w:pStyle w:val="Normal"/>
              <w:widowControl w:val="false"/>
              <w:tabs>
                <w:tab w:val="clear" w:pos="708"/>
                <w:tab w:val="left" w:pos="573" w:leader="none"/>
              </w:tabs>
              <w:spacing w:before="0" w:after="60"/>
              <w:rPr>
                <w:bCs/>
                <w:color w:val="000000" w:themeColor="text1"/>
                <w:sz w:val="22"/>
                <w:szCs w:val="22"/>
              </w:rPr>
            </w:pPr>
            <w:r>
              <w:rPr>
                <w:bCs/>
                <w:color w:val="000000" w:themeColor="text1"/>
                <w:sz w:val="22"/>
                <w:szCs w:val="22"/>
              </w:rPr>
            </w:r>
          </w:p>
        </w:tc>
      </w:tr>
      <w:tr>
        <w:trPr>
          <w:trHeight w:val="404"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Требования к сроку и (или) объему предоставления гарантий </w:t>
            </w:r>
          </w:p>
        </w:tc>
        <w:tc>
          <w:tcPr>
            <w:tcW w:w="6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573" w:leader="none"/>
              </w:tabs>
              <w:spacing w:before="0" w:after="60"/>
              <w:rPr>
                <w:bCs/>
                <w:color w:val="000000" w:themeColor="text1"/>
                <w:sz w:val="22"/>
                <w:szCs w:val="22"/>
              </w:rPr>
            </w:pPr>
            <w:r>
              <w:rPr>
                <w:bCs/>
                <w:color w:val="000000" w:themeColor="text1"/>
                <w:sz w:val="22"/>
                <w:szCs w:val="22"/>
              </w:rPr>
              <w:t>В соответствии с проектом Договора</w:t>
            </w:r>
          </w:p>
        </w:tc>
      </w:tr>
      <w:tr>
        <w:trPr>
          <w:trHeight w:val="149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0"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Порядок, место, дата начала и дата окончания срока подачи заявок на участие в конкурсе</w:t>
            </w:r>
          </w:p>
        </w:tc>
        <w:tc>
          <w:tcPr>
            <w:tcW w:w="6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Cs/>
                <w:color w:val="000000" w:themeColor="text1"/>
                <w:sz w:val="22"/>
                <w:szCs w:val="22"/>
              </w:rPr>
              <w:t>Указано в пунктах 8.1. – 8.4 информационной карты извещения о закупке.</w:t>
            </w:r>
          </w:p>
        </w:tc>
      </w:tr>
      <w:tr>
        <w:trPr>
          <w:trHeight w:val="30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left"/>
              <w:rPr>
                <w:b/>
                <w:color w:val="000000" w:themeColor="text1"/>
                <w:sz w:val="22"/>
                <w:szCs w:val="22"/>
              </w:rPr>
            </w:pPr>
            <w:r>
              <w:rPr>
                <w:b/>
                <w:color w:val="000000" w:themeColor="text1"/>
                <w:sz w:val="22"/>
                <w:szCs w:val="22"/>
              </w:rPr>
            </w:r>
          </w:p>
        </w:tc>
        <w:tc>
          <w:tcPr>
            <w:tcW w:w="3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Дата рассмотрения предложений участников такой закупки и подведения итогов такой закупки</w:t>
            </w:r>
          </w:p>
        </w:tc>
        <w:tc>
          <w:tcPr>
            <w:tcW w:w="6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1276" w:leader="none"/>
              </w:tabs>
              <w:rPr>
                <w:color w:val="000000" w:themeColor="text1"/>
                <w:sz w:val="22"/>
                <w:szCs w:val="22"/>
              </w:rPr>
            </w:pPr>
            <w:r>
              <w:rPr>
                <w:color w:val="000000" w:themeColor="text1"/>
                <w:sz w:val="22"/>
                <w:szCs w:val="22"/>
              </w:rPr>
            </w:r>
          </w:p>
          <w:p>
            <w:pPr>
              <w:pStyle w:val="Normal"/>
              <w:widowControl w:val="false"/>
              <w:tabs>
                <w:tab w:val="clear" w:pos="708"/>
                <w:tab w:val="left" w:pos="1276" w:leader="none"/>
              </w:tabs>
              <w:spacing w:before="0" w:after="60"/>
              <w:rPr>
                <w:color w:val="000000" w:themeColor="text1"/>
                <w:sz w:val="22"/>
                <w:szCs w:val="22"/>
              </w:rPr>
            </w:pPr>
            <w:r>
              <w:rPr>
                <w:bCs/>
                <w:color w:val="000000" w:themeColor="text1"/>
                <w:sz w:val="22"/>
                <w:szCs w:val="22"/>
              </w:rPr>
              <w:t>Указано в пунктах 8.5. – 8.6 информационной карты извещения о закупке.</w:t>
            </w:r>
          </w:p>
        </w:tc>
      </w:tr>
      <w:tr>
        <w:trPr>
          <w:trHeight w:val="20"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Условия допуска к участию в конкурсе в электронной форме</w:t>
            </w:r>
          </w:p>
        </w:tc>
        <w:tc>
          <w:tcPr>
            <w:tcW w:w="60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color w:val="000000" w:themeColor="text1"/>
                <w:sz w:val="22"/>
                <w:szCs w:val="22"/>
              </w:rPr>
            </w:pPr>
            <w:r>
              <w:rPr>
                <w:color w:val="000000" w:themeColor="text1"/>
                <w:sz w:val="22"/>
                <w:szCs w:val="22"/>
              </w:rPr>
              <w:t xml:space="preserve">1. С целью подведения итогов конкурса в электронной форме комиссия осуществляет рассмотрение и оценку заявок на участие в конкурсе в электронной форме. </w:t>
            </w:r>
          </w:p>
          <w:p>
            <w:pPr>
              <w:pStyle w:val="Normal"/>
              <w:widowControl w:val="false"/>
              <w:rPr>
                <w:color w:val="000000" w:themeColor="text1"/>
                <w:sz w:val="22"/>
                <w:szCs w:val="22"/>
              </w:rPr>
            </w:pPr>
            <w:r>
              <w:rPr>
                <w:color w:val="000000" w:themeColor="text1"/>
                <w:sz w:val="22"/>
                <w:szCs w:val="22"/>
              </w:rPr>
              <w:t>2. Комиссия осуществляет рассмотрение заявок на участие в конкурсе в электронной форме, в том числе заявки на участие в конкурсе в электронной форме единственного участника конкурса в электронной форме.</w:t>
            </w:r>
          </w:p>
          <w:p>
            <w:pPr>
              <w:pStyle w:val="Normal"/>
              <w:widowControl w:val="false"/>
              <w:rPr>
                <w:color w:val="000000" w:themeColor="text1"/>
                <w:sz w:val="22"/>
                <w:szCs w:val="22"/>
              </w:rPr>
            </w:pPr>
            <w:r>
              <w:rPr>
                <w:color w:val="000000" w:themeColor="text1"/>
                <w:sz w:val="22"/>
                <w:szCs w:val="22"/>
              </w:rPr>
              <w:t>По результатам рассмотрения заявок на участие в 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извещении о проведении конкурса в электронной форме, документации о конкурсе в электронной форме, или об отклонении заявки на участие в конкурсе в электронной форме.</w:t>
            </w:r>
          </w:p>
          <w:p>
            <w:pPr>
              <w:pStyle w:val="Normal"/>
              <w:widowControl w:val="false"/>
              <w:rPr>
                <w:color w:val="000000" w:themeColor="text1"/>
                <w:sz w:val="22"/>
                <w:szCs w:val="22"/>
              </w:rPr>
            </w:pPr>
            <w:r>
              <w:rPr>
                <w:color w:val="000000" w:themeColor="text1"/>
                <w:sz w:val="22"/>
                <w:szCs w:val="22"/>
              </w:rPr>
              <w:t>3. Комиссия осуществляет оценку заявок на участие в конкурсе в электронной форме, которые не были отклонены, за исключением заявки единственного участника конкурса в электронной форме, при которой определяется победитель конкурса в электронной форме на основе критериев оценки, установленных в документации о конкурсе в электронной форме.</w:t>
            </w:r>
          </w:p>
          <w:p>
            <w:pPr>
              <w:pStyle w:val="Normal"/>
              <w:widowControl w:val="false"/>
              <w:rPr>
                <w:color w:val="000000" w:themeColor="text1"/>
                <w:sz w:val="22"/>
                <w:szCs w:val="22"/>
              </w:rPr>
            </w:pPr>
            <w:r>
              <w:rPr>
                <w:color w:val="000000" w:themeColor="text1"/>
                <w:sz w:val="22"/>
                <w:szCs w:val="22"/>
              </w:rPr>
              <w:t>Победителем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первый номер.</w:t>
            </w:r>
          </w:p>
          <w:p>
            <w:pPr>
              <w:pStyle w:val="Normal"/>
              <w:widowControl w:val="false"/>
              <w:rPr>
                <w:color w:val="000000" w:themeColor="text1"/>
                <w:sz w:val="22"/>
                <w:szCs w:val="22"/>
              </w:rPr>
            </w:pPr>
            <w:r>
              <w:rPr>
                <w:color w:val="000000" w:themeColor="text1"/>
                <w:sz w:val="22"/>
                <w:szCs w:val="22"/>
              </w:rPr>
              <w:t>Вторым участником конкурса в электронной форме признается участник конкурса в электронной форме, заявка на участие в конкурсе в электронной форме которого признана соответствующей требованиям, установленным в извещении о проведении конкурса в электронной форме, документации о конкурсе в электронной форме, и заявке на участие в конкурсе в электронной форме которого присвоен второй номер.</w:t>
            </w:r>
          </w:p>
          <w:p>
            <w:pPr>
              <w:pStyle w:val="Normal"/>
              <w:widowControl w:val="false"/>
              <w:rPr>
                <w:color w:val="000000" w:themeColor="text1"/>
                <w:sz w:val="22"/>
                <w:szCs w:val="22"/>
              </w:rPr>
            </w:pPr>
            <w:r>
              <w:rPr>
                <w:color w:val="000000" w:themeColor="text1"/>
                <w:sz w:val="22"/>
                <w:szCs w:val="22"/>
              </w:rPr>
              <w:t>4. Результаты рассмотрения и оценки заявок на участие в конкурсе в электронной форме вносятся в протокол рассмотрения и оценки заявок на участие в конкурсе в электронной форме, являющийся итоговым протоколом.</w:t>
            </w:r>
          </w:p>
          <w:p>
            <w:pPr>
              <w:pStyle w:val="Normal"/>
              <w:widowControl w:val="false"/>
              <w:rPr>
                <w:color w:val="000000" w:themeColor="text1"/>
                <w:sz w:val="22"/>
                <w:szCs w:val="22"/>
              </w:rPr>
            </w:pPr>
            <w:r>
              <w:rPr>
                <w:color w:val="000000" w:themeColor="text1"/>
                <w:sz w:val="22"/>
                <w:szCs w:val="22"/>
              </w:rPr>
            </w:r>
          </w:p>
          <w:p>
            <w:pPr>
              <w:pStyle w:val="Normal"/>
              <w:widowControl w:val="false"/>
              <w:rPr>
                <w:color w:val="000000" w:themeColor="text1"/>
                <w:sz w:val="22"/>
                <w:szCs w:val="22"/>
              </w:rPr>
            </w:pPr>
            <w:r>
              <w:rPr>
                <w:color w:val="000000" w:themeColor="text1"/>
                <w:sz w:val="22"/>
                <w:szCs w:val="22"/>
              </w:rPr>
              <w:t>Рассмотрение, оценка и сопоставление конкурсных заявок осуществляется в следующем порядке:</w:t>
            </w:r>
          </w:p>
          <w:p>
            <w:pPr>
              <w:pStyle w:val="Normal"/>
              <w:widowControl w:val="false"/>
              <w:rPr>
                <w:color w:val="000000" w:themeColor="text1"/>
                <w:sz w:val="22"/>
                <w:szCs w:val="22"/>
              </w:rPr>
            </w:pPr>
            <w:r>
              <w:rPr>
                <w:color w:val="000000" w:themeColor="text1"/>
                <w:sz w:val="22"/>
                <w:szCs w:val="22"/>
              </w:rPr>
              <w:t>1)</w:t>
              <w:tab/>
              <w:t>проведение отборочной стадии;</w:t>
            </w:r>
          </w:p>
          <w:p>
            <w:pPr>
              <w:pStyle w:val="Normal"/>
              <w:widowControl w:val="false"/>
              <w:rPr>
                <w:color w:val="000000" w:themeColor="text1"/>
                <w:sz w:val="22"/>
                <w:szCs w:val="22"/>
              </w:rPr>
            </w:pPr>
            <w:r>
              <w:rPr>
                <w:color w:val="000000" w:themeColor="text1"/>
                <w:sz w:val="22"/>
                <w:szCs w:val="22"/>
              </w:rPr>
              <w:t>2)</w:t>
              <w:tab/>
              <w:t>проведение оценочной стадии.</w:t>
            </w:r>
          </w:p>
          <w:p>
            <w:pPr>
              <w:pStyle w:val="Normal"/>
              <w:widowControl w:val="false"/>
              <w:rPr>
                <w:color w:val="000000" w:themeColor="text1"/>
                <w:sz w:val="22"/>
                <w:szCs w:val="22"/>
              </w:rPr>
            </w:pPr>
            <w:r>
              <w:rPr>
                <w:color w:val="000000" w:themeColor="text1"/>
                <w:sz w:val="22"/>
                <w:szCs w:val="22"/>
              </w:rPr>
              <w:t>1. В рамках отборочной стадии последовательно выполняются следующие действия:</w:t>
            </w:r>
          </w:p>
          <w:p>
            <w:pPr>
              <w:pStyle w:val="Normal"/>
              <w:widowControl w:val="false"/>
              <w:rPr>
                <w:color w:val="000000" w:themeColor="text1"/>
                <w:sz w:val="22"/>
                <w:szCs w:val="22"/>
              </w:rPr>
            </w:pPr>
            <w:r>
              <w:rPr>
                <w:color w:val="000000" w:themeColor="text1"/>
                <w:sz w:val="22"/>
                <w:szCs w:val="22"/>
              </w:rPr>
              <w:t>1) проверка участников закупки на соответствие требованиям заказчика и проверка их заявок на соблюдение требований конкурсной документации к составу, содержанию и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pPr>
              <w:pStyle w:val="Normal"/>
              <w:widowControl w:val="false"/>
              <w:rPr>
                <w:color w:val="000000" w:themeColor="text1"/>
                <w:sz w:val="22"/>
                <w:szCs w:val="22"/>
              </w:rPr>
            </w:pPr>
            <w:r>
              <w:rPr>
                <w:color w:val="000000" w:themeColor="text1"/>
                <w:sz w:val="22"/>
                <w:szCs w:val="22"/>
              </w:rPr>
              <w:t xml:space="preserve">2) отклонение конкурсных заявок, которые, по мнению членов комиссии по закупкам,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pPr>
              <w:pStyle w:val="Normal"/>
              <w:widowControl w:val="false"/>
              <w:rPr>
                <w:color w:val="000000" w:themeColor="text1"/>
                <w:sz w:val="22"/>
                <w:szCs w:val="22"/>
              </w:rPr>
            </w:pPr>
            <w:r>
              <w:rPr>
                <w:color w:val="000000" w:themeColor="text1"/>
                <w:sz w:val="22"/>
                <w:szCs w:val="22"/>
              </w:rPr>
              <w:t>2. Участнику закупки будет отказано в дальнейшем участии в закупке, и его заявка не будет допущена до оценочной стадии в случаях:</w:t>
            </w:r>
          </w:p>
          <w:p>
            <w:pPr>
              <w:pStyle w:val="Normal"/>
              <w:widowControl w:val="false"/>
              <w:rPr>
                <w:color w:val="000000" w:themeColor="text1"/>
                <w:sz w:val="22"/>
                <w:szCs w:val="22"/>
              </w:rPr>
            </w:pPr>
            <w:r>
              <w:rPr>
                <w:color w:val="000000" w:themeColor="text1"/>
                <w:sz w:val="22"/>
                <w:szCs w:val="22"/>
              </w:rPr>
              <w:t>1) несоответствия участника закупки требованиям к участникам конкурса, установленным конкурсной документацией.</w:t>
            </w:r>
          </w:p>
          <w:p>
            <w:pPr>
              <w:pStyle w:val="Normal"/>
              <w:widowControl w:val="false"/>
              <w:rPr>
                <w:color w:val="000000" w:themeColor="text1"/>
                <w:sz w:val="22"/>
                <w:szCs w:val="22"/>
              </w:rPr>
            </w:pPr>
            <w:r>
              <w:rPr>
                <w:color w:val="000000" w:themeColor="text1"/>
                <w:sz w:val="22"/>
                <w:szCs w:val="22"/>
              </w:rPr>
              <w:t>2)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обеспечения заявки на участие в конкурсе.</w:t>
            </w:r>
          </w:p>
          <w:p>
            <w:pPr>
              <w:pStyle w:val="Normal"/>
              <w:widowControl w:val="false"/>
              <w:rPr>
                <w:color w:val="000000" w:themeColor="text1"/>
                <w:sz w:val="22"/>
                <w:szCs w:val="22"/>
              </w:rPr>
            </w:pPr>
            <w:r>
              <w:rPr>
                <w:color w:val="000000" w:themeColor="text1"/>
                <w:sz w:val="22"/>
                <w:szCs w:val="22"/>
              </w:rPr>
              <w:t>3) несоответствия предлагаемых товаров, работ, услуг требованиям конкурсной документации.</w:t>
            </w:r>
          </w:p>
          <w:p>
            <w:pPr>
              <w:pStyle w:val="Normal"/>
              <w:widowControl w:val="false"/>
              <w:rPr>
                <w:color w:val="000000" w:themeColor="text1"/>
                <w:sz w:val="22"/>
                <w:szCs w:val="22"/>
              </w:rPr>
            </w:pPr>
            <w:r>
              <w:rPr>
                <w:color w:val="000000" w:themeColor="text1"/>
                <w:sz w:val="22"/>
                <w:szCs w:val="22"/>
              </w:rPr>
              <w:t>4) непоступления обеспечения заявки.</w:t>
            </w:r>
          </w:p>
          <w:p>
            <w:pPr>
              <w:pStyle w:val="Normal"/>
              <w:widowControl w:val="false"/>
              <w:rPr>
                <w:color w:val="000000" w:themeColor="text1"/>
                <w:sz w:val="22"/>
                <w:szCs w:val="22"/>
              </w:rPr>
            </w:pPr>
            <w:r>
              <w:rPr>
                <w:color w:val="000000" w:themeColor="text1"/>
                <w:sz w:val="22"/>
                <w:szCs w:val="22"/>
              </w:rPr>
              <w:t>5)непредоставления документов, предоставление которых согласно документации о конкурентной закупке является обязательным, непредставление разъяснений положений конкурсной заявки по запросу комиссии по осуществлению закупок.</w:t>
            </w:r>
          </w:p>
          <w:p>
            <w:pPr>
              <w:pStyle w:val="Normal"/>
              <w:widowControl w:val="false"/>
              <w:rPr>
                <w:color w:val="000000" w:themeColor="text1"/>
                <w:sz w:val="22"/>
                <w:szCs w:val="22"/>
              </w:rPr>
            </w:pPr>
            <w:r>
              <w:rPr>
                <w:color w:val="000000" w:themeColor="text1"/>
                <w:sz w:val="22"/>
                <w:szCs w:val="22"/>
              </w:rPr>
              <w:t>6) предоставления в составе конкурсной заявки заведомо недостоверных сведений, намеренного искажения информации или документов, входящих в состав заявки.</w:t>
            </w:r>
          </w:p>
          <w:p>
            <w:pPr>
              <w:pStyle w:val="Normal"/>
              <w:widowControl w:val="false"/>
              <w:rPr>
                <w:color w:val="000000" w:themeColor="text1"/>
                <w:sz w:val="22"/>
                <w:szCs w:val="22"/>
              </w:rPr>
            </w:pPr>
            <w:r>
              <w:rPr>
                <w:color w:val="000000" w:themeColor="text1"/>
                <w:sz w:val="22"/>
                <w:szCs w:val="22"/>
              </w:rPr>
              <w:t>7) подачи двух и более заявок от одного участника при условии, что ранее поданные заявки не отозваны.</w:t>
            </w:r>
          </w:p>
          <w:p>
            <w:pPr>
              <w:pStyle w:val="Normal"/>
              <w:widowControl w:val="false"/>
              <w:spacing w:before="0" w:after="60"/>
              <w:rPr>
                <w:color w:val="000000" w:themeColor="text1"/>
                <w:sz w:val="22"/>
                <w:szCs w:val="22"/>
              </w:rPr>
            </w:pPr>
            <w:r>
              <w:rPr>
                <w:color w:val="000000" w:themeColor="text1"/>
                <w:sz w:val="22"/>
                <w:szCs w:val="22"/>
              </w:rPr>
              <w:t>3. В случае установления недостоверности сведений, содержащихся в конкурсной заявке, несоответствия участника закупки требованиям конкурсной документации такой участник закупки отстраняется от участия в конкурсе на любом этапе его проведения.</w:t>
            </w:r>
          </w:p>
        </w:tc>
      </w:tr>
      <w:tr>
        <w:trPr>
          <w:trHeight w:val="20"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35" w:leader="none"/>
              </w:tabs>
              <w:spacing w:before="0" w:after="60"/>
              <w:rPr>
                <w:sz w:val="22"/>
                <w:szCs w:val="22"/>
              </w:rPr>
            </w:pPr>
            <w:r>
              <w:rPr>
                <w:sz w:val="22"/>
                <w:szCs w:val="22"/>
              </w:rPr>
              <w:t>Признание закупки несостоявшейся</w:t>
            </w:r>
          </w:p>
        </w:tc>
        <w:tc>
          <w:tcPr>
            <w:tcW w:w="600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center" w:pos="3235" w:leader="none"/>
              </w:tabs>
              <w:rPr>
                <w:sz w:val="22"/>
                <w:szCs w:val="22"/>
              </w:rPr>
            </w:pPr>
            <w:r>
              <w:rPr>
                <w:sz w:val="22"/>
                <w:szCs w:val="22"/>
              </w:rPr>
              <w:t>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вправе заключить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Конкурс в этом случае признается несостоявшимся. Эта информация вносится в протокол о подведении итогов конкурса.</w:t>
            </w:r>
          </w:p>
          <w:p>
            <w:pPr>
              <w:pStyle w:val="Normal"/>
              <w:widowControl w:val="false"/>
              <w:tabs>
                <w:tab w:val="clear" w:pos="708"/>
                <w:tab w:val="center" w:pos="3235" w:leader="none"/>
              </w:tabs>
              <w:rPr>
                <w:sz w:val="22"/>
                <w:szCs w:val="22"/>
              </w:rPr>
            </w:pPr>
            <w:r>
              <w:rPr>
                <w:sz w:val="22"/>
                <w:szCs w:val="22"/>
              </w:rPr>
              <w:t>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дальнейшем участии в закупке всем участникам, подавшим заявки, конкурс признается несостоявшимся, Заказчик вправе осуществить закупку у единственного поставщика (исполнителя, подрядчика).</w:t>
            </w:r>
          </w:p>
          <w:p>
            <w:pPr>
              <w:pStyle w:val="Normal"/>
              <w:widowControl w:val="false"/>
              <w:tabs>
                <w:tab w:val="clear" w:pos="708"/>
                <w:tab w:val="center" w:pos="3235" w:leader="none"/>
              </w:tabs>
              <w:rPr>
                <w:sz w:val="22"/>
                <w:szCs w:val="22"/>
              </w:rPr>
            </w:pPr>
            <w:r>
              <w:rPr>
                <w:sz w:val="22"/>
                <w:szCs w:val="22"/>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pPr>
              <w:pStyle w:val="Normal"/>
              <w:widowControl w:val="false"/>
              <w:tabs>
                <w:tab w:val="clear" w:pos="708"/>
                <w:tab w:val="center" w:pos="3235" w:leader="none"/>
              </w:tabs>
              <w:spacing w:before="0" w:after="60"/>
              <w:rPr>
                <w:sz w:val="22"/>
                <w:szCs w:val="22"/>
              </w:rPr>
            </w:pPr>
            <w:r>
              <w:rPr>
                <w:sz w:val="22"/>
                <w:szCs w:val="22"/>
              </w:rPr>
              <w:t>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открытый конкурс признается несостоявшимся, комиссия по закупкам осуществит вскрытие конверта с такой заявкой и рассмотрит ее в порядке, установленном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rPr>
                <w:color w:val="000000" w:themeColor="text1"/>
                <w:sz w:val="22"/>
                <w:szCs w:val="22"/>
              </w:rPr>
            </w:pPr>
            <w:r>
              <w:rPr>
                <w:color w:val="000000" w:themeColor="text1"/>
                <w:sz w:val="22"/>
                <w:szCs w:val="22"/>
              </w:rPr>
              <w:t>Порядок заключения договора</w:t>
            </w:r>
          </w:p>
        </w:tc>
        <w:tc>
          <w:tcPr>
            <w:tcW w:w="6005"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themeColor="text1"/>
                <w:sz w:val="22"/>
                <w:szCs w:val="22"/>
              </w:rPr>
            </w:pPr>
            <w:r>
              <w:rPr>
                <w:color w:val="000000" w:themeColor="text1"/>
                <w:sz w:val="22"/>
                <w:szCs w:val="22"/>
              </w:rPr>
              <w:t>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w:t>
            </w:r>
          </w:p>
          <w:p>
            <w:pPr>
              <w:pStyle w:val="Normal"/>
              <w:widowControl w:val="false"/>
              <w:rPr>
                <w:color w:val="000000" w:themeColor="text1"/>
                <w:sz w:val="22"/>
                <w:szCs w:val="22"/>
              </w:rPr>
            </w:pPr>
            <w:r>
              <w:rPr>
                <w:color w:val="000000" w:themeColor="text1"/>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pPr>
              <w:pStyle w:val="Normal"/>
              <w:widowControl w:val="false"/>
              <w:rPr>
                <w:color w:val="000000" w:themeColor="text1"/>
                <w:sz w:val="22"/>
                <w:szCs w:val="22"/>
              </w:rPr>
            </w:pPr>
            <w:r>
              <w:rPr>
                <w:color w:val="000000" w:themeColor="text1"/>
                <w:sz w:val="22"/>
                <w:szCs w:val="22"/>
              </w:rPr>
              <w:t>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w:t>
            </w:r>
          </w:p>
          <w:p>
            <w:pPr>
              <w:pStyle w:val="Normal"/>
              <w:widowControl w:val="false"/>
              <w:rPr>
                <w:color w:val="000000" w:themeColor="text1"/>
                <w:sz w:val="22"/>
                <w:szCs w:val="22"/>
              </w:rPr>
            </w:pPr>
            <w:r>
              <w:rPr>
                <w:color w:val="000000" w:themeColor="text1"/>
                <w:sz w:val="22"/>
                <w:szCs w:val="22"/>
              </w:rPr>
              <w:t>Победитель закупки (или иное лицо, с которым заключается договор)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pPr>
              <w:pStyle w:val="Normal"/>
              <w:widowControl w:val="false"/>
              <w:rPr>
                <w:color w:val="000000" w:themeColor="text1"/>
                <w:sz w:val="22"/>
                <w:szCs w:val="22"/>
              </w:rPr>
            </w:pPr>
            <w:r>
              <w:rPr>
                <w:color w:val="000000" w:themeColor="text1"/>
                <w:sz w:val="22"/>
                <w:szCs w:val="22"/>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pPr>
              <w:pStyle w:val="Normal"/>
              <w:widowControl w:val="false"/>
              <w:spacing w:before="0" w:after="60"/>
              <w:rPr>
                <w:color w:val="000000" w:themeColor="text1"/>
                <w:sz w:val="22"/>
                <w:szCs w:val="22"/>
              </w:rPr>
            </w:pPr>
            <w:r>
              <w:rPr>
                <w:color w:val="000000" w:themeColor="text1"/>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возможности Заказчика в одностороннем порядке отказаться от исполнения договора</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 xml:space="preserve">В соответствии с проектом договора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color w:val="000000" w:themeColor="text1"/>
                <w:sz w:val="22"/>
                <w:szCs w:val="22"/>
              </w:rPr>
            </w:pPr>
            <w:r>
              <w:rPr>
                <w:color w:val="000000" w:themeColor="text1"/>
                <w:sz w:val="22"/>
                <w:szCs w:val="22"/>
              </w:rPr>
              <w:t xml:space="preserve">В соответствии с проектом договора </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972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60"/>
              <w:rPr>
                <w:b/>
                <w:bCs/>
                <w:color w:val="000000" w:themeColor="text1"/>
                <w:sz w:val="22"/>
                <w:szCs w:val="22"/>
              </w:rPr>
            </w:pPr>
            <w:r>
              <w:rPr>
                <w:sz w:val="22"/>
                <w:szCs w:val="22"/>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настоящего Федерального закона в отношении товара, работы, услуги, являющихся предметом закупки:</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 xml:space="preserve">ЗАПРЕТ </w:t>
            </w:r>
            <w:r>
              <w:rPr>
                <w:sz w:val="22"/>
                <w:szCs w:val="22"/>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ОГРАНИЧЕНИЕ</w:t>
            </w:r>
            <w:r>
              <w:rPr>
                <w:sz w:val="22"/>
                <w:szCs w:val="22"/>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b/>
                <w:bCs/>
                <w:sz w:val="22"/>
                <w:szCs w:val="22"/>
              </w:rPr>
              <w:t>ПРЕИМУЩЕСТВО</w:t>
            </w:r>
            <w:r>
              <w:rPr>
                <w:sz w:val="22"/>
                <w:szCs w:val="22"/>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6005"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60"/>
              <w:rPr>
                <w:color w:val="000000" w:themeColor="text1"/>
                <w:sz w:val="22"/>
                <w:szCs w:val="22"/>
              </w:rPr>
            </w:pPr>
            <w:r>
              <w:rPr>
                <w:color w:val="000000" w:themeColor="text1"/>
                <w:sz w:val="22"/>
                <w:szCs w:val="22"/>
              </w:rPr>
              <w:t>Не установлено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возможности проведения переторжки и порядок ее проведения</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Не предусмотрено</w:t>
            </w:r>
          </w:p>
        </w:tc>
      </w:tr>
      <w:tr>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Сведения о праве Заказчика внести изменения в извещение и (или) документацию о закупке</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конкурса в электронной форме и (или) документацию о закупке.</w:t>
            </w:r>
          </w:p>
          <w:p>
            <w:pPr>
              <w:pStyle w:val="Normal"/>
              <w:widowControl w:val="false"/>
              <w:spacing w:before="0" w:after="60"/>
              <w:rPr>
                <w:color w:val="000000" w:themeColor="text1"/>
                <w:sz w:val="22"/>
                <w:szCs w:val="22"/>
                <w:highlight w:val="magenta"/>
              </w:rPr>
            </w:pPr>
            <w:r>
              <w:rPr>
                <w:color w:val="000000" w:themeColor="text1"/>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tc>
      </w:tr>
      <w:tr>
        <w:trPr>
          <w:trHeight w:val="488"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rPr>
                <w:color w:val="000000" w:themeColor="text1"/>
                <w:sz w:val="22"/>
                <w:szCs w:val="22"/>
              </w:rPr>
            </w:pPr>
            <w:r>
              <w:rPr>
                <w:color w:val="000000" w:themeColor="text1"/>
                <w:sz w:val="22"/>
                <w:szCs w:val="22"/>
              </w:rPr>
              <w:t>Сведения о праве Заказчика отказаться от проведения</w:t>
            </w:r>
          </w:p>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процедуры закупки</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rPr>
                <w:color w:val="000000" w:themeColor="text1"/>
                <w:sz w:val="22"/>
                <w:szCs w:val="22"/>
              </w:rPr>
            </w:pPr>
            <w:r>
              <w:rPr>
                <w:color w:val="000000" w:themeColor="text1"/>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pPr>
              <w:pStyle w:val="Normal"/>
              <w:widowControl w:val="false"/>
              <w:rPr>
                <w:color w:val="000000" w:themeColor="text1"/>
                <w:sz w:val="22"/>
                <w:szCs w:val="22"/>
              </w:rPr>
            </w:pPr>
            <w:r>
              <w:rPr>
                <w:color w:val="000000" w:themeColor="text1"/>
                <w:sz w:val="22"/>
                <w:szCs w:val="22"/>
              </w:rPr>
              <w:t>Решение об отмене конкурентной закупки размещается в ЕИС в день принятия этого решения.</w:t>
            </w:r>
          </w:p>
          <w:p>
            <w:pPr>
              <w:pStyle w:val="Normal"/>
              <w:widowControl w:val="false"/>
              <w:rPr>
                <w:color w:val="000000" w:themeColor="text1"/>
                <w:sz w:val="22"/>
                <w:szCs w:val="22"/>
              </w:rPr>
            </w:pPr>
            <w:r>
              <w:rPr>
                <w:color w:val="000000" w:themeColor="text1"/>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pPr>
              <w:pStyle w:val="Normal"/>
              <w:widowControl w:val="false"/>
              <w:spacing w:before="0" w:after="60"/>
              <w:rPr>
                <w:color w:val="000000" w:themeColor="text1"/>
                <w:sz w:val="22"/>
                <w:szCs w:val="22"/>
              </w:rPr>
            </w:pPr>
            <w:r>
              <w:rPr>
                <w:color w:val="000000" w:themeColor="text1"/>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numPr>
                <w:ilvl w:val="0"/>
                <w:numId w:val="4"/>
              </w:numPr>
              <w:tabs>
                <w:tab w:val="clear" w:pos="708"/>
                <w:tab w:val="left" w:pos="182" w:leader="none"/>
                <w:tab w:val="left" w:pos="546" w:leader="none"/>
              </w:tabs>
              <w:spacing w:lineRule="auto" w:line="259" w:before="0" w:after="160"/>
              <w:ind w:left="786" w:hanging="786"/>
              <w:jc w:val="center"/>
              <w:rPr>
                <w:b/>
                <w:color w:val="000000" w:themeColor="text1"/>
                <w:sz w:val="22"/>
                <w:szCs w:val="22"/>
              </w:rPr>
            </w:pPr>
            <w:r>
              <w:rPr>
                <w:b/>
                <w:color w:val="000000" w:themeColor="text1"/>
                <w:sz w:val="22"/>
                <w:szCs w:val="22"/>
              </w:rPr>
            </w:r>
          </w:p>
        </w:tc>
        <w:tc>
          <w:tcPr>
            <w:tcW w:w="3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08"/>
                <w:tab w:val="left" w:pos="1276" w:leader="none"/>
              </w:tabs>
              <w:spacing w:before="0" w:after="60"/>
              <w:rPr>
                <w:color w:val="000000" w:themeColor="text1"/>
                <w:sz w:val="22"/>
                <w:szCs w:val="22"/>
              </w:rPr>
            </w:pPr>
            <w:r>
              <w:rPr>
                <w:color w:val="000000" w:themeColor="text1"/>
                <w:sz w:val="22"/>
                <w:szCs w:val="22"/>
              </w:rPr>
              <w:t>Порядок рассмотрения, критерии оценки и сопоставления заявок</w:t>
            </w:r>
          </w:p>
        </w:tc>
        <w:tc>
          <w:tcPr>
            <w:tcW w:w="6005" w:type="dxa"/>
            <w:tcBorders>
              <w:top w:val="single" w:sz="6" w:space="0" w:color="000000"/>
              <w:left w:val="single" w:sz="6" w:space="0" w:color="000000"/>
              <w:bottom w:val="single" w:sz="6" w:space="0" w:color="000000"/>
              <w:right w:val="single" w:sz="6" w:space="0" w:color="000000"/>
            </w:tcBorders>
            <w:vAlign w:val="center"/>
          </w:tcPr>
          <w:p>
            <w:pPr>
              <w:pStyle w:val="Style57"/>
              <w:widowControl w:val="false"/>
              <w:rPr>
                <w:color w:val="000000" w:themeColor="text1"/>
                <w:sz w:val="22"/>
                <w:szCs w:val="22"/>
              </w:rPr>
            </w:pPr>
            <w:r>
              <w:rPr>
                <w:color w:val="000000" w:themeColor="text1"/>
                <w:sz w:val="22"/>
                <w:szCs w:val="22"/>
              </w:rPr>
              <w:t>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pPr>
              <w:pStyle w:val="Style57"/>
              <w:widowControl w:val="false"/>
              <w:rPr>
                <w:color w:val="000000" w:themeColor="text1"/>
                <w:sz w:val="22"/>
                <w:szCs w:val="22"/>
              </w:rPr>
            </w:pPr>
            <w:r>
              <w:rPr>
                <w:color w:val="000000" w:themeColor="text1"/>
                <w:sz w:val="22"/>
                <w:szCs w:val="22"/>
              </w:rPr>
              <w:t>Для критериев оценки заявок на участие в открытом конкурсе устанавливается их значимость в процентах.</w:t>
            </w:r>
          </w:p>
          <w:p>
            <w:pPr>
              <w:pStyle w:val="Style57"/>
              <w:widowControl w:val="false"/>
              <w:rPr>
                <w:color w:val="000000" w:themeColor="text1"/>
                <w:sz w:val="22"/>
                <w:szCs w:val="22"/>
              </w:rPr>
            </w:pPr>
            <w:r>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pPr>
              <w:pStyle w:val="Style57"/>
              <w:widowControl w:val="false"/>
              <w:rPr>
                <w:color w:val="000000" w:themeColor="text1"/>
                <w:sz w:val="22"/>
                <w:szCs w:val="22"/>
              </w:rPr>
            </w:pPr>
            <w:r>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pPr>
              <w:pStyle w:val="Style57"/>
              <w:widowControl w:val="false"/>
              <w:ind w:hanging="0"/>
              <w:rPr>
                <w:color w:val="000000" w:themeColor="text1"/>
                <w:sz w:val="22"/>
                <w:szCs w:val="22"/>
              </w:rPr>
            </w:pPr>
            <w:r>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r>
        <w:trPr>
          <w:trHeight w:val="269" w:hRule="atLeast"/>
        </w:trPr>
        <w:tc>
          <w:tcPr>
            <w:tcW w:w="649" w:type="dxa"/>
            <w:tcBorders>
              <w:top w:val="single" w:sz="6" w:space="0" w:color="000000"/>
              <w:left w:val="single" w:sz="6" w:space="0" w:color="000000"/>
              <w:bottom w:val="single" w:sz="6" w:space="0" w:color="000000"/>
              <w:right w:val="single" w:sz="6" w:space="0" w:color="000000"/>
            </w:tcBorders>
          </w:tcPr>
          <w:p>
            <w:pPr>
              <w:pStyle w:val="Normal"/>
              <w:widowControl w:val="false"/>
              <w:tabs>
                <w:tab w:val="clear" w:pos="708"/>
                <w:tab w:val="left" w:pos="182" w:leader="none"/>
                <w:tab w:val="left" w:pos="546" w:leader="none"/>
              </w:tabs>
              <w:spacing w:lineRule="auto" w:line="259" w:before="0" w:after="160"/>
              <w:ind w:left="426" w:hanging="0"/>
              <w:jc w:val="center"/>
              <w:rPr>
                <w:b/>
                <w:color w:val="000000" w:themeColor="text1"/>
                <w:sz w:val="22"/>
                <w:szCs w:val="22"/>
              </w:rPr>
            </w:pPr>
            <w:r>
              <w:rPr>
                <w:b/>
                <w:color w:val="000000" w:themeColor="text1"/>
                <w:sz w:val="22"/>
                <w:szCs w:val="22"/>
              </w:rPr>
            </w:r>
          </w:p>
        </w:tc>
        <w:tc>
          <w:tcPr>
            <w:tcW w:w="9725" w:type="dxa"/>
            <w:gridSpan w:val="2"/>
            <w:tcBorders>
              <w:top w:val="single" w:sz="6" w:space="0" w:color="000000"/>
              <w:left w:val="single" w:sz="6" w:space="0" w:color="000000"/>
              <w:bottom w:val="single" w:sz="6" w:space="0" w:color="000000"/>
              <w:right w:val="single" w:sz="6" w:space="0" w:color="000000"/>
            </w:tcBorders>
            <w:vAlign w:val="center"/>
          </w:tcPr>
          <w:p>
            <w:pPr>
              <w:pStyle w:val="Style57"/>
              <w:widowControl w:val="false"/>
              <w:ind w:hanging="0"/>
              <w:rPr>
                <w:color w:val="000000" w:themeColor="text1"/>
                <w:sz w:val="22"/>
                <w:szCs w:val="22"/>
              </w:rPr>
            </w:pPr>
            <w:r>
              <w:rPr>
                <w:color w:val="000000" w:themeColor="text1"/>
                <w:sz w:val="22"/>
                <w:szCs w:val="22"/>
              </w:rPr>
              <w:t>Для оценки и сопоставления заявок участников закупки установлены следующие критерии:</w:t>
            </w:r>
          </w:p>
          <w:p>
            <w:pPr>
              <w:pStyle w:val="Style57"/>
              <w:widowControl w:val="false"/>
              <w:ind w:hanging="0"/>
              <w:rPr>
                <w:color w:val="000000" w:themeColor="text1"/>
                <w:sz w:val="22"/>
                <w:szCs w:val="22"/>
              </w:rPr>
            </w:pPr>
            <w:r>
              <w:rPr>
                <w:color w:val="000000" w:themeColor="text1"/>
                <w:sz w:val="22"/>
                <w:szCs w:val="22"/>
              </w:rPr>
              <w:t>1. характеризующиеся как стоимостные критерии оценки;</w:t>
            </w:r>
          </w:p>
          <w:p>
            <w:pPr>
              <w:pStyle w:val="Style57"/>
              <w:widowControl w:val="false"/>
              <w:ind w:hanging="0"/>
              <w:rPr>
                <w:color w:val="000000" w:themeColor="text1"/>
                <w:sz w:val="22"/>
                <w:szCs w:val="22"/>
              </w:rPr>
            </w:pPr>
            <w:r>
              <w:rPr>
                <w:color w:val="000000" w:themeColor="text1"/>
                <w:sz w:val="22"/>
                <w:szCs w:val="22"/>
              </w:rPr>
              <w:t xml:space="preserve">2. характеризующиеся как нестоимостные критерии оценки. </w:t>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8"/>
              <w:gridCol w:w="4833"/>
              <w:gridCol w:w="1813"/>
              <w:gridCol w:w="2181"/>
            </w:tblGrid>
            <w:tr>
              <w:trPr>
                <w:trHeight w:val="566" w:hRule="atLeast"/>
              </w:trPr>
              <w:tc>
                <w:tcPr>
                  <w:tcW w:w="688"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 xml:space="preserve">№ </w:t>
                  </w:r>
                  <w:r>
                    <w:rPr>
                      <w:color w:val="000000" w:themeColor="text1"/>
                      <w:sz w:val="22"/>
                      <w:szCs w:val="22"/>
                    </w:rPr>
                    <w:t>п/п</w:t>
                  </w:r>
                </w:p>
              </w:tc>
              <w:tc>
                <w:tcPr>
                  <w:tcW w:w="483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Наименование</w:t>
                  </w:r>
                </w:p>
                <w:p>
                  <w:pPr>
                    <w:pStyle w:val="Style57"/>
                    <w:widowControl w:val="false"/>
                    <w:ind w:hanging="0"/>
                    <w:jc w:val="center"/>
                    <w:rPr>
                      <w:color w:val="000000" w:themeColor="text1"/>
                      <w:sz w:val="22"/>
                      <w:szCs w:val="22"/>
                    </w:rPr>
                  </w:pPr>
                  <w:r>
                    <w:rPr>
                      <w:color w:val="000000" w:themeColor="text1"/>
                      <w:sz w:val="22"/>
                      <w:szCs w:val="22"/>
                    </w:rPr>
                    <w:t>критерия оценки</w:t>
                  </w:r>
                </w:p>
              </w:tc>
              <w:tc>
                <w:tcPr>
                  <w:tcW w:w="181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Значимость критерия оценки</w:t>
                  </w:r>
                </w:p>
              </w:tc>
              <w:tc>
                <w:tcPr>
                  <w:tcW w:w="2181"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Коэффициент значимости критерия оценки</w:t>
                  </w:r>
                </w:p>
              </w:tc>
            </w:tr>
            <w:tr>
              <w:trPr>
                <w:trHeight w:val="283" w:hRule="atLeast"/>
              </w:trPr>
              <w:tc>
                <w:tcPr>
                  <w:tcW w:w="688"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1.</w:t>
                  </w:r>
                </w:p>
              </w:tc>
              <w:tc>
                <w:tcPr>
                  <w:tcW w:w="483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Цена договора</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40 %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0,4</w:t>
                  </w:r>
                </w:p>
              </w:tc>
            </w:tr>
            <w:tr>
              <w:trPr>
                <w:trHeight w:val="283" w:hRule="atLeast"/>
              </w:trPr>
              <w:tc>
                <w:tcPr>
                  <w:tcW w:w="688"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w:t>
                  </w:r>
                </w:p>
              </w:tc>
              <w:tc>
                <w:tcPr>
                  <w:tcW w:w="483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Нестоимостные критерии оценки заявок участников закупки</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60%</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0,6</w:t>
                  </w:r>
                </w:p>
              </w:tc>
            </w:tr>
            <w:tr>
              <w:trPr>
                <w:trHeight w:val="288" w:hRule="atLeast"/>
              </w:trPr>
              <w:tc>
                <w:tcPr>
                  <w:tcW w:w="688"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2.1.</w:t>
                  </w:r>
                </w:p>
              </w:tc>
              <w:tc>
                <w:tcPr>
                  <w:tcW w:w="483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 xml:space="preserve">Квалификация участников, наличие опыта </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288" w:hRule="atLeast"/>
              </w:trPr>
              <w:tc>
                <w:tcPr>
                  <w:tcW w:w="688"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2.2.</w:t>
                  </w:r>
                </w:p>
              </w:tc>
              <w:tc>
                <w:tcPr>
                  <w:tcW w:w="4833"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Срок оплаты выполненных работ</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335" w:hRule="atLeast"/>
              </w:trPr>
              <w:tc>
                <w:tcPr>
                  <w:tcW w:w="688"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r>
                </w:p>
              </w:tc>
              <w:tc>
                <w:tcPr>
                  <w:tcW w:w="483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rPr>
                      <w:color w:val="000000" w:themeColor="text1"/>
                      <w:sz w:val="22"/>
                      <w:szCs w:val="22"/>
                    </w:rPr>
                  </w:pPr>
                  <w:r>
                    <w:rPr>
                      <w:color w:val="000000" w:themeColor="text1"/>
                      <w:sz w:val="22"/>
                      <w:szCs w:val="22"/>
                    </w:rPr>
                    <w:t>Итого:</w:t>
                  </w:r>
                </w:p>
              </w:tc>
              <w:tc>
                <w:tcPr>
                  <w:tcW w:w="1813"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100 %</w:t>
                  </w:r>
                </w:p>
              </w:tc>
              <w:tc>
                <w:tcPr>
                  <w:tcW w:w="2181"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w:t>
                  </w:r>
                </w:p>
              </w:tc>
            </w:tr>
          </w:tbl>
          <w:p>
            <w:pPr>
              <w:pStyle w:val="Style57"/>
              <w:widowControl w:val="false"/>
              <w:ind w:hanging="0"/>
              <w:rPr>
                <w:color w:val="000000" w:themeColor="text1"/>
                <w:sz w:val="22"/>
                <w:szCs w:val="22"/>
              </w:rPr>
            </w:pPr>
            <w:r>
              <w:rPr>
                <w:color w:val="000000" w:themeColor="text1"/>
                <w:sz w:val="22"/>
                <w:szCs w:val="22"/>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686"/>
              <w:gridCol w:w="4832"/>
              <w:gridCol w:w="1677"/>
              <w:gridCol w:w="2320"/>
            </w:tblGrid>
            <w:tr>
              <w:trPr>
                <w:trHeight w:val="566"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 xml:space="preserve">№ </w:t>
                  </w:r>
                  <w:r>
                    <w:rPr>
                      <w:color w:val="000000" w:themeColor="text1"/>
                      <w:sz w:val="22"/>
                      <w:szCs w:val="22"/>
                    </w:rPr>
                    <w:t>п/п</w:t>
                  </w:r>
                </w:p>
              </w:tc>
              <w:tc>
                <w:tcPr>
                  <w:tcW w:w="4832"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Наименование</w:t>
                  </w:r>
                </w:p>
                <w:p>
                  <w:pPr>
                    <w:pStyle w:val="Style57"/>
                    <w:widowControl w:val="false"/>
                    <w:ind w:hanging="0"/>
                    <w:jc w:val="center"/>
                    <w:rPr>
                      <w:color w:val="000000" w:themeColor="text1"/>
                      <w:sz w:val="22"/>
                      <w:szCs w:val="22"/>
                    </w:rPr>
                  </w:pPr>
                  <w:r>
                    <w:rPr>
                      <w:color w:val="000000" w:themeColor="text1"/>
                      <w:sz w:val="22"/>
                      <w:szCs w:val="22"/>
                    </w:rPr>
                    <w:t>критерия оценки</w:t>
                  </w:r>
                </w:p>
              </w:tc>
              <w:tc>
                <w:tcPr>
                  <w:tcW w:w="1677"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Значимость критерия оценки</w:t>
                  </w:r>
                </w:p>
              </w:tc>
              <w:tc>
                <w:tcPr>
                  <w:tcW w:w="2320"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jc w:val="center"/>
                    <w:rPr>
                      <w:color w:val="000000" w:themeColor="text1"/>
                      <w:sz w:val="22"/>
                      <w:szCs w:val="22"/>
                    </w:rPr>
                  </w:pPr>
                  <w:r>
                    <w:rPr>
                      <w:color w:val="000000" w:themeColor="text1"/>
                      <w:sz w:val="22"/>
                      <w:szCs w:val="22"/>
                    </w:rPr>
                    <w:t>Коэффициент значимости критерия оценки</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1.</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ind w:left="0" w:right="343" w:hanging="0"/>
                    <w:outlineLvl w:val="1"/>
                    <w:rPr>
                      <w:rFonts w:eastAsia="Calibri"/>
                      <w:b/>
                      <w:sz w:val="22"/>
                      <w:szCs w:val="22"/>
                      <w:lang w:eastAsia="en-US"/>
                    </w:rPr>
                  </w:pPr>
                  <w:r>
                    <w:rPr>
                      <w:rFonts w:eastAsia="Calibri"/>
                      <w:b/>
                      <w:sz w:val="22"/>
                      <w:szCs w:val="22"/>
                      <w:lang w:eastAsia="en-US"/>
                    </w:rPr>
                    <w:t>Оценка заявок по критерию «цена договора (контракта)»</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Рейтинг, присуждаемый заявке на участие в закупке по критерию «цена договора», определяется по формуле:</w:t>
                  </w:r>
                </w:p>
                <w:p>
                  <w:pPr>
                    <w:pStyle w:val="Normal"/>
                    <w:widowControl w:val="false"/>
                    <w:ind w:right="343" w:firstLine="540"/>
                    <w:rPr>
                      <w:sz w:val="22"/>
                      <w:szCs w:val="22"/>
                    </w:rPr>
                  </w:pPr>
                  <w:r>
                    <w:rPr/>
                    <w:drawing>
                      <wp:inline distT="0" distB="0" distL="0" distR="0">
                        <wp:extent cx="1769745" cy="51625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7"/>
                                <a:stretch>
                                  <a:fillRect/>
                                </a:stretch>
                              </pic:blipFill>
                              <pic:spPr bwMode="auto">
                                <a:xfrm>
                                  <a:off x="0" y="0"/>
                                  <a:ext cx="1769745" cy="516255"/>
                                </a:xfrm>
                                <a:prstGeom prst="rect">
                                  <a:avLst/>
                                </a:prstGeom>
                              </pic:spPr>
                            </pic:pic>
                          </a:graphicData>
                        </a:graphic>
                      </wp:inline>
                    </w:drawing>
                  </w:r>
                </w:p>
                <w:p>
                  <w:pPr>
                    <w:pStyle w:val="Normal"/>
                    <w:widowControl w:val="false"/>
                    <w:ind w:right="343" w:firstLine="540"/>
                    <w:rPr>
                      <w:sz w:val="22"/>
                      <w:szCs w:val="22"/>
                    </w:rPr>
                  </w:pPr>
                  <w:r>
                    <w:rPr>
                      <w:sz w:val="22"/>
                      <w:szCs w:val="22"/>
                    </w:rPr>
                    <w:t>где:</w:t>
                  </w:r>
                </w:p>
                <w:p>
                  <w:pPr>
                    <w:pStyle w:val="Normal"/>
                    <w:widowControl w:val="false"/>
                    <w:spacing w:before="220" w:after="60"/>
                    <w:ind w:right="343" w:hanging="0"/>
                    <w:rPr>
                      <w:sz w:val="22"/>
                      <w:szCs w:val="22"/>
                    </w:rPr>
                  </w:pPr>
                  <w:r>
                    <w:rPr>
                      <w:sz w:val="22"/>
                      <w:szCs w:val="22"/>
                    </w:rPr>
                    <w:t>ЦБ</w:t>
                  </w:r>
                  <w:r>
                    <w:rPr>
                      <w:sz w:val="22"/>
                      <w:szCs w:val="22"/>
                      <w:lang w:val="en-US"/>
                    </w:rPr>
                    <w:t>i</w:t>
                  </w:r>
                  <w:r>
                    <w:rPr>
                      <w:sz w:val="22"/>
                      <w:szCs w:val="22"/>
                    </w:rPr>
                    <w:t xml:space="preserve"> – количество баллов по критерию                                    Цi - ценовое предложение участника закупки, заявка (предложение) которого оценивается;</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Цmin - минимальное ценовое предложение из ценовых предложений по критерию оценки, сделанных участниками закупки.</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При оценке заявок по критерию «цена договора» округление результата осуществляется по правилам математического округления до ближайшего второго десятичного знака после запятой.</w:t>
                  </w:r>
                </w:p>
                <w:p>
                  <w:pPr>
                    <w:pStyle w:val="Normal"/>
                    <w:widowControl w:val="false"/>
                    <w:tabs>
                      <w:tab w:val="clear" w:pos="708"/>
                      <w:tab w:val="left" w:pos="1134" w:leader="none"/>
                    </w:tabs>
                    <w:ind w:right="343" w:hanging="0"/>
                    <w:rPr>
                      <w:rFonts w:eastAsia="Calibri"/>
                      <w:sz w:val="22"/>
                      <w:szCs w:val="22"/>
                      <w:lang w:eastAsia="en-US"/>
                    </w:rPr>
                  </w:pPr>
                  <w:r>
                    <w:rPr>
                      <w:rFonts w:eastAsia="Calibri"/>
                      <w:sz w:val="22"/>
                      <w:szCs w:val="22"/>
                      <w:lang w:eastAsia="en-US"/>
                    </w:rPr>
                    <w:t>При оценке заявок по критерию «цена договора» лучшим условием исполнения договора по указанному критерию признается предложение участника закупки с наименьшей ценой договора.</w:t>
                  </w:r>
                </w:p>
                <w:p>
                  <w:pPr>
                    <w:pStyle w:val="Normal"/>
                    <w:widowControl w:val="false"/>
                    <w:numPr>
                      <w:ilvl w:val="0"/>
                      <w:numId w:val="0"/>
                    </w:numPr>
                    <w:tabs>
                      <w:tab w:val="clear" w:pos="708"/>
                      <w:tab w:val="left" w:pos="1134" w:leader="none"/>
                    </w:tabs>
                    <w:ind w:left="0" w:hanging="0"/>
                    <w:outlineLvl w:val="1"/>
                    <w:rPr>
                      <w:rFonts w:eastAsia="Calibri"/>
                      <w:iCs/>
                      <w:sz w:val="22"/>
                      <w:szCs w:val="22"/>
                      <w:lang w:eastAsia="en-US"/>
                    </w:rPr>
                  </w:pPr>
                  <w:r>
                    <w:rPr>
                      <w:rFonts w:eastAsia="Calibri"/>
                      <w:iCs/>
                      <w:sz w:val="22"/>
                      <w:szCs w:val="22"/>
                      <w:lang w:eastAsia="en-US"/>
                    </w:rPr>
                    <w:t>Договор заключается по данному критерию на условиях, указанных в заявке.</w:t>
                  </w:r>
                </w:p>
                <w:p>
                  <w:pPr>
                    <w:pStyle w:val="Normal"/>
                    <w:widowControl w:val="false"/>
                    <w:spacing w:before="0" w:after="60"/>
                    <w:rPr>
                      <w:color w:val="000000" w:themeColor="text1"/>
                      <w:sz w:val="22"/>
                      <w:szCs w:val="22"/>
                    </w:rPr>
                  </w:pPr>
                  <w:r>
                    <w:rPr>
                      <w:color w:val="000000" w:themeColor="text1"/>
                      <w:sz w:val="22"/>
                      <w:szCs w:val="22"/>
                    </w:rPr>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40 %</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0,4</w:t>
                  </w:r>
                </w:p>
              </w:tc>
            </w:tr>
            <w:tr>
              <w:trPr>
                <w:trHeight w:val="283"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before="0" w:after="60"/>
                    <w:ind w:left="0" w:right="343" w:hanging="0"/>
                    <w:outlineLvl w:val="1"/>
                    <w:rPr>
                      <w:rFonts w:eastAsia="Calibri"/>
                      <w:b/>
                      <w:sz w:val="22"/>
                      <w:szCs w:val="22"/>
                      <w:lang w:eastAsia="en-US"/>
                    </w:rPr>
                  </w:pPr>
                  <w:r>
                    <w:rPr>
                      <w:color w:val="000000" w:themeColor="text1"/>
                      <w:sz w:val="22"/>
                      <w:szCs w:val="22"/>
                    </w:rPr>
                    <w:t>Нестоимостные критерии оценки заявок участников закупки</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60%</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0,6</w:t>
                  </w:r>
                </w:p>
              </w:tc>
            </w:tr>
            <w:tr>
              <w:trPr>
                <w:trHeight w:val="318"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2.1.</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t xml:space="preserve">Опыт исполнения аналогичных договоров (Максимальная цена одного договора) </w:t>
                  </w:r>
                  <w:r>
                    <w:rPr>
                      <w:b/>
                      <w:bCs/>
                      <w:sz w:val="22"/>
                      <w:szCs w:val="22"/>
                    </w:rPr>
                    <w:t>ПБi</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color w:val="000000"/>
                      <w:sz w:val="22"/>
                      <w:szCs w:val="22"/>
                      <w:lang w:eastAsia="ar-SA"/>
                    </w:rPr>
                  </w:pPr>
                  <w:r>
                    <w:rPr>
                      <w:color w:val="000000"/>
                      <w:sz w:val="22"/>
                      <w:szCs w:val="22"/>
                      <w:lang w:eastAsia="ar-SA"/>
                    </w:rPr>
                    <w:t xml:space="preserve">сравнивается с использованием следующей формулы: </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bCs/>
                      <w:sz w:val="22"/>
                      <w:szCs w:val="22"/>
                      <w:lang w:eastAsia="ar-SA"/>
                    </w:rPr>
                  </w:pPr>
                  <w:r>
                    <w:rPr>
                      <w:bCs/>
                      <w:sz w:val="22"/>
                      <w:szCs w:val="22"/>
                      <w:lang w:eastAsia="ar-SA"/>
                    </w:rPr>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ЗП x 100 x (Пi / Пmax)</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где:</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Пi - предложение участника, которое оценивается (количество);</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Пmax - предложение, за которое присваивается максимальное количество баллов (наибольшая цена одного договора);</w:t>
                  </w:r>
                </w:p>
                <w:p>
                  <w:pPr>
                    <w:pStyle w:val="ConsPlusNormal1"/>
                    <w:widowControl w:val="false"/>
                    <w:ind w:left="320" w:firstLine="34"/>
                    <w:jc w:val="both"/>
                    <w:rPr>
                      <w:rFonts w:ascii="Times New Roman" w:hAnsi="Times New Roman" w:cs="Times New Roman"/>
                      <w:sz w:val="22"/>
                      <w:szCs w:val="22"/>
                    </w:rPr>
                  </w:pPr>
                  <w:r>
                    <w:rPr>
                      <w:rFonts w:cs="Times New Roman" w:ascii="Times New Roman" w:hAnsi="Times New Roman"/>
                      <w:sz w:val="22"/>
                      <w:szCs w:val="22"/>
                    </w:rPr>
                    <w:t>ЗП - значимость показателя (подкритерия).</w:t>
                  </w:r>
                </w:p>
                <w:p>
                  <w:pPr>
                    <w:pStyle w:val="Normal"/>
                    <w:widowControl w:val="false"/>
                    <w:ind w:left="320" w:hanging="0"/>
                    <w:rPr>
                      <w:sz w:val="22"/>
                      <w:szCs w:val="22"/>
                      <w:lang w:eastAsia="ar-SA"/>
                    </w:rPr>
                  </w:pPr>
                  <w:r>
                    <w:rPr>
                      <w:sz w:val="22"/>
                      <w:szCs w:val="22"/>
                      <w:lang w:eastAsia="ar-SA"/>
                    </w:rPr>
                    <w:t>В случае отсутствия документов, подтверждающих опыт оказания аналогичных услуг, Участнику по данному критерию присваивается оценка «0».</w:t>
                  </w:r>
                </w:p>
                <w:p>
                  <w:pPr>
                    <w:pStyle w:val="Normal"/>
                    <w:widowControl w:val="false"/>
                    <w:ind w:left="320" w:hanging="0"/>
                    <w:rPr>
                      <w:sz w:val="22"/>
                      <w:szCs w:val="22"/>
                      <w:lang w:eastAsia="ar-SA"/>
                    </w:rPr>
                  </w:pPr>
                  <w:r>
                    <w:rPr>
                      <w:sz w:val="22"/>
                      <w:szCs w:val="22"/>
                      <w:lang w:eastAsia="ar-SA"/>
                    </w:rPr>
                  </w:r>
                </w:p>
                <w:p>
                  <w:pPr>
                    <w:pStyle w:val="Normal"/>
                    <w:widowControl w:val="false"/>
                    <w:ind w:left="320" w:hanging="0"/>
                    <w:rPr>
                      <w:b/>
                      <w:sz w:val="22"/>
                      <w:szCs w:val="22"/>
                    </w:rPr>
                  </w:pPr>
                  <w:r>
                    <w:rPr>
                      <w:b/>
                      <w:sz w:val="22"/>
                      <w:szCs w:val="22"/>
                    </w:rPr>
                    <w:t xml:space="preserve">К рассмотрению принимаются только договоры (контракты), заключенные в соответствии с 223-ФЗ "О закупках товаров, работ, услуг отдельными видами юридических лиц" и 44 ФЗ "О контрактной системе в сфере закупок товаров, работ, услуг для обеспечения государственных и муниципальных нужд", информация / сведения о которых содержится в ЕИС, реестре контрактов и реестре договоров соответственно. </w:t>
                  </w:r>
                </w:p>
                <w:p>
                  <w:pPr>
                    <w:pStyle w:val="Normal"/>
                    <w:widowControl w:val="false"/>
                    <w:ind w:left="320" w:hanging="0"/>
                    <w:rPr>
                      <w:bCs/>
                      <w:i/>
                      <w:i/>
                      <w:iCs/>
                      <w:sz w:val="22"/>
                      <w:szCs w:val="22"/>
                    </w:rPr>
                  </w:pPr>
                  <w:r>
                    <w:rPr>
                      <w:bCs/>
                      <w:i/>
                      <w:iCs/>
                      <w:sz w:val="22"/>
                      <w:szCs w:val="22"/>
                    </w:rPr>
                    <w:t>В случае если информация / сведения о договоре (контракте) отсутствует в ЕИС, реестре контрактов и реестре договоров соответственно, то такие договоры (контракты) к рассмотрению не принимаются.</w:t>
                  </w:r>
                </w:p>
                <w:p>
                  <w:pPr>
                    <w:pStyle w:val="Normal"/>
                    <w:widowControl w:val="false"/>
                    <w:ind w:left="320" w:hanging="0"/>
                    <w:rPr>
                      <w:b/>
                      <w:sz w:val="22"/>
                      <w:szCs w:val="22"/>
                    </w:rPr>
                  </w:pPr>
                  <w:r>
                    <w:rPr>
                      <w:b/>
                      <w:sz w:val="22"/>
                      <w:szCs w:val="22"/>
                    </w:rPr>
                  </w:r>
                </w:p>
                <w:p>
                  <w:pPr>
                    <w:pStyle w:val="Normal"/>
                    <w:widowControl w:val="false"/>
                    <w:ind w:left="320" w:hanging="0"/>
                    <w:rPr>
                      <w:b/>
                      <w:sz w:val="22"/>
                      <w:szCs w:val="22"/>
                    </w:rPr>
                  </w:pPr>
                  <w:r>
                    <w:rPr>
                      <w:b/>
                      <w:sz w:val="22"/>
                      <w:szCs w:val="22"/>
                    </w:rPr>
                    <w:t>Аналогичным признается опыт:</w:t>
                  </w:r>
                </w:p>
                <w:p>
                  <w:pPr>
                    <w:pStyle w:val="Normal"/>
                    <w:widowControl w:val="false"/>
                    <w:ind w:left="320" w:hanging="0"/>
                    <w:rPr>
                      <w:bCs/>
                      <w:sz w:val="22"/>
                      <w:szCs w:val="22"/>
                    </w:rPr>
                  </w:pPr>
                  <w:r>
                    <w:rPr>
                      <w:bCs/>
                      <w:sz w:val="22"/>
                      <w:szCs w:val="22"/>
                      <w:highlight w:val="yellow"/>
                    </w:rPr>
                    <w:t>выполнение работ по установке приборов учета электрической энергии и трансформаторов тока, устройств сбора и передачи данных</w:t>
                  </w:r>
                </w:p>
                <w:p>
                  <w:pPr>
                    <w:pStyle w:val="Normal"/>
                    <w:widowControl w:val="false"/>
                    <w:ind w:left="320" w:hanging="0"/>
                    <w:rPr>
                      <w:bCs/>
                      <w:sz w:val="22"/>
                      <w:szCs w:val="22"/>
                    </w:rPr>
                  </w:pPr>
                  <w:r>
                    <w:rPr>
                      <w:bCs/>
                      <w:sz w:val="22"/>
                      <w:szCs w:val="22"/>
                    </w:rPr>
                  </w:r>
                </w:p>
                <w:p>
                  <w:pPr>
                    <w:pStyle w:val="Normal"/>
                    <w:widowControl w:val="false"/>
                    <w:ind w:left="320" w:right="5" w:hanging="0"/>
                    <w:rPr>
                      <w:sz w:val="22"/>
                      <w:szCs w:val="22"/>
                    </w:rPr>
                  </w:pPr>
                  <w:r>
                    <w:rPr>
                      <w:sz w:val="22"/>
                      <w:szCs w:val="22"/>
                    </w:rPr>
                    <w:t>Из представленных в составе заявки на участие в конкурсе Заказчик рассматривает, сравнивает и оценивает наибольшую цену договора (контракта) каждого конкретного участника с наибольшей ценой договора (контракта) других участников закупки.</w:t>
                  </w:r>
                </w:p>
                <w:p>
                  <w:pPr>
                    <w:pStyle w:val="Normal"/>
                    <w:widowControl w:val="false"/>
                    <w:ind w:left="320" w:right="5" w:hanging="0"/>
                    <w:rPr>
                      <w:sz w:val="22"/>
                      <w:szCs w:val="22"/>
                    </w:rPr>
                  </w:pPr>
                  <w:r>
                    <w:rPr>
                      <w:sz w:val="22"/>
                      <w:szCs w:val="22"/>
                    </w:rPr>
                  </w:r>
                </w:p>
                <w:p>
                  <w:pPr>
                    <w:pStyle w:val="Normal"/>
                    <w:widowControl w:val="false"/>
                    <w:ind w:left="320" w:hanging="0"/>
                    <w:rPr>
                      <w:bCs/>
                      <w:sz w:val="22"/>
                      <w:szCs w:val="22"/>
                    </w:rPr>
                  </w:pPr>
                  <w:r>
                    <w:rPr>
                      <w:bCs/>
                      <w:sz w:val="22"/>
                      <w:szCs w:val="22"/>
                    </w:rPr>
                    <w:t xml:space="preserve">Информацию по данному показателю участник закупки подтверждает путем представления в составе заявки: </w:t>
                  </w:r>
                </w:p>
                <w:p>
                  <w:pPr>
                    <w:pStyle w:val="Normal"/>
                    <w:widowControl w:val="false"/>
                    <w:ind w:left="320" w:hanging="0"/>
                    <w:rPr>
                      <w:bCs/>
                      <w:sz w:val="22"/>
                      <w:szCs w:val="22"/>
                    </w:rPr>
                  </w:pPr>
                  <w:r>
                    <w:rPr>
                      <w:bCs/>
                      <w:sz w:val="22"/>
                      <w:szCs w:val="22"/>
                    </w:rPr>
                    <w:t>- копий соответствующих договоров (контрактов) и копий документов, подтверждающих исполнение данных договоров (акты, УПД, накладные и т.п.);</w:t>
                  </w:r>
                </w:p>
                <w:p>
                  <w:pPr>
                    <w:pStyle w:val="Normal"/>
                    <w:widowControl w:val="false"/>
                    <w:ind w:left="320" w:hanging="0"/>
                    <w:rPr>
                      <w:bCs/>
                      <w:sz w:val="22"/>
                      <w:szCs w:val="22"/>
                    </w:rPr>
                  </w:pPr>
                  <w:r>
                    <w:rPr>
                      <w:bCs/>
                      <w:sz w:val="22"/>
                      <w:szCs w:val="22"/>
                    </w:rPr>
                    <w:t>или</w:t>
                  </w:r>
                </w:p>
                <w:p>
                  <w:pPr>
                    <w:pStyle w:val="Normal"/>
                    <w:widowControl w:val="false"/>
                    <w:ind w:left="320" w:hanging="0"/>
                    <w:rPr>
                      <w:bCs/>
                      <w:sz w:val="22"/>
                      <w:szCs w:val="22"/>
                    </w:rPr>
                  </w:pPr>
                  <w:r>
                    <w:rPr>
                      <w:bCs/>
                      <w:sz w:val="22"/>
                      <w:szCs w:val="22"/>
                    </w:rPr>
                    <w:t>- информации (ссылки) на реестр контрактов в ЕИС ((</w:t>
                  </w:r>
                  <w:r>
                    <w:rPr>
                      <w:sz w:val="22"/>
                      <w:szCs w:val="22"/>
                    </w:rPr>
                    <w:t xml:space="preserve">Единой информационной системы в сфере закупок </w:t>
                  </w:r>
                  <w:hyperlink r:id="rId8">
                    <w:r>
                      <w:rPr>
                        <w:rStyle w:val="-"/>
                        <w:sz w:val="22"/>
                        <w:szCs w:val="22"/>
                      </w:rPr>
                      <w:t>www.zakupki.gov.ru</w:t>
                    </w:r>
                  </w:hyperlink>
                  <w:r>
                    <w:rPr>
                      <w:sz w:val="22"/>
                      <w:szCs w:val="22"/>
                    </w:rPr>
                    <w:t>.)</w:t>
                  </w:r>
                  <w:r>
                    <w:rPr>
                      <w:bCs/>
                      <w:sz w:val="22"/>
                      <w:szCs w:val="22"/>
                    </w:rPr>
                    <w:t>, содержащем в себе полную информацию о контракте, заключенном в соответствии с Федеральным законом № 44-ФЗ.</w:t>
                  </w:r>
                </w:p>
                <w:p>
                  <w:pPr>
                    <w:pStyle w:val="Normal"/>
                    <w:widowControl w:val="false"/>
                    <w:ind w:left="320" w:hanging="0"/>
                    <w:rPr>
                      <w:bCs/>
                      <w:sz w:val="22"/>
                      <w:szCs w:val="22"/>
                    </w:rPr>
                  </w:pPr>
                  <w:r>
                    <w:rPr>
                      <w:bCs/>
                      <w:sz w:val="22"/>
                      <w:szCs w:val="22"/>
                    </w:rPr>
                  </w:r>
                </w:p>
                <w:p>
                  <w:pPr>
                    <w:pStyle w:val="Normal"/>
                    <w:widowControl w:val="false"/>
                    <w:ind w:left="320" w:hanging="0"/>
                    <w:rPr>
                      <w:bCs/>
                      <w:sz w:val="22"/>
                      <w:szCs w:val="22"/>
                    </w:rPr>
                  </w:pPr>
                  <w:r>
                    <w:rPr>
                      <w:bCs/>
                      <w:sz w:val="22"/>
                      <w:szCs w:val="22"/>
                      <w:highlight w:val="yellow"/>
                    </w:rPr>
                    <w:t xml:space="preserve">По данному критерию Комиссия рассматривает и оценивает контракты (договоры), заключённые и исполненные не ранее 01.01.2023 г. </w:t>
                  </w:r>
                </w:p>
                <w:p>
                  <w:pPr>
                    <w:pStyle w:val="Normal"/>
                    <w:widowControl w:val="false"/>
                    <w:ind w:left="320" w:hanging="0"/>
                    <w:rPr>
                      <w:bCs/>
                      <w:sz w:val="22"/>
                      <w:szCs w:val="22"/>
                    </w:rPr>
                  </w:pPr>
                  <w:r>
                    <w:rPr>
                      <w:bCs/>
                      <w:sz w:val="22"/>
                      <w:szCs w:val="22"/>
                    </w:rPr>
                  </w:r>
                </w:p>
                <w:p>
                  <w:pPr>
                    <w:pStyle w:val="Standard"/>
                    <w:widowControl w:val="false"/>
                    <w:ind w:left="115" w:right="136" w:hanging="0"/>
                    <w:jc w:val="both"/>
                    <w:rPr>
                      <w:color w:val="000000" w:themeColor="text1"/>
                      <w:sz w:val="22"/>
                      <w:szCs w:val="22"/>
                    </w:rPr>
                  </w:pPr>
                  <w:r>
                    <w:rPr>
                      <w:bCs/>
                      <w:sz w:val="22"/>
                      <w:szCs w:val="22"/>
                    </w:rPr>
                    <w:t xml:space="preserve">Представляемые контракты и/или договоры должны быть исполнены (завершены) и не находиться в процессе исполнения.       </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1112"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t>2.2.</w:t>
                  </w:r>
                </w:p>
              </w:tc>
              <w:tc>
                <w:tcPr>
                  <w:tcW w:w="4832"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t>Срок оплаты выполненных работ (НЦБi):</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sz w:val="22"/>
                      <w:szCs w:val="22"/>
                      <w:lang w:eastAsia="en-US"/>
                    </w:rPr>
                  </w:pPr>
                  <w:r>
                    <w:rPr>
                      <w:rFonts w:eastAsia="Calibri"/>
                      <w:b/>
                      <w:sz w:val="22"/>
                      <w:szCs w:val="22"/>
                      <w:lang w:eastAsia="en-US"/>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563"/>
                    <w:gridCol w:w="2490"/>
                    <w:gridCol w:w="1563"/>
                  </w:tblGrid>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 xml:space="preserve">№ </w:t>
                        </w:r>
                        <w:r>
                          <w:rPr>
                            <w:rFonts w:eastAsia="Segoe UI"/>
                            <w:color w:val="000000"/>
                            <w:kern w:val="2"/>
                            <w:sz w:val="20"/>
                            <w:szCs w:val="20"/>
                            <w:lang w:eastAsia="zh-CN" w:bidi="hi-IN"/>
                          </w:rPr>
                          <w:t>п/п</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Срок оплаты выполненных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Количество баллов</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1</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100 рабочих дней с момента выполнения всего (100%) объема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5</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2</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110 рабочих дней с момента выполнения всего (100%) объема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20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3</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120 рабочих дней с момента выполнения всего (100%) объема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40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4</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130 рабочих дней с момента выполнения всего (100%) объема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60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5</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140 рабочих дней с момента выполнения всего (100%) объема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80</w:t>
                        </w:r>
                      </w:p>
                    </w:tc>
                  </w:tr>
                  <w:tr>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6</w:t>
                        </w:r>
                      </w:p>
                    </w:tc>
                    <w:tc>
                      <w:tcPr>
                        <w:tcW w:w="24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textAlignment w:val="baseline"/>
                          <w:rPr>
                            <w:rFonts w:eastAsia="Segoe UI"/>
                            <w:color w:val="000000"/>
                            <w:kern w:val="2"/>
                            <w:sz w:val="20"/>
                            <w:szCs w:val="20"/>
                            <w:lang w:eastAsia="zh-CN" w:bidi="hi-IN"/>
                          </w:rPr>
                        </w:pPr>
                        <w:r>
                          <w:rPr>
                            <w:rFonts w:eastAsia="Segoe UI"/>
                            <w:color w:val="000000"/>
                            <w:kern w:val="2"/>
                            <w:sz w:val="20"/>
                            <w:szCs w:val="20"/>
                            <w:lang w:eastAsia="zh-CN" w:bidi="hi-IN"/>
                          </w:rPr>
                          <w:t>В течение 150 рабочих дней с момента выполнения всего (100%) объема работ</w:t>
                        </w:r>
                      </w:p>
                    </w:tc>
                    <w:tc>
                      <w:tcPr>
                        <w:tcW w:w="1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60"/>
                          <w:jc w:val="center"/>
                          <w:textAlignment w:val="baseline"/>
                          <w:rPr>
                            <w:rFonts w:eastAsia="Segoe UI"/>
                            <w:color w:val="000000"/>
                            <w:kern w:val="2"/>
                            <w:sz w:val="20"/>
                            <w:szCs w:val="20"/>
                            <w:lang w:eastAsia="zh-CN" w:bidi="hi-IN"/>
                          </w:rPr>
                        </w:pPr>
                        <w:r>
                          <w:rPr>
                            <w:rFonts w:eastAsia="Segoe UI"/>
                            <w:color w:val="000000"/>
                            <w:kern w:val="2"/>
                            <w:sz w:val="20"/>
                            <w:szCs w:val="20"/>
                            <w:lang w:eastAsia="zh-CN" w:bidi="hi-IN"/>
                          </w:rPr>
                          <w:t>100</w:t>
                        </w:r>
                      </w:p>
                    </w:tc>
                  </w:tr>
                </w:tbl>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t>Минимальный срок оплаты выполненных работ: в течение 100 рабочих дней с момента выполнения всего (100%) объема работ.</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Cs/>
                      <w:sz w:val="22"/>
                      <w:szCs w:val="22"/>
                      <w:lang w:eastAsia="en-US"/>
                    </w:rPr>
                  </w:pPr>
                  <w:r>
                    <w:rPr>
                      <w:rFonts w:eastAsia="Calibri"/>
                      <w:bCs/>
                      <w:sz w:val="22"/>
                      <w:szCs w:val="22"/>
                      <w:lang w:eastAsia="en-US"/>
                    </w:rPr>
                    <w:t>Предложения участников закупки, которые содержат предложения об оплате выполненных работ, превышающие минимальный и максимальный срок оплаты выполненных работ, Заказчиком не оцениваются</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rFonts w:eastAsia="Calibri"/>
                      <w:b/>
                      <w:bCs/>
                      <w:sz w:val="22"/>
                      <w:szCs w:val="22"/>
                      <w:lang w:eastAsia="en-US"/>
                    </w:rPr>
                  </w:pPr>
                  <w:r>
                    <w:rPr>
                      <w:rFonts w:eastAsia="Calibri"/>
                      <w:b/>
                      <w:bCs/>
                      <w:sz w:val="22"/>
                      <w:szCs w:val="22"/>
                      <w:lang w:eastAsia="en-US"/>
                    </w:rPr>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color w:val="000000"/>
                      <w:sz w:val="22"/>
                      <w:szCs w:val="22"/>
                      <w:lang w:eastAsia="ar-SA"/>
                    </w:rPr>
                  </w:pPr>
                  <w:r>
                    <w:rPr>
                      <w:color w:val="000000"/>
                      <w:sz w:val="22"/>
                      <w:szCs w:val="22"/>
                      <w:lang w:eastAsia="ar-SA"/>
                    </w:rPr>
                    <w:t xml:space="preserve">сравнивается с использованием следующей формулы: </w:t>
                  </w:r>
                </w:p>
                <w:p>
                  <w:pPr>
                    <w:pStyle w:val="Normal"/>
                    <w:widowControl w:val="false"/>
                    <w:shd w:val="clear" w:color="auto" w:fill="FFFFFF"/>
                    <w:tabs>
                      <w:tab w:val="clear" w:pos="708"/>
                      <w:tab w:val="left" w:pos="993" w:leader="none"/>
                      <w:tab w:val="left" w:pos="1134" w:leader="none"/>
                    </w:tabs>
                    <w:spacing w:before="0" w:after="60"/>
                    <w:ind w:left="320" w:right="103" w:hanging="0"/>
                    <w:contextualSpacing/>
                    <w:rPr>
                      <w:bCs/>
                      <w:sz w:val="22"/>
                      <w:szCs w:val="22"/>
                      <w:lang w:eastAsia="ar-SA"/>
                    </w:rPr>
                  </w:pPr>
                  <w:r>
                    <w:rPr>
                      <w:bCs/>
                      <w:sz w:val="22"/>
                      <w:szCs w:val="22"/>
                      <w:lang w:eastAsia="ar-SA"/>
                    </w:rPr>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 xml:space="preserve">ЗП x Пi </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где:</w:t>
                  </w:r>
                </w:p>
                <w:p>
                  <w:pPr>
                    <w:pStyle w:val="ConsPlusNormal1"/>
                    <w:widowControl w:val="false"/>
                    <w:ind w:left="320" w:firstLine="34"/>
                    <w:rPr>
                      <w:rFonts w:ascii="Times New Roman" w:hAnsi="Times New Roman" w:cs="Times New Roman"/>
                      <w:sz w:val="22"/>
                      <w:szCs w:val="22"/>
                    </w:rPr>
                  </w:pPr>
                  <w:r>
                    <w:rPr>
                      <w:rFonts w:cs="Times New Roman" w:ascii="Times New Roman" w:hAnsi="Times New Roman"/>
                      <w:sz w:val="22"/>
                      <w:szCs w:val="22"/>
                    </w:rPr>
                    <w:t>Пi – количество баллов по показателю;</w:t>
                  </w:r>
                </w:p>
                <w:p>
                  <w:pPr>
                    <w:pStyle w:val="ConsPlusNormal1"/>
                    <w:widowControl w:val="false"/>
                    <w:ind w:left="320" w:firstLine="34"/>
                    <w:jc w:val="both"/>
                    <w:rPr>
                      <w:rFonts w:eastAsia="Calibri"/>
                      <w:b/>
                      <w:sz w:val="22"/>
                      <w:szCs w:val="22"/>
                      <w:lang w:eastAsia="en-US"/>
                    </w:rPr>
                  </w:pPr>
                  <w:r>
                    <w:rPr>
                      <w:rFonts w:cs="Times New Roman" w:ascii="Times New Roman" w:hAnsi="Times New Roman"/>
                      <w:sz w:val="22"/>
                      <w:szCs w:val="22"/>
                    </w:rPr>
                    <w:t>ЗП - значимость показателя (подкритерия).</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50% подкритерий</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0,5 подкритерий</w:t>
                  </w:r>
                </w:p>
              </w:tc>
            </w:tr>
            <w:tr>
              <w:trPr>
                <w:trHeight w:val="335" w:hRule="atLeast"/>
              </w:trPr>
              <w:tc>
                <w:tcPr>
                  <w:tcW w:w="686" w:type="dxa"/>
                  <w:tcBorders>
                    <w:top w:val="single" w:sz="4" w:space="0" w:color="000000"/>
                    <w:left w:val="single" w:sz="4" w:space="0" w:color="000000"/>
                    <w:bottom w:val="single" w:sz="4" w:space="0" w:color="000000"/>
                    <w:right w:val="single" w:sz="4" w:space="0" w:color="000000"/>
                  </w:tcBorders>
                </w:tcPr>
                <w:p>
                  <w:pPr>
                    <w:pStyle w:val="Style57"/>
                    <w:widowControl w:val="false"/>
                    <w:ind w:hanging="0"/>
                    <w:rPr>
                      <w:color w:val="000000" w:themeColor="text1"/>
                      <w:sz w:val="22"/>
                      <w:szCs w:val="22"/>
                    </w:rPr>
                  </w:pPr>
                  <w:r>
                    <w:rPr>
                      <w:color w:val="000000" w:themeColor="text1"/>
                      <w:sz w:val="22"/>
                      <w:szCs w:val="22"/>
                    </w:rPr>
                  </w:r>
                </w:p>
              </w:tc>
              <w:tc>
                <w:tcPr>
                  <w:tcW w:w="4832"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rPr>
                      <w:color w:val="000000" w:themeColor="text1"/>
                      <w:sz w:val="22"/>
                      <w:szCs w:val="22"/>
                    </w:rPr>
                  </w:pPr>
                  <w:r>
                    <w:rPr>
                      <w:color w:val="000000" w:themeColor="text1"/>
                      <w:sz w:val="22"/>
                      <w:szCs w:val="22"/>
                    </w:rPr>
                    <w:t>Итого:</w:t>
                  </w:r>
                </w:p>
              </w:tc>
              <w:tc>
                <w:tcPr>
                  <w:tcW w:w="1677"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100 %</w:t>
                  </w:r>
                </w:p>
              </w:tc>
              <w:tc>
                <w:tcPr>
                  <w:tcW w:w="2320" w:type="dxa"/>
                  <w:tcBorders>
                    <w:top w:val="single" w:sz="4" w:space="0" w:color="000000"/>
                    <w:left w:val="single" w:sz="4" w:space="0" w:color="000000"/>
                    <w:bottom w:val="single" w:sz="4" w:space="0" w:color="000000"/>
                    <w:right w:val="single" w:sz="4" w:space="0" w:color="000000"/>
                  </w:tcBorders>
                  <w:vAlign w:val="center"/>
                </w:tcPr>
                <w:p>
                  <w:pPr>
                    <w:pStyle w:val="Style57"/>
                    <w:widowControl w:val="false"/>
                    <w:ind w:hanging="0"/>
                    <w:jc w:val="center"/>
                    <w:rPr>
                      <w:color w:val="000000" w:themeColor="text1"/>
                      <w:sz w:val="22"/>
                      <w:szCs w:val="22"/>
                    </w:rPr>
                  </w:pPr>
                  <w:r>
                    <w:rPr>
                      <w:color w:val="000000" w:themeColor="text1"/>
                      <w:sz w:val="22"/>
                      <w:szCs w:val="22"/>
                    </w:rPr>
                    <w:t>1</w:t>
                  </w:r>
                </w:p>
              </w:tc>
            </w:tr>
          </w:tbl>
          <w:p>
            <w:pPr>
              <w:pStyle w:val="Style57"/>
              <w:widowControl w:val="false"/>
              <w:rPr>
                <w:color w:val="000000" w:themeColor="text1"/>
                <w:sz w:val="22"/>
                <w:szCs w:val="22"/>
              </w:rPr>
            </w:pPr>
            <w:r>
              <w:rPr>
                <w:color w:val="000000" w:themeColor="text1"/>
                <w:sz w:val="22"/>
                <w:szCs w:val="22"/>
              </w:rPr>
            </w:r>
          </w:p>
          <w:p>
            <w:pPr>
              <w:pStyle w:val="Normal"/>
              <w:widowControl w:val="false"/>
              <w:rPr>
                <w:b/>
                <w:bCs/>
                <w:sz w:val="22"/>
                <w:szCs w:val="22"/>
              </w:rPr>
            </w:pPr>
            <w:r>
              <w:rPr>
                <w:b/>
                <w:bCs/>
                <w:sz w:val="22"/>
                <w:szCs w:val="22"/>
              </w:rPr>
              <w:t>Итоговый рейтинг = (ЦБi × 0,4) + (ПБi × 0,6) + (НЦБi× 0,6)</w:t>
            </w:r>
          </w:p>
          <w:p>
            <w:pPr>
              <w:pStyle w:val="Style57"/>
              <w:widowControl w:val="false"/>
              <w:rPr>
                <w:color w:val="000000" w:themeColor="text1"/>
                <w:sz w:val="22"/>
                <w:szCs w:val="22"/>
              </w:rPr>
            </w:pPr>
            <w:r>
              <w:rPr>
                <w:color w:val="000000" w:themeColor="text1"/>
                <w:sz w:val="22"/>
                <w:szCs w:val="22"/>
              </w:rPr>
            </w:r>
          </w:p>
          <w:p>
            <w:pPr>
              <w:pStyle w:val="Normal"/>
              <w:widowControl w:val="false"/>
              <w:ind w:firstLine="708"/>
              <w:rPr>
                <w:color w:val="000000" w:themeColor="text1"/>
                <w:sz w:val="22"/>
                <w:szCs w:val="22"/>
              </w:rPr>
            </w:pPr>
            <w:r>
              <w:rPr>
                <w:color w:val="000000" w:themeColor="text1"/>
                <w:sz w:val="22"/>
                <w:szCs w:val="22"/>
              </w:rPr>
              <w:t>В случае, если в нескольких заявках содержатся одинаковые условия исполнения договора (контракта), меньший порядковый номер присваивается заявке, которая поступила ранее других заявок, содержащих такие условия.</w:t>
            </w:r>
          </w:p>
          <w:p>
            <w:pPr>
              <w:pStyle w:val="Normal"/>
              <w:widowControl w:val="false"/>
              <w:ind w:firstLine="708"/>
              <w:rPr>
                <w:color w:val="000000" w:themeColor="text1"/>
                <w:sz w:val="22"/>
                <w:szCs w:val="22"/>
              </w:rPr>
            </w:pPr>
            <w:r>
              <w:rPr>
                <w:color w:val="000000" w:themeColor="text1"/>
                <w:sz w:val="22"/>
                <w:szCs w:val="22"/>
              </w:rPr>
              <w:t>Оценка и сопоставление заявок на участие в открытом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pPr>
              <w:pStyle w:val="Normal"/>
              <w:widowControl w:val="false"/>
              <w:ind w:firstLine="708"/>
              <w:rPr>
                <w:color w:val="000000" w:themeColor="text1"/>
                <w:sz w:val="22"/>
                <w:szCs w:val="22"/>
              </w:rPr>
            </w:pPr>
            <w:r>
              <w:rPr>
                <w:color w:val="000000" w:themeColor="text1"/>
                <w:sz w:val="22"/>
                <w:szCs w:val="22"/>
              </w:rPr>
              <w:t>Для критериев оценки заявок на участие в открытом конкурсе устанавливается их значимость в процентах.</w:t>
            </w:r>
          </w:p>
          <w:p>
            <w:pPr>
              <w:pStyle w:val="Normal"/>
              <w:widowControl w:val="false"/>
              <w:ind w:firstLine="708"/>
              <w:rPr>
                <w:color w:val="000000" w:themeColor="text1"/>
                <w:sz w:val="22"/>
                <w:szCs w:val="22"/>
              </w:rPr>
            </w:pPr>
            <w:r>
              <w:rPr>
                <w:color w:val="000000" w:themeColor="text1"/>
                <w:sz w:val="22"/>
                <w:szCs w:val="22"/>
              </w:rPr>
              <w:t>Сумма значимостей критериев оценки заявок на участие в открытом конкурсе, установленных в конкурсной документации, составляет сто процентов.</w:t>
            </w:r>
          </w:p>
          <w:p>
            <w:pPr>
              <w:pStyle w:val="Normal"/>
              <w:widowControl w:val="false"/>
              <w:ind w:firstLine="708"/>
              <w:rPr>
                <w:color w:val="000000" w:themeColor="text1"/>
                <w:sz w:val="22"/>
                <w:szCs w:val="22"/>
              </w:rPr>
            </w:pPr>
            <w:r>
              <w:rPr>
                <w:color w:val="000000" w:themeColor="text1"/>
                <w:sz w:val="22"/>
                <w:szCs w:val="22"/>
              </w:rPr>
              <w:t>Для каждой заявки на участие в открытом конкурсе рассчитывается рейтинг, представляющий собой оценку заявки на участие в открытом конкурсе в баллах. Итоговый рейтинг заявки на участие в открытом конкурсе рассчитывается путем сложения рейтингов по каждому критерию оценки заявки на участие в открытом конкурсе, установленному в конкурсной документации, умноженных на их значимость.</w:t>
            </w:r>
          </w:p>
          <w:p>
            <w:pPr>
              <w:pStyle w:val="Normal"/>
              <w:widowControl w:val="false"/>
              <w:spacing w:before="0" w:after="60"/>
              <w:ind w:firstLine="708"/>
              <w:rPr>
                <w:color w:val="000000" w:themeColor="text1"/>
                <w:sz w:val="22"/>
                <w:szCs w:val="22"/>
              </w:rPr>
            </w:pPr>
            <w:r>
              <w:rPr>
                <w:color w:val="000000" w:themeColor="text1"/>
                <w:sz w:val="22"/>
                <w:szCs w:val="22"/>
              </w:rPr>
              <w:t>По результатам расчета итогового рейтинга каждой заявке на участие в открытом конкурсе присуждается порядковый номер по мере уменьшения степени выгодности, содержащихся в ней условий исполнения договора. Заявке, набравшей наибольший итоговый рейтинг, присваивается первый номер.</w:t>
            </w:r>
          </w:p>
        </w:tc>
      </w:tr>
    </w:tbl>
    <w:p>
      <w:pPr>
        <w:sectPr>
          <w:type w:val="nextPage"/>
          <w:pgSz w:w="11906" w:h="16838"/>
          <w:pgMar w:left="1418" w:right="851" w:gutter="0" w:header="0" w:top="851" w:footer="0" w:bottom="851"/>
          <w:pgNumType w:fmt="decimal"/>
          <w:formProt w:val="false"/>
          <w:titlePg/>
          <w:textDirection w:val="lrTb"/>
          <w:docGrid w:type="default" w:linePitch="360" w:charSpace="0"/>
        </w:sectPr>
      </w:pPr>
    </w:p>
    <w:p>
      <w:pPr>
        <w:pStyle w:val="Normal"/>
        <w:tabs>
          <w:tab w:val="clear" w:pos="708"/>
          <w:tab w:val="left" w:pos="1215" w:leader="none"/>
        </w:tabs>
        <w:spacing w:before="0" w:after="0"/>
        <w:jc w:val="right"/>
        <w:rPr>
          <w:sz w:val="22"/>
          <w:szCs w:val="22"/>
        </w:rPr>
      </w:pPr>
      <w:r>
        <w:rPr>
          <w:sz w:val="22"/>
          <w:szCs w:val="22"/>
        </w:rPr>
        <w:t>Приложение № 1</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bookmarkStart w:id="1" w:name="_Hlk89425081"/>
      <w:r>
        <w:rPr>
          <w:sz w:val="22"/>
          <w:szCs w:val="22"/>
        </w:rPr>
        <w:t>в электронной форме</w:t>
      </w:r>
      <w:bookmarkEnd w:id="1"/>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sz w:val="22"/>
          <w:szCs w:val="22"/>
        </w:rPr>
      </w:pPr>
      <w:r>
        <w:rPr>
          <w:b/>
          <w:bCs/>
          <w:sz w:val="22"/>
          <w:szCs w:val="22"/>
        </w:rPr>
        <w:t xml:space="preserve">ПРОЕКТ ДОГОВОРА </w:t>
      </w:r>
      <w:r>
        <w:rPr>
          <w:sz w:val="22"/>
          <w:szCs w:val="22"/>
        </w:rPr>
        <w:t>(приложено отдельным файлом)</w:t>
      </w:r>
      <w:r>
        <w:rPr>
          <w:b/>
          <w:bCs/>
          <w:sz w:val="22"/>
          <w:szCs w:val="22"/>
        </w:rPr>
        <w:t xml:space="preserve"> </w:t>
      </w:r>
    </w:p>
    <w:p>
      <w:pPr>
        <w:pStyle w:val="Normal"/>
        <w:tabs>
          <w:tab w:val="clear" w:pos="708"/>
          <w:tab w:val="left" w:pos="1215" w:leader="none"/>
        </w:tabs>
        <w:spacing w:before="0" w:after="0"/>
        <w:jc w:val="right"/>
        <w:rPr>
          <w:sz w:val="22"/>
          <w:szCs w:val="22"/>
        </w:rPr>
      </w:pPr>
      <w:r>
        <w:rPr>
          <w:sz w:val="22"/>
          <w:szCs w:val="22"/>
        </w:rPr>
        <w:t>Приложение № 2</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t>в электронной форме</w:t>
      </w:r>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b/>
          <w:bCs/>
          <w:sz w:val="22"/>
          <w:szCs w:val="22"/>
        </w:rPr>
      </w:pPr>
      <w:r>
        <w:rPr>
          <w:b/>
          <w:bCs/>
          <w:sz w:val="22"/>
          <w:szCs w:val="22"/>
        </w:rPr>
        <w:t xml:space="preserve">ТЕХНИЧЕСКОЕ ЗАДАНИЕ </w:t>
      </w:r>
      <w:r>
        <w:rPr>
          <w:sz w:val="22"/>
          <w:szCs w:val="22"/>
        </w:rPr>
        <w:t>(приложено отдельным файлом)</w:t>
      </w:r>
      <w:r>
        <w:rPr>
          <w:b/>
          <w:bCs/>
          <w:sz w:val="22"/>
          <w:szCs w:val="22"/>
        </w:rPr>
        <w:t xml:space="preserve"> </w:t>
      </w:r>
    </w:p>
    <w:p>
      <w:pPr>
        <w:pStyle w:val="Normal"/>
        <w:tabs>
          <w:tab w:val="clear" w:pos="708"/>
          <w:tab w:val="left" w:pos="223" w:leader="none"/>
          <w:tab w:val="center" w:pos="4960" w:leader="none"/>
          <w:tab w:val="right" w:pos="9136" w:leader="none"/>
        </w:tabs>
        <w:spacing w:before="0" w:after="0"/>
        <w:jc w:val="center"/>
        <w:rPr>
          <w:b/>
          <w:bCs/>
          <w:sz w:val="22"/>
          <w:szCs w:val="22"/>
        </w:rPr>
      </w:pPr>
      <w:r>
        <w:rPr>
          <w:b/>
          <w:bCs/>
          <w:sz w:val="22"/>
          <w:szCs w:val="22"/>
        </w:rPr>
      </w:r>
    </w:p>
    <w:p>
      <w:pPr>
        <w:pStyle w:val="Normal"/>
        <w:tabs>
          <w:tab w:val="clear" w:pos="708"/>
          <w:tab w:val="left" w:pos="1215" w:leader="none"/>
        </w:tabs>
        <w:spacing w:before="0" w:after="0"/>
        <w:jc w:val="right"/>
        <w:rPr>
          <w:sz w:val="22"/>
          <w:szCs w:val="22"/>
        </w:rPr>
      </w:pPr>
      <w:r>
        <w:rPr>
          <w:sz w:val="22"/>
          <w:szCs w:val="22"/>
        </w:rPr>
        <w:t>Приложение № 3</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t>в электронной форме</w:t>
      </w:r>
    </w:p>
    <w:p>
      <w:pPr>
        <w:pStyle w:val="Style34"/>
        <w:rPr>
          <w:b w:val="false"/>
          <w:sz w:val="22"/>
          <w:szCs w:val="22"/>
        </w:rPr>
      </w:pPr>
      <w:r>
        <w:rPr>
          <w:b w:val="false"/>
          <w:sz w:val="22"/>
          <w:szCs w:val="22"/>
        </w:rPr>
      </w:r>
    </w:p>
    <w:p>
      <w:pPr>
        <w:pStyle w:val="Normal"/>
        <w:tabs>
          <w:tab w:val="clear" w:pos="708"/>
          <w:tab w:val="left" w:pos="223" w:leader="none"/>
          <w:tab w:val="center" w:pos="4960" w:leader="none"/>
          <w:tab w:val="right" w:pos="9136" w:leader="none"/>
        </w:tabs>
        <w:spacing w:before="0" w:after="0"/>
        <w:jc w:val="center"/>
        <w:rPr>
          <w:b/>
          <w:sz w:val="22"/>
          <w:szCs w:val="22"/>
        </w:rPr>
      </w:pPr>
      <w:r>
        <w:rPr>
          <w:b/>
          <w:bCs/>
          <w:sz w:val="22"/>
          <w:szCs w:val="22"/>
        </w:rPr>
        <w:t xml:space="preserve">РАСЧЕТ И ОБОСНОВАНИЕ НАЧАЛЬНОЙ МАКСИМАЛЬНОЙ ЦЕНЫ ДОГОВОРА </w:t>
      </w:r>
      <w:r>
        <w:rPr>
          <w:sz w:val="22"/>
          <w:szCs w:val="22"/>
        </w:rPr>
        <w:t>(приложено отдельным файлом)</w:t>
      </w:r>
      <w:r>
        <w:rPr>
          <w:b/>
          <w:bCs/>
          <w:sz w:val="22"/>
          <w:szCs w:val="22"/>
        </w:rPr>
        <w:t xml:space="preserve"> </w:t>
      </w:r>
      <w:r>
        <w:rPr>
          <w:sz w:val="22"/>
          <w:szCs w:val="22"/>
        </w:rPr>
        <w:t xml:space="preserve">                                                                                        </w:t>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r>
    </w:p>
    <w:p>
      <w:pPr>
        <w:pStyle w:val="Normal"/>
        <w:spacing w:lineRule="atLeast" w:line="100"/>
        <w:ind w:left="6372" w:hanging="0"/>
        <w:jc w:val="right"/>
        <w:rPr>
          <w:sz w:val="22"/>
          <w:szCs w:val="22"/>
        </w:rPr>
      </w:pPr>
      <w:r>
        <w:rPr>
          <w:sz w:val="22"/>
          <w:szCs w:val="22"/>
        </w:rPr>
        <w:t xml:space="preserve"> </w:t>
      </w:r>
    </w:p>
    <w:p>
      <w:pPr>
        <w:pStyle w:val="Normal"/>
        <w:spacing w:lineRule="atLeast" w:line="100"/>
        <w:ind w:left="6372" w:hanging="0"/>
        <w:jc w:val="right"/>
        <w:rPr>
          <w:sz w:val="22"/>
          <w:szCs w:val="22"/>
        </w:rPr>
      </w:pPr>
      <w:r>
        <w:rPr>
          <w:sz w:val="22"/>
          <w:szCs w:val="22"/>
        </w:rPr>
        <w:t>Приложение № 4</w:t>
      </w:r>
    </w:p>
    <w:p>
      <w:pPr>
        <w:pStyle w:val="Normal"/>
        <w:spacing w:before="0" w:after="0"/>
        <w:jc w:val="right"/>
        <w:rPr>
          <w:sz w:val="22"/>
          <w:szCs w:val="22"/>
        </w:rPr>
      </w:pPr>
      <w:r>
        <w:rPr>
          <w:sz w:val="22"/>
          <w:szCs w:val="22"/>
        </w:rPr>
        <w:t>к конкурсной документации</w:t>
      </w:r>
    </w:p>
    <w:p>
      <w:pPr>
        <w:pStyle w:val="Normal"/>
        <w:spacing w:before="0" w:after="0"/>
        <w:jc w:val="right"/>
        <w:rPr>
          <w:sz w:val="22"/>
          <w:szCs w:val="22"/>
        </w:rPr>
      </w:pPr>
      <w:r>
        <w:rPr>
          <w:sz w:val="22"/>
          <w:szCs w:val="22"/>
        </w:rPr>
      </w:r>
    </w:p>
    <w:p>
      <w:pPr>
        <w:pStyle w:val="Normal"/>
        <w:tabs>
          <w:tab w:val="clear" w:pos="708"/>
          <w:tab w:val="left" w:pos="709" w:leader="none"/>
        </w:tabs>
        <w:suppressAutoHyphens w:val="true"/>
        <w:spacing w:lineRule="atLeast" w:line="100" w:before="0" w:after="0"/>
        <w:jc w:val="center"/>
        <w:rPr>
          <w:rFonts w:eastAsia="Calibri"/>
          <w:b/>
          <w:sz w:val="22"/>
          <w:szCs w:val="22"/>
        </w:rPr>
      </w:pPr>
      <w:r>
        <w:rPr>
          <w:rFonts w:eastAsia="Calibri"/>
          <w:b/>
          <w:sz w:val="22"/>
          <w:szCs w:val="22"/>
        </w:rPr>
        <w:t>РЕКОМЕНДУЕМЫЕ ОБРАЗЦЫ ФОРМЫ ЗАПОЛНЕНИЯ УЧАСТНИКАМИ</w:t>
      </w:r>
    </w:p>
    <w:p>
      <w:pPr>
        <w:pStyle w:val="Normal"/>
        <w:tabs>
          <w:tab w:val="clear" w:pos="708"/>
          <w:tab w:val="left" w:pos="709" w:leader="none"/>
        </w:tabs>
        <w:suppressAutoHyphens w:val="true"/>
        <w:spacing w:lineRule="atLeast" w:line="100" w:before="0" w:after="0"/>
        <w:jc w:val="center"/>
        <w:rPr>
          <w:rFonts w:eastAsia="Calibri"/>
          <w:i/>
          <w:i/>
          <w:sz w:val="22"/>
          <w:szCs w:val="22"/>
        </w:rPr>
      </w:pPr>
      <w:r>
        <w:rPr>
          <w:rFonts w:eastAsia="Calibri"/>
          <w:i/>
          <w:sz w:val="22"/>
          <w:szCs w:val="22"/>
        </w:rPr>
      </w:r>
    </w:p>
    <w:p>
      <w:pPr>
        <w:pStyle w:val="Normal"/>
        <w:tabs>
          <w:tab w:val="clear" w:pos="708"/>
          <w:tab w:val="left" w:pos="709" w:leader="none"/>
        </w:tabs>
        <w:suppressAutoHyphens w:val="true"/>
        <w:spacing w:lineRule="atLeast" w:line="100" w:before="0" w:after="0"/>
        <w:jc w:val="left"/>
        <w:rPr>
          <w:rFonts w:eastAsia="Calibri"/>
          <w:i/>
          <w:i/>
          <w:sz w:val="22"/>
          <w:szCs w:val="22"/>
        </w:rPr>
      </w:pPr>
      <w:r>
        <w:rPr>
          <w:rFonts w:eastAsia="Calibri"/>
          <w:i/>
          <w:sz w:val="22"/>
          <w:szCs w:val="22"/>
          <w:u w:val="single"/>
        </w:rPr>
        <w:t xml:space="preserve">Форма заявки </w:t>
      </w:r>
      <w:r>
        <w:rPr>
          <w:rFonts w:eastAsia="Calibri"/>
          <w:i/>
          <w:sz w:val="22"/>
          <w:szCs w:val="22"/>
        </w:rPr>
        <w:t xml:space="preserve">На бланке организации </w:t>
      </w:r>
    </w:p>
    <w:p>
      <w:pPr>
        <w:pStyle w:val="Normal"/>
        <w:tabs>
          <w:tab w:val="clear" w:pos="708"/>
          <w:tab w:val="left" w:pos="709" w:leader="none"/>
        </w:tabs>
        <w:suppressAutoHyphens w:val="true"/>
        <w:spacing w:lineRule="atLeast" w:line="100" w:before="0" w:after="0"/>
        <w:jc w:val="left"/>
        <w:rPr>
          <w:rFonts w:eastAsia="Calibri"/>
          <w:i/>
          <w:i/>
          <w:sz w:val="22"/>
          <w:szCs w:val="22"/>
        </w:rPr>
      </w:pPr>
      <w:r>
        <w:rPr>
          <w:rFonts w:eastAsia="Calibri"/>
          <w:sz w:val="22"/>
          <w:szCs w:val="22"/>
        </w:rPr>
        <w:t>Исх. № ____ от «___» ____________20___ г.</w:t>
      </w:r>
    </w:p>
    <w:p>
      <w:pPr>
        <w:pStyle w:val="Normal"/>
        <w:tabs>
          <w:tab w:val="clear" w:pos="708"/>
          <w:tab w:val="left" w:pos="709" w:leader="none"/>
        </w:tabs>
        <w:suppressAutoHyphens w:val="true"/>
        <w:spacing w:lineRule="atLeast" w:line="100" w:before="0" w:after="0"/>
        <w:jc w:val="center"/>
        <w:rPr>
          <w:rFonts w:eastAsia="Calibri"/>
          <w:b/>
          <w:sz w:val="22"/>
          <w:szCs w:val="22"/>
        </w:rPr>
      </w:pPr>
      <w:r>
        <w:rPr>
          <w:rFonts w:eastAsia="Calibri"/>
          <w:b/>
          <w:sz w:val="22"/>
          <w:szCs w:val="22"/>
        </w:rPr>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b/>
          <w:sz w:val="22"/>
          <w:szCs w:val="22"/>
        </w:rPr>
        <w:t>ЗАЯВКА НА УЧАСТИЕ В ЗАКУПКЕ</w:t>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tbl>
      <w:tblPr>
        <w:tblW w:w="4900" w:type="pct"/>
        <w:jc w:val="right"/>
        <w:tblInd w:w="0" w:type="dxa"/>
        <w:tblLayout w:type="fixed"/>
        <w:tblCellMar>
          <w:top w:w="0" w:type="dxa"/>
          <w:left w:w="108" w:type="dxa"/>
          <w:bottom w:w="0" w:type="dxa"/>
          <w:right w:w="108" w:type="dxa"/>
        </w:tblCellMar>
        <w:tblLook w:firstRow="0" w:noVBand="0" w:lastRow="0" w:firstColumn="0" w:lastColumn="0" w:noHBand="0" w:val="0000"/>
      </w:tblPr>
      <w:tblGrid>
        <w:gridCol w:w="6283"/>
        <w:gridCol w:w="3160"/>
      </w:tblGrid>
      <w:tr>
        <w:trPr/>
        <w:tc>
          <w:tcPr>
            <w:tcW w:w="9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b/>
                <w:sz w:val="22"/>
                <w:szCs w:val="22"/>
              </w:rPr>
            </w:pPr>
            <w:r>
              <w:rPr>
                <w:b/>
                <w:sz w:val="22"/>
                <w:szCs w:val="22"/>
              </w:rPr>
              <w:t>Для юридического лица</w:t>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Организационно-правовая форма, фирменное наименование (полное наименование)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Место нахождения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Почтовый адрес участника закупок</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ИНН, КПП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ОГРН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Банковские реквизиты участника закупки: наименование банка, р/сч, к/сч, БИК и пр.</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Телефон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Факс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lang w:val="en-US"/>
              </w:rPr>
            </w:pPr>
            <w:r>
              <w:rPr>
                <w:sz w:val="22"/>
                <w:szCs w:val="22"/>
                <w:lang w:val="en-US"/>
              </w:rPr>
              <w:t>Email</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руководителя</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и номер телефона ответственного лица за исполнение договора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Код по общероссийскому классификатору предприятий и организаций (ОКПО), установленный поставщику</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Код территории населенного пункта в соответствии с общероссийским классификатором территорий муниципальных образований (ОКТМО)</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Дата постановки на учет в налоговом органе в соответствии со свидетельством о постановке на учет в налоговом органе</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Система налогооблажения</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94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center"/>
              <w:rPr>
                <w:b/>
                <w:sz w:val="22"/>
                <w:szCs w:val="22"/>
              </w:rPr>
            </w:pPr>
            <w:r>
              <w:rPr>
                <w:b/>
                <w:sz w:val="22"/>
                <w:szCs w:val="22"/>
              </w:rPr>
              <w:t>Для физического лица</w:t>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Фамилия Имя Отчество</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ИНН, паспортные данные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Место жительства участника закупки</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Телефон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Факс (с указанием кода города)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lang w:val="en-US"/>
              </w:rPr>
            </w:pPr>
            <w:r>
              <w:rPr>
                <w:sz w:val="22"/>
                <w:szCs w:val="22"/>
                <w:lang w:val="en-US"/>
              </w:rPr>
              <w:t>Email</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r>
        <w:trPr/>
        <w:tc>
          <w:tcPr>
            <w:tcW w:w="628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rPr>
                <w:sz w:val="22"/>
                <w:szCs w:val="22"/>
              </w:rPr>
            </w:pPr>
            <w:r>
              <w:rPr>
                <w:sz w:val="22"/>
                <w:szCs w:val="22"/>
              </w:rPr>
              <w:t>Ф.И.О. и номер телефона ответственного лица за исполнение договора</w:t>
            </w:r>
          </w:p>
        </w:tc>
        <w:tc>
          <w:tcPr>
            <w:tcW w:w="316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before="0" w:after="0"/>
              <w:rPr>
                <w:sz w:val="22"/>
                <w:szCs w:val="22"/>
              </w:rPr>
            </w:pPr>
            <w:r>
              <w:rPr>
                <w:sz w:val="22"/>
                <w:szCs w:val="22"/>
              </w:rPr>
            </w:r>
          </w:p>
        </w:tc>
      </w:tr>
    </w:tbl>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t xml:space="preserve">Участник закупки, сведения о котором указаны в настоящей заявке, изучив документацию о проведении закупки, заявляет о согласии исполнить условия договора, указанные в извещении № ________ от ______ о проведении закупки на _________________ </w:t>
      </w:r>
      <w:r>
        <w:rPr>
          <w:rFonts w:eastAsia="Calibri"/>
          <w:i/>
          <w:sz w:val="22"/>
          <w:szCs w:val="22"/>
        </w:rPr>
        <w:t>(наименование закупки).</w:t>
      </w:r>
    </w:p>
    <w:p>
      <w:pPr>
        <w:pStyle w:val="Normal"/>
        <w:tabs>
          <w:tab w:val="clear" w:pos="708"/>
          <w:tab w:val="left" w:pos="709" w:leader="none"/>
        </w:tabs>
        <w:suppressAutoHyphens w:val="true"/>
        <w:spacing w:lineRule="atLeast" w:line="100" w:before="0" w:after="0"/>
        <w:jc w:val="center"/>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t>Стоимость договора: ______ руб. ________коп. (сумма прописью) с НДС 20%/НДС не облагается на основании _____.</w:t>
      </w:r>
    </w:p>
    <w:p>
      <w:pPr>
        <w:pStyle w:val="Normal"/>
        <w:tabs>
          <w:tab w:val="clear" w:pos="708"/>
          <w:tab w:val="left" w:pos="709" w:leader="none"/>
        </w:tabs>
        <w:suppressAutoHyphens w:val="true"/>
        <w:spacing w:lineRule="atLeast" w:line="100" w:before="0" w:after="0"/>
        <w:rPr>
          <w:rFonts w:eastAsia="Calibri"/>
          <w:sz w:val="22"/>
          <w:szCs w:val="22"/>
        </w:rPr>
      </w:pPr>
      <w:r>
        <w:rPr>
          <w:rFonts w:eastAsia="Calibri"/>
          <w:sz w:val="22"/>
          <w:szCs w:val="22"/>
        </w:rPr>
      </w:r>
    </w:p>
    <w:p>
      <w:pPr>
        <w:pStyle w:val="Normal"/>
        <w:tabs>
          <w:tab w:val="left" w:pos="708" w:leader="none"/>
        </w:tabs>
        <w:rPr>
          <w:sz w:val="22"/>
          <w:szCs w:val="22"/>
        </w:rPr>
      </w:pPr>
      <w:r>
        <w:rPr>
          <w:sz w:val="22"/>
          <w:szCs w:val="22"/>
        </w:rPr>
        <w:t>Информация и сведения для оценки и сопоставления заявки участника закупки:</w:t>
      </w:r>
    </w:p>
    <w:tbl>
      <w:tblPr>
        <w:tblW w:w="10274"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607"/>
        <w:gridCol w:w="4739"/>
        <w:gridCol w:w="1572"/>
        <w:gridCol w:w="1413"/>
        <w:gridCol w:w="1943"/>
      </w:tblGrid>
      <w:tr>
        <w:trPr>
          <w:tblHeader w:val="true"/>
        </w:trPr>
        <w:tc>
          <w:tcPr>
            <w:tcW w:w="6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 xml:space="preserve">№ </w:t>
            </w:r>
            <w:r>
              <w:rPr>
                <w:b/>
                <w:sz w:val="22"/>
                <w:szCs w:val="22"/>
                <w:lang w:eastAsia="en-US"/>
              </w:rPr>
              <w:t>п/п</w:t>
            </w:r>
          </w:p>
        </w:tc>
        <w:tc>
          <w:tcPr>
            <w:tcW w:w="47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Наименование показателя</w:t>
            </w:r>
          </w:p>
        </w:tc>
        <w:tc>
          <w:tcPr>
            <w:tcW w:w="15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Единица измерения</w:t>
            </w:r>
          </w:p>
        </w:tc>
        <w:tc>
          <w:tcPr>
            <w:tcW w:w="141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Данные участника</w:t>
            </w:r>
          </w:p>
        </w:tc>
        <w:tc>
          <w:tcPr>
            <w:tcW w:w="19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0" w:after="60"/>
              <w:rPr>
                <w:b/>
                <w:sz w:val="22"/>
                <w:szCs w:val="22"/>
                <w:lang w:eastAsia="en-US"/>
              </w:rPr>
            </w:pPr>
            <w:r>
              <w:rPr>
                <w:b/>
                <w:sz w:val="22"/>
                <w:szCs w:val="22"/>
                <w:lang w:eastAsia="en-US"/>
              </w:rPr>
              <w:t>Примечание</w:t>
            </w:r>
          </w:p>
        </w:tc>
      </w:tr>
      <w:tr>
        <w:trPr>
          <w:tblHeader w:val="true"/>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1</w:t>
            </w:r>
          </w:p>
        </w:tc>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2</w:t>
            </w:r>
          </w:p>
        </w:tc>
        <w:tc>
          <w:tcPr>
            <w:tcW w:w="1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3</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4</w:t>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b/>
                <w:sz w:val="22"/>
                <w:szCs w:val="22"/>
                <w:lang w:eastAsia="en-US"/>
              </w:rPr>
            </w:pPr>
            <w:r>
              <w:rPr>
                <w:b/>
                <w:sz w:val="22"/>
                <w:szCs w:val="22"/>
                <w:lang w:eastAsia="en-US"/>
              </w:rPr>
              <w:t>5</w:t>
            </w:r>
          </w:p>
        </w:tc>
      </w:tr>
      <w:tr>
        <w:trPr>
          <w:trHeight w:val="577"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t>1</w:t>
            </w:r>
          </w:p>
        </w:tc>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jc w:val="left"/>
              <w:rPr>
                <w:sz w:val="22"/>
                <w:szCs w:val="22"/>
                <w:lang w:eastAsia="en-US"/>
              </w:rPr>
            </w:pPr>
            <w:r>
              <w:rPr>
                <w:sz w:val="22"/>
                <w:szCs w:val="22"/>
              </w:rPr>
              <w:t>Цена договора</w:t>
            </w:r>
          </w:p>
        </w:tc>
        <w:tc>
          <w:tcPr>
            <w:tcW w:w="15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Рублей</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t xml:space="preserve"> </w:t>
            </w:r>
            <w:r>
              <w:rPr>
                <w:sz w:val="22"/>
                <w:szCs w:val="22"/>
                <w:lang w:eastAsia="en-US"/>
              </w:rPr>
              <w:t>-</w:t>
            </w:r>
          </w:p>
        </w:tc>
      </w:tr>
      <w:tr>
        <w:trPr>
          <w:trHeight w:val="668"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rPr>
            </w:pPr>
            <w:r>
              <w:rPr>
                <w:sz w:val="22"/>
                <w:szCs w:val="22"/>
              </w:rPr>
              <w:t>2</w:t>
            </w:r>
          </w:p>
        </w:tc>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jc w:val="left"/>
              <w:rPr>
                <w:sz w:val="22"/>
                <w:szCs w:val="22"/>
              </w:rPr>
            </w:pPr>
            <w:r>
              <w:rPr>
                <w:sz w:val="22"/>
                <w:szCs w:val="22"/>
                <w:lang w:eastAsia="zh-CN"/>
              </w:rPr>
              <w:t>Опыт. Максимальная цена одного договора</w:t>
            </w:r>
          </w:p>
          <w:p>
            <w:pPr>
              <w:pStyle w:val="Normal"/>
              <w:widowControl w:val="false"/>
              <w:tabs>
                <w:tab w:val="left" w:pos="708" w:leader="none"/>
              </w:tabs>
              <w:spacing w:before="0" w:after="60"/>
              <w:ind w:firstLine="600"/>
              <w:jc w:val="left"/>
              <w:rPr>
                <w:sz w:val="22"/>
                <w:szCs w:val="22"/>
              </w:rPr>
            </w:pPr>
            <w:r>
              <w:rPr>
                <w:sz w:val="22"/>
                <w:szCs w:val="22"/>
              </w:rPr>
            </w:r>
          </w:p>
        </w:tc>
        <w:tc>
          <w:tcPr>
            <w:tcW w:w="15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Рублей</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rFonts w:eastAsia="Arial Unicode MS"/>
                <w:iCs/>
                <w:sz w:val="22"/>
                <w:szCs w:val="22"/>
                <w:lang w:eastAsia="en-US"/>
              </w:rPr>
            </w:pPr>
            <w:r>
              <w:rPr>
                <w:rFonts w:eastAsia="Arial Unicode MS"/>
                <w:iCs/>
                <w:sz w:val="22"/>
                <w:szCs w:val="22"/>
                <w:lang w:eastAsia="en-US"/>
              </w:rPr>
            </w:r>
          </w:p>
        </w:tc>
      </w:tr>
      <w:tr>
        <w:trPr>
          <w:trHeight w:val="668" w:hRule="atLeast"/>
        </w:trPr>
        <w:tc>
          <w:tcPr>
            <w:tcW w:w="6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rPr>
            </w:pPr>
            <w:r>
              <w:rPr>
                <w:sz w:val="22"/>
                <w:szCs w:val="22"/>
              </w:rPr>
              <w:t>3</w:t>
            </w:r>
          </w:p>
        </w:tc>
        <w:tc>
          <w:tcPr>
            <w:tcW w:w="47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jc w:val="left"/>
              <w:rPr>
                <w:sz w:val="22"/>
                <w:szCs w:val="22"/>
                <w:lang w:eastAsia="zh-CN"/>
              </w:rPr>
            </w:pPr>
            <w:r>
              <w:rPr>
                <w:sz w:val="22"/>
                <w:szCs w:val="22"/>
                <w:lang w:eastAsia="zh-CN"/>
              </w:rPr>
              <w:t>Срок оплаты выполненных работ</w:t>
            </w:r>
          </w:p>
        </w:tc>
        <w:tc>
          <w:tcPr>
            <w:tcW w:w="1572"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08" w:leader="none"/>
              </w:tabs>
              <w:spacing w:before="0" w:after="60"/>
              <w:rPr>
                <w:sz w:val="22"/>
                <w:szCs w:val="22"/>
                <w:lang w:eastAsia="en-US"/>
              </w:rPr>
            </w:pPr>
            <w:r>
              <w:rPr>
                <w:sz w:val="22"/>
                <w:szCs w:val="22"/>
                <w:lang w:eastAsia="en-US"/>
              </w:rPr>
              <w:t>Дни</w:t>
            </w:r>
          </w:p>
        </w:tc>
        <w:tc>
          <w:tcPr>
            <w:tcW w:w="14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sz w:val="22"/>
                <w:szCs w:val="22"/>
                <w:lang w:eastAsia="en-US"/>
              </w:rPr>
            </w:pPr>
            <w:r>
              <w:rPr>
                <w:sz w:val="22"/>
                <w:szCs w:val="22"/>
                <w:lang w:eastAsia="en-US"/>
              </w:rPr>
            </w:r>
          </w:p>
        </w:tc>
        <w:tc>
          <w:tcPr>
            <w:tcW w:w="19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60"/>
              <w:rPr>
                <w:rFonts w:eastAsia="Arial Unicode MS"/>
                <w:iCs/>
                <w:sz w:val="22"/>
                <w:szCs w:val="22"/>
                <w:lang w:eastAsia="en-US"/>
              </w:rPr>
            </w:pPr>
            <w:r>
              <w:rPr>
                <w:rFonts w:eastAsia="Arial Unicode MS"/>
                <w:iCs/>
                <w:sz w:val="22"/>
                <w:szCs w:val="22"/>
                <w:lang w:eastAsia="en-US"/>
              </w:rPr>
            </w:r>
          </w:p>
        </w:tc>
      </w:tr>
    </w:tbl>
    <w:p>
      <w:pPr>
        <w:pStyle w:val="Normal"/>
        <w:spacing w:before="0" w:after="0"/>
        <w:ind w:firstLine="567"/>
        <w:rPr>
          <w:i/>
          <w:i/>
          <w:iCs/>
          <w:sz w:val="22"/>
          <w:szCs w:val="22"/>
        </w:rPr>
      </w:pPr>
      <w:r>
        <w:rPr>
          <w:i/>
          <w:iCs/>
          <w:sz w:val="22"/>
          <w:szCs w:val="22"/>
        </w:rPr>
      </w:r>
    </w:p>
    <w:p>
      <w:pPr>
        <w:pStyle w:val="Normal"/>
        <w:spacing w:before="0" w:after="0"/>
        <w:ind w:firstLine="567"/>
        <w:rPr>
          <w:i/>
          <w:i/>
          <w:iCs/>
          <w:sz w:val="22"/>
          <w:szCs w:val="22"/>
        </w:rPr>
      </w:pPr>
      <w:r>
        <w:rPr>
          <w:i/>
          <w:iCs/>
          <w:sz w:val="22"/>
          <w:szCs w:val="22"/>
        </w:rPr>
      </w:r>
    </w:p>
    <w:p>
      <w:pPr>
        <w:pStyle w:val="Normal"/>
        <w:tabs>
          <w:tab w:val="left" w:pos="708" w:leader="none"/>
        </w:tabs>
        <w:ind w:firstLine="600"/>
        <w:rPr>
          <w:b/>
          <w:bCs/>
          <w:sz w:val="22"/>
          <w:szCs w:val="22"/>
        </w:rPr>
      </w:pPr>
      <w:r>
        <w:rPr>
          <w:b/>
          <w:bCs/>
          <w:sz w:val="22"/>
          <w:szCs w:val="22"/>
        </w:rPr>
      </w:r>
    </w:p>
    <w:tbl>
      <w:tblPr>
        <w:tblW w:w="5000" w:type="pct"/>
        <w:jc w:val="left"/>
        <w:tblInd w:w="-176" w:type="dxa"/>
        <w:tblLayout w:type="fixed"/>
        <w:tblCellMar>
          <w:top w:w="0" w:type="dxa"/>
          <w:left w:w="5" w:type="dxa"/>
          <w:bottom w:w="0" w:type="dxa"/>
          <w:right w:w="5" w:type="dxa"/>
        </w:tblCellMar>
        <w:tblLook w:firstRow="0" w:noVBand="0" w:lastRow="0" w:firstColumn="0" w:lastColumn="0" w:noHBand="0" w:val="0000"/>
      </w:tblPr>
      <w:tblGrid>
        <w:gridCol w:w="605"/>
        <w:gridCol w:w="1516"/>
        <w:gridCol w:w="1803"/>
        <w:gridCol w:w="1628"/>
        <w:gridCol w:w="717"/>
        <w:gridCol w:w="787"/>
        <w:gridCol w:w="1294"/>
        <w:gridCol w:w="1285"/>
      </w:tblGrid>
      <w:tr>
        <w:trPr/>
        <w:tc>
          <w:tcPr>
            <w:tcW w:w="6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ind w:left="-116" w:firstLine="8"/>
              <w:jc w:val="center"/>
              <w:rPr>
                <w:b/>
                <w:color w:val="000000"/>
                <w:sz w:val="22"/>
                <w:szCs w:val="22"/>
              </w:rPr>
            </w:pPr>
            <w:r>
              <w:rPr>
                <w:b/>
                <w:color w:val="000000"/>
                <w:sz w:val="22"/>
                <w:szCs w:val="22"/>
              </w:rPr>
              <w:t xml:space="preserve">   №</w:t>
            </w:r>
          </w:p>
          <w:p>
            <w:pPr>
              <w:pStyle w:val="Normal"/>
              <w:widowControl w:val="false"/>
              <w:snapToGrid w:val="false"/>
              <w:spacing w:before="0" w:after="0"/>
              <w:jc w:val="center"/>
              <w:rPr>
                <w:b/>
                <w:color w:val="000000"/>
                <w:sz w:val="22"/>
                <w:szCs w:val="22"/>
              </w:rPr>
            </w:pPr>
            <w:r>
              <w:rPr>
                <w:b/>
                <w:color w:val="000000"/>
                <w:sz w:val="22"/>
                <w:szCs w:val="22"/>
              </w:rPr>
              <w:t>п/п</w:t>
            </w:r>
          </w:p>
        </w:tc>
        <w:tc>
          <w:tcPr>
            <w:tcW w:w="1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 xml:space="preserve">Наименование Товара </w:t>
            </w:r>
          </w:p>
          <w:p>
            <w:pPr>
              <w:pStyle w:val="Normal"/>
              <w:widowControl w:val="false"/>
              <w:snapToGrid w:val="false"/>
              <w:spacing w:before="0" w:after="0"/>
              <w:jc w:val="center"/>
              <w:rPr>
                <w:b/>
                <w:sz w:val="22"/>
                <w:szCs w:val="22"/>
              </w:rPr>
            </w:pPr>
            <w:r>
              <w:rPr>
                <w:b/>
                <w:sz w:val="22"/>
                <w:szCs w:val="22"/>
              </w:rPr>
            </w:r>
          </w:p>
          <w:p>
            <w:pPr>
              <w:pStyle w:val="Normal"/>
              <w:widowControl w:val="false"/>
              <w:snapToGrid w:val="false"/>
              <w:spacing w:before="0" w:after="0"/>
              <w:jc w:val="center"/>
              <w:rPr>
                <w:b/>
                <w:sz w:val="22"/>
                <w:szCs w:val="22"/>
              </w:rPr>
            </w:pPr>
            <w:r>
              <w:rPr>
                <w:b/>
                <w:sz w:val="22"/>
                <w:szCs w:val="22"/>
              </w:rPr>
            </w:r>
          </w:p>
        </w:tc>
        <w:tc>
          <w:tcPr>
            <w:tcW w:w="18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Функциональные, технические и качественные характеристики Товара</w:t>
            </w:r>
          </w:p>
        </w:tc>
        <w:tc>
          <w:tcPr>
            <w:tcW w:w="16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Наименование страны происхождения Товара, производитель</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Ед. изм.</w:t>
            </w:r>
          </w:p>
        </w:tc>
        <w:tc>
          <w:tcPr>
            <w:tcW w:w="7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Кол-во</w:t>
            </w:r>
          </w:p>
        </w:tc>
        <w:tc>
          <w:tcPr>
            <w:tcW w:w="12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ind w:hanging="109"/>
              <w:jc w:val="center"/>
              <w:rPr>
                <w:b/>
                <w:sz w:val="22"/>
                <w:szCs w:val="22"/>
              </w:rPr>
            </w:pPr>
            <w:r>
              <w:rPr>
                <w:b/>
                <w:sz w:val="22"/>
                <w:szCs w:val="22"/>
              </w:rPr>
              <w:t xml:space="preserve">Цена </w:t>
            </w:r>
          </w:p>
          <w:p>
            <w:pPr>
              <w:pStyle w:val="Normal"/>
              <w:widowControl w:val="false"/>
              <w:snapToGrid w:val="false"/>
              <w:spacing w:before="0" w:after="0"/>
              <w:ind w:left="-108" w:hanging="1"/>
              <w:jc w:val="center"/>
              <w:rPr>
                <w:b/>
                <w:sz w:val="22"/>
                <w:szCs w:val="22"/>
              </w:rPr>
            </w:pPr>
            <w:r>
              <w:rPr>
                <w:b/>
                <w:sz w:val="22"/>
                <w:szCs w:val="22"/>
              </w:rPr>
              <w:t>за ед. в руб.</w:t>
            </w:r>
          </w:p>
        </w:tc>
        <w:tc>
          <w:tcPr>
            <w:tcW w:w="12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before="0" w:after="0"/>
              <w:jc w:val="center"/>
              <w:rPr>
                <w:b/>
                <w:sz w:val="22"/>
                <w:szCs w:val="22"/>
              </w:rPr>
            </w:pPr>
            <w:r>
              <w:rPr>
                <w:b/>
                <w:sz w:val="22"/>
                <w:szCs w:val="22"/>
              </w:rPr>
              <w:t>Стоимость, руб.</w:t>
            </w:r>
          </w:p>
        </w:tc>
      </w:tr>
      <w:tr>
        <w:trPr/>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2</w:t>
            </w:r>
          </w:p>
        </w:tc>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3</w:t>
            </w:r>
          </w:p>
        </w:tc>
        <w:tc>
          <w:tcPr>
            <w:tcW w:w="162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4</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6</w:t>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7</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8</w:t>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b/>
                <w:sz w:val="22"/>
                <w:szCs w:val="22"/>
              </w:rPr>
            </w:pPr>
            <w:r>
              <w:rPr>
                <w:b/>
                <w:sz w:val="22"/>
                <w:szCs w:val="22"/>
              </w:rPr>
              <w:t>9</w:t>
            </w:r>
          </w:p>
        </w:tc>
      </w:tr>
      <w:tr>
        <w:trPr/>
        <w:tc>
          <w:tcPr>
            <w:tcW w:w="60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t>1</w:t>
            </w:r>
          </w:p>
        </w:tc>
        <w:tc>
          <w:tcPr>
            <w:tcW w:w="151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80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62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78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c>
          <w:tcPr>
            <w:tcW w:w="128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rPr>
                <w:sz w:val="22"/>
                <w:szCs w:val="22"/>
              </w:rPr>
            </w:pPr>
            <w:r>
              <w:rPr>
                <w:sz w:val="22"/>
                <w:szCs w:val="22"/>
              </w:rPr>
            </w:r>
          </w:p>
        </w:tc>
      </w:tr>
    </w:tbl>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r>
    </w:p>
    <w:p>
      <w:pPr>
        <w:pStyle w:val="Normal"/>
        <w:tabs>
          <w:tab w:val="left" w:pos="708" w:leader="none"/>
        </w:tabs>
        <w:ind w:firstLine="600"/>
        <w:rPr>
          <w:b/>
          <w:bCs/>
          <w:sz w:val="22"/>
          <w:szCs w:val="22"/>
        </w:rPr>
      </w:pPr>
      <w:r>
        <w:rPr>
          <w:b/>
          <w:bCs/>
          <w:sz w:val="22"/>
          <w:szCs w:val="22"/>
        </w:rPr>
        <w:t>________________________(</w:t>
      </w:r>
      <w:r>
        <w:rPr>
          <w:b/>
          <w:bCs/>
          <w:i/>
          <w:iCs/>
          <w:sz w:val="22"/>
          <w:szCs w:val="22"/>
        </w:rPr>
        <w:t>наименование участника</w:t>
      </w:r>
      <w:r>
        <w:rPr>
          <w:b/>
          <w:bCs/>
          <w:sz w:val="22"/>
          <w:szCs w:val="22"/>
        </w:rPr>
        <w:t>) декларирует соответствие требованиям документации, в том числе:</w:t>
      </w:r>
    </w:p>
    <w:p>
      <w:pPr>
        <w:pStyle w:val="Normal"/>
        <w:tabs>
          <w:tab w:val="left" w:pos="708" w:leader="none"/>
        </w:tabs>
        <w:ind w:firstLine="600"/>
        <w:rPr>
          <w:i/>
          <w:i/>
          <w:iCs/>
          <w:sz w:val="22"/>
          <w:szCs w:val="22"/>
          <w:lang w:eastAsia="zh-CN"/>
        </w:rPr>
      </w:pPr>
      <w:r>
        <w:rPr>
          <w:i/>
          <w:iCs/>
          <w:sz w:val="22"/>
          <w:szCs w:val="22"/>
          <w:highlight w:val="yellow"/>
          <w:lang w:eastAsia="zh-CN"/>
        </w:rPr>
        <w:t>Участнику необходимо указать (продекларировать) соответствие требованиям, установленным в п. 15 информационной карты документации.</w:t>
      </w:r>
    </w:p>
    <w:p>
      <w:pPr>
        <w:pStyle w:val="Normal"/>
        <w:tabs>
          <w:tab w:val="left" w:pos="708" w:leader="none"/>
        </w:tabs>
        <w:ind w:firstLine="600"/>
        <w:rPr>
          <w:sz w:val="22"/>
          <w:szCs w:val="22"/>
        </w:rPr>
      </w:pPr>
      <w:r>
        <w:rPr>
          <w:sz w:val="22"/>
          <w:szCs w:val="22"/>
        </w:rPr>
        <w:t>Если по результатам закупки, с нами будет заключен договор, мы берем на себя обязательство исполнить условия в соответствии с требованиями документации, техническим заданием и согласно нашей заявке.</w:t>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t>Руководитель _____________________________________   И.О. Фамилия</w:t>
      </w:r>
    </w:p>
    <w:p>
      <w:pPr>
        <w:pStyle w:val="Normal"/>
        <w:tabs>
          <w:tab w:val="clear" w:pos="708"/>
          <w:tab w:val="left" w:pos="709" w:leader="none"/>
        </w:tabs>
        <w:suppressAutoHyphens w:val="true"/>
        <w:spacing w:lineRule="atLeast" w:line="100" w:before="0" w:after="0"/>
        <w:ind w:firstLine="567"/>
        <w:rPr>
          <w:rFonts w:eastAsia="Calibri"/>
          <w:sz w:val="22"/>
          <w:szCs w:val="22"/>
        </w:rPr>
      </w:pPr>
      <w:r>
        <w:rPr>
          <w:rFonts w:eastAsia="Calibri"/>
          <w:sz w:val="22"/>
          <w:szCs w:val="22"/>
        </w:rPr>
        <w:t>М.П.                                                  (подпись)</w:t>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rPr>
          <w:rFonts w:eastAsia="Calibri"/>
          <w:sz w:val="22"/>
          <w:szCs w:val="22"/>
        </w:rPr>
      </w:pPr>
      <w:r>
        <w:rPr>
          <w:rFonts w:eastAsia="Calibri"/>
          <w:sz w:val="22"/>
          <w:szCs w:val="22"/>
        </w:rPr>
      </w:r>
    </w:p>
    <w:p>
      <w:pPr>
        <w:pStyle w:val="Normal"/>
        <w:jc w:val="center"/>
        <w:rPr>
          <w:b/>
          <w:sz w:val="22"/>
          <w:szCs w:val="22"/>
        </w:rPr>
      </w:pPr>
      <w:r>
        <w:rPr>
          <w:rFonts w:eastAsia="Calibri"/>
          <w:sz w:val="22"/>
          <w:szCs w:val="22"/>
        </w:rPr>
        <w:tab/>
      </w:r>
      <w:r>
        <w:br w:type="page"/>
      </w:r>
    </w:p>
    <w:p>
      <w:pPr>
        <w:pStyle w:val="Normal"/>
        <w:jc w:val="center"/>
        <w:rPr>
          <w:b/>
          <w:sz w:val="22"/>
          <w:szCs w:val="22"/>
        </w:rPr>
      </w:pPr>
      <w:r>
        <w:rPr>
          <w:b/>
          <w:sz w:val="22"/>
          <w:szCs w:val="22"/>
        </w:rPr>
        <w:t xml:space="preserve">СОГЛАСИЕ </w:t>
        <w:br/>
        <w:t>НА ОБРАБОТКУ ПЕРСОНАЛЬНЫХ ДАННЫХ</w:t>
      </w:r>
    </w:p>
    <w:p>
      <w:pPr>
        <w:pStyle w:val="Normal"/>
        <w:shd w:val="clear" w:color="auto" w:fill="FFFFFF"/>
        <w:ind w:firstLine="709"/>
        <w:jc w:val="center"/>
        <w:rPr>
          <w:color w:val="000000"/>
          <w:sz w:val="22"/>
          <w:szCs w:val="22"/>
        </w:rPr>
      </w:pPr>
      <w:r>
        <w:rPr>
          <w:color w:val="000000"/>
          <w:sz w:val="22"/>
          <w:szCs w:val="22"/>
        </w:rPr>
      </w:r>
    </w:p>
    <w:p>
      <w:pPr>
        <w:pStyle w:val="Normal"/>
        <w:shd w:val="clear" w:color="auto" w:fill="FFFFFF"/>
        <w:jc w:val="right"/>
        <w:rPr>
          <w:color w:val="000000"/>
          <w:sz w:val="22"/>
          <w:szCs w:val="22"/>
        </w:rPr>
      </w:pPr>
      <w:r>
        <w:rPr>
          <w:color w:val="000000"/>
          <w:sz w:val="22"/>
          <w:szCs w:val="22"/>
        </w:rPr>
        <w:t xml:space="preserve">                </w:t>
      </w:r>
      <w:r>
        <w:rPr>
          <w:color w:val="000000"/>
          <w:sz w:val="22"/>
          <w:szCs w:val="22"/>
        </w:rPr>
        <w:t>___________2025 г.               </w:t>
      </w:r>
    </w:p>
    <w:p>
      <w:pPr>
        <w:pStyle w:val="Normal"/>
        <w:rPr>
          <w:color w:val="000000"/>
          <w:sz w:val="22"/>
          <w:szCs w:val="22"/>
        </w:rPr>
      </w:pPr>
      <w:r>
        <w:rPr>
          <w:color w:val="000000"/>
          <w:sz w:val="22"/>
          <w:szCs w:val="22"/>
        </w:rPr>
        <w:t xml:space="preserve">   </w:t>
      </w:r>
    </w:p>
    <w:p>
      <w:pPr>
        <w:pStyle w:val="Normal"/>
        <w:rPr>
          <w:i/>
          <w:i/>
          <w:color w:val="000000"/>
          <w:sz w:val="22"/>
          <w:szCs w:val="22"/>
          <w:vertAlign w:val="superscript"/>
        </w:rPr>
      </w:pPr>
      <w:r>
        <w:rPr>
          <w:color w:val="000000"/>
          <w:sz w:val="22"/>
          <w:szCs w:val="22"/>
        </w:rPr>
        <w:t>Я, _________________________________________________________________________, выдан___________________________________________, адрес регистрации:_______________________________,</w:t>
      </w:r>
      <w:r>
        <w:rPr>
          <w:i/>
          <w:color w:val="000000"/>
          <w:sz w:val="22"/>
          <w:szCs w:val="22"/>
          <w:vertAlign w:val="superscript"/>
        </w:rPr>
        <w:t xml:space="preserve"> </w:t>
      </w:r>
      <w:r>
        <w:rPr>
          <w:sz w:val="22"/>
          <w:szCs w:val="22"/>
        </w:rPr>
        <w:t>даю свое согласие _____________________________________________на обработку</w:t>
      </w:r>
      <w:r>
        <w:rPr>
          <w:i/>
          <w:color w:val="000000"/>
          <w:sz w:val="22"/>
          <w:szCs w:val="22"/>
          <w:vertAlign w:val="superscript"/>
        </w:rPr>
        <w:t xml:space="preserve"> </w:t>
      </w:r>
      <w:r>
        <w:rPr>
          <w:sz w:val="22"/>
          <w:szCs w:val="22"/>
        </w:rPr>
        <w:t>моих персональных данных. Согласие касается фамилии, имени, отчества, данных о поле, дате рождении, гражданстве, типе документа, удостоверяющем личность (его серии, номере, дате и месте выдачи), а также сведений из трудовой книжки: опыте работы, месте работы и должности.</w:t>
      </w:r>
    </w:p>
    <w:p>
      <w:pPr>
        <w:pStyle w:val="Normal"/>
        <w:rPr>
          <w:sz w:val="22"/>
          <w:szCs w:val="22"/>
        </w:rPr>
      </w:pPr>
      <w:r>
        <w:rPr>
          <w:sz w:val="22"/>
          <w:szCs w:val="22"/>
        </w:rPr>
        <w:t>Я даю согласие на использование персональных данных исключительно</w:t>
      </w:r>
      <w:r>
        <w:rPr>
          <w:b/>
          <w:sz w:val="22"/>
          <w:szCs w:val="22"/>
        </w:rPr>
        <w:t xml:space="preserve"> </w:t>
      </w:r>
      <w:r>
        <w:rPr>
          <w:sz w:val="22"/>
          <w:szCs w:val="22"/>
        </w:rPr>
        <w:t xml:space="preserve">в целях формирования кадрового документооборота предприятия, бухгалтерских операций и налоговых отчислений, </w:t>
      </w:r>
      <w:r>
        <w:rPr>
          <w:color w:val="000000"/>
          <w:sz w:val="22"/>
          <w:szCs w:val="22"/>
        </w:rPr>
        <w:t>а также на хранение всех вышеназванных данных на электронных носителях. Также данным согласием я разрешаю сбор моих персональных данных, их хранение, систематизацию, обновление, использование (в т.ч. передачу третьим лицам для обмена информацией), а также осуществление любых иных действий, предусмотренных действующим законом Российской Федерации.</w:t>
      </w:r>
    </w:p>
    <w:p>
      <w:pPr>
        <w:pStyle w:val="Normal"/>
        <w:shd w:val="clear" w:color="auto" w:fill="FFFFFF"/>
        <w:rPr>
          <w:i/>
          <w:i/>
          <w:sz w:val="22"/>
          <w:szCs w:val="22"/>
          <w:vertAlign w:val="superscript"/>
        </w:rPr>
      </w:pPr>
      <w:r>
        <w:rPr>
          <w:color w:val="000000"/>
          <w:sz w:val="22"/>
          <w:szCs w:val="22"/>
        </w:rPr>
        <w:t>До моего сведения доведено, что_______________________________</w:t>
      </w:r>
      <w:r>
        <w:rPr>
          <w:sz w:val="22"/>
          <w:szCs w:val="22"/>
        </w:rPr>
        <w:t xml:space="preserve"> </w:t>
      </w:r>
      <w:r>
        <w:rPr>
          <w:color w:val="000000"/>
          <w:sz w:val="22"/>
          <w:szCs w:val="22"/>
        </w:rPr>
        <w:t>гарантирует</w:t>
      </w:r>
      <w:r>
        <w:rPr>
          <w:i/>
          <w:sz w:val="22"/>
          <w:szCs w:val="22"/>
          <w:vertAlign w:val="superscript"/>
        </w:rPr>
        <w:t xml:space="preserve"> </w:t>
      </w:r>
      <w:r>
        <w:rPr>
          <w:color w:val="000000"/>
          <w:sz w:val="22"/>
          <w:szCs w:val="22"/>
        </w:rPr>
        <w:t xml:space="preserve">обработку моих персональных данных в соответствии с действующим законодательством Российской Федерации. Срок действия данного согласия не ограничен. Согласие может быть отозвано в любой момент по моему письменному заявлению.  </w:t>
      </w:r>
    </w:p>
    <w:p>
      <w:pPr>
        <w:pStyle w:val="Normal"/>
        <w:shd w:val="clear" w:color="auto" w:fill="FFFFFF"/>
        <w:rPr>
          <w:color w:val="000000"/>
          <w:sz w:val="22"/>
          <w:szCs w:val="22"/>
        </w:rPr>
      </w:pPr>
      <w:r>
        <w:rPr>
          <w:color w:val="000000"/>
          <w:sz w:val="22"/>
          <w:szCs w:val="22"/>
        </w:rPr>
        <w:t>Подтверждаю, что, давая согласие, я действую без принуждения, по собственной воле и в своих интересах.</w:t>
      </w:r>
    </w:p>
    <w:p>
      <w:pPr>
        <w:pStyle w:val="Normal"/>
        <w:shd w:val="clear" w:color="auto" w:fill="FFFFFF"/>
        <w:rPr>
          <w:i/>
          <w:i/>
          <w:color w:val="000000"/>
          <w:sz w:val="22"/>
          <w:szCs w:val="22"/>
        </w:rPr>
      </w:pPr>
      <w:r>
        <w:rPr>
          <w:i/>
          <w:color w:val="000000"/>
          <w:sz w:val="22"/>
          <w:szCs w:val="22"/>
        </w:rPr>
        <w:t xml:space="preserve">                                                       </w:t>
      </w:r>
    </w:p>
    <w:p>
      <w:pPr>
        <w:pStyle w:val="Normal"/>
        <w:shd w:val="clear" w:color="auto" w:fill="FFFFFF"/>
        <w:rPr>
          <w:i/>
          <w:i/>
          <w:color w:val="000000"/>
          <w:sz w:val="22"/>
          <w:szCs w:val="22"/>
        </w:rPr>
      </w:pPr>
      <w:r>
        <w:rPr>
          <w:i/>
          <w:color w:val="000000"/>
          <w:sz w:val="22"/>
          <w:szCs w:val="22"/>
        </w:rPr>
        <w:t>Руководитель                                                                                             ФИО</w:t>
      </w:r>
    </w:p>
    <w:p>
      <w:pPr>
        <w:pStyle w:val="Normal"/>
        <w:tabs>
          <w:tab w:val="clear" w:pos="708"/>
          <w:tab w:val="left" w:pos="4361" w:leader="none"/>
        </w:tabs>
        <w:spacing w:before="0" w:after="60"/>
        <w:rPr>
          <w:rFonts w:eastAsia="Calibri"/>
          <w:sz w:val="22"/>
          <w:szCs w:val="22"/>
        </w:rPr>
      </w:pPr>
      <w:r>
        <w:rPr/>
      </w:r>
    </w:p>
    <w:sectPr>
      <w:type w:val="nextPage"/>
      <w:pgSz w:w="11906" w:h="16838"/>
      <w:pgMar w:left="1418" w:right="851" w:gutter="0" w:header="0" w:top="568"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Tahoma">
    <w:charset w:val="cc"/>
    <w:family w:val="roman"/>
    <w:pitch w:val="variable"/>
  </w:font>
  <w:font w:name="Courier New">
    <w:charset w:val="cc"/>
    <w:family w:val="roman"/>
    <w:pitch w:val="variable"/>
  </w:font>
  <w:font w:name="Calibri Light">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Consultant">
    <w:charset w:val="cc"/>
    <w:family w:val="roman"/>
    <w:pitch w:val="variable"/>
  </w:font>
  <w:font w:name="SchoolBookC">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432"/>
        </w:tabs>
        <w:ind w:left="432" w:hanging="432"/>
      </w:pPr>
      <w:rPr/>
    </w:lvl>
    <w:lvl w:ilvl="1">
      <w:start w:val="1"/>
      <w:numFmt w:val="decimal"/>
      <w:lvlText w:val="%1.%2"/>
      <w:lvlJc w:val="left"/>
      <w:pPr>
        <w:tabs>
          <w:tab w:val="num" w:pos="1836"/>
        </w:tabs>
        <w:ind w:left="1836" w:hanging="576"/>
      </w:pPr>
      <w:rPr/>
    </w:lvl>
    <w:lvl w:ilvl="2">
      <w:start w:val="1"/>
      <w:numFmt w:val="decimal"/>
      <w:lvlText w:val="%1.%2.%3"/>
      <w:lvlJc w:val="left"/>
      <w:pPr>
        <w:tabs>
          <w:tab w:val="num" w:pos="1667"/>
        </w:tabs>
        <w:ind w:left="1440" w:hanging="0"/>
      </w:pPr>
      <w:rPr>
        <w:b/>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0"/>
        </w:tabs>
        <w:ind w:left="360" w:hanging="360"/>
      </w:pPr>
      <w:rPr>
        <w:i w:val="false"/>
        <w:b/>
      </w:rPr>
    </w:lvl>
    <w:lvl w:ilvl="1">
      <w:start w:val="1"/>
      <w:numFmt w:val="lowerLetter"/>
      <w:lvlText w:val="%2."/>
      <w:lvlJc w:val="left"/>
      <w:pPr>
        <w:tabs>
          <w:tab w:val="num" w:pos="720"/>
        </w:tabs>
        <w:ind w:left="720" w:hanging="360"/>
      </w:pPr>
      <w:rPr>
        <w:i w:val="false"/>
        <w:b/>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annotation text" w:uiPriority="0" w:semiHidden="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iPriority="0"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lsdException w:name="Body Text Indent 3"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441f"/>
    <w:pPr>
      <w:widowControl/>
      <w:suppressAutoHyphens w:val="true"/>
      <w:bidi w:val="0"/>
      <w:spacing w:before="0" w:after="60"/>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9"/>
    <w:qFormat/>
    <w:pPr>
      <w:keepNext w:val="true"/>
      <w:spacing w:before="240" w:after="60"/>
      <w:jc w:val="center"/>
      <w:outlineLvl w:val="0"/>
    </w:pPr>
    <w:rPr>
      <w:b/>
      <w:kern w:val="2"/>
      <w:sz w:val="36"/>
      <w:szCs w:val="20"/>
    </w:rPr>
  </w:style>
  <w:style w:type="paragraph" w:styleId="2">
    <w:name w:val="Heading 2"/>
    <w:basedOn w:val="Normal"/>
    <w:next w:val="Normal"/>
    <w:link w:val="21"/>
    <w:uiPriority w:val="9"/>
    <w:qFormat/>
    <w:pPr>
      <w:keepNext w:val="true"/>
      <w:spacing w:before="240" w:after="60"/>
      <w:outlineLvl w:val="1"/>
    </w:pPr>
    <w:rPr>
      <w:rFonts w:ascii="Cambria" w:hAnsi="Cambria"/>
      <w:b/>
      <w:bCs/>
      <w:color w:val="4F81BD"/>
      <w:sz w:val="26"/>
      <w:szCs w:val="26"/>
    </w:rPr>
  </w:style>
  <w:style w:type="paragraph" w:styleId="3">
    <w:name w:val="Heading 3"/>
    <w:basedOn w:val="Normal"/>
    <w:next w:val="Normal"/>
    <w:link w:val="31"/>
    <w:qFormat/>
    <w:pPr>
      <w:keepNext w:val="true"/>
      <w:spacing w:before="240" w:after="60"/>
      <w:jc w:val="left"/>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11" w:customStyle="1">
    <w:name w:val="Заголовок 1 Знак1"/>
    <w:qFormat/>
    <w:rPr>
      <w:rFonts w:ascii="Times New Roman" w:hAnsi="Times New Roman" w:eastAsia="Times New Roman" w:cs="Times New Roman"/>
      <w:b/>
      <w:kern w:val="2"/>
      <w:sz w:val="36"/>
      <w:szCs w:val="20"/>
      <w:lang w:eastAsia="ru-RU"/>
    </w:rPr>
  </w:style>
  <w:style w:type="character" w:styleId="21" w:customStyle="1">
    <w:name w:val="Заголовок 2 Знак"/>
    <w:uiPriority w:val="9"/>
    <w:qFormat/>
    <w:rPr>
      <w:rFonts w:ascii="Cambria" w:hAnsi="Cambria" w:eastAsia="Times New Roman" w:cs="Times New Roman"/>
      <w:b/>
      <w:bCs/>
      <w:color w:val="4F81BD"/>
      <w:sz w:val="26"/>
      <w:szCs w:val="26"/>
    </w:rPr>
  </w:style>
  <w:style w:type="character" w:styleId="31" w:customStyle="1">
    <w:name w:val="Заголовок 3 Знак"/>
    <w:qFormat/>
    <w:rPr>
      <w:rFonts w:ascii="Arial" w:hAnsi="Arial" w:eastAsia="Times New Roman" w:cs="Arial"/>
      <w:b/>
      <w:bCs/>
      <w:sz w:val="26"/>
      <w:szCs w:val="26"/>
      <w:lang w:eastAsia="ru-RU"/>
    </w:rPr>
  </w:style>
  <w:style w:type="character" w:styleId="Style11">
    <w:name w:val="FollowedHyperlink"/>
    <w:rPr>
      <w:color w:val="800080"/>
      <w:u w:val="single"/>
    </w:rPr>
  </w:style>
  <w:style w:type="character" w:styleId="Style12">
    <w:name w:val="Символ сноски"/>
    <w:uiPriority w:val="99"/>
    <w:unhideWhenUsed/>
    <w:qFormat/>
    <w:rPr>
      <w:vertAlign w:val="superscript"/>
    </w:rPr>
  </w:style>
  <w:style w:type="character" w:styleId="Style13">
    <w:name w:val="Footnote Reference"/>
    <w:rPr>
      <w:vertAlign w:val="superscript"/>
    </w:rPr>
  </w:style>
  <w:style w:type="character" w:styleId="Style14">
    <w:name w:val="Emphasis"/>
    <w:uiPriority w:val="20"/>
    <w:qFormat/>
    <w:rPr>
      <w:i w:val="false"/>
      <w:iCs w:val="false"/>
    </w:rPr>
  </w:style>
  <w:style w:type="character" w:styleId="-">
    <w:name w:val="Hyperlink"/>
    <w:uiPriority w:val="99"/>
    <w:qFormat/>
    <w:rPr>
      <w:color w:val="0000FF"/>
      <w:u w:val="single"/>
    </w:rPr>
  </w:style>
  <w:style w:type="character" w:styleId="Pagenumber">
    <w:name w:val="page number"/>
    <w:qFormat/>
    <w:rPr>
      <w:rFonts w:ascii="Times New Roman" w:hAnsi="Times New Roman"/>
    </w:rPr>
  </w:style>
  <w:style w:type="character" w:styleId="Style15" w:customStyle="1">
    <w:name w:val="Текст выноски Знак"/>
    <w:link w:val="BalloonText"/>
    <w:uiPriority w:val="99"/>
    <w:semiHidden/>
    <w:qFormat/>
    <w:rPr>
      <w:rFonts w:ascii="Tahoma" w:hAnsi="Tahoma" w:eastAsia="Times New Roman" w:cs="Tahoma"/>
      <w:sz w:val="16"/>
      <w:szCs w:val="16"/>
      <w:lang w:eastAsia="ru-RU"/>
    </w:rPr>
  </w:style>
  <w:style w:type="character" w:styleId="Style16" w:customStyle="1">
    <w:name w:val="Текст Знак"/>
    <w:link w:val="PlainText"/>
    <w:qFormat/>
    <w:rPr>
      <w:rFonts w:ascii="Courier New" w:hAnsi="Courier New" w:eastAsia="Times New Roman" w:cs="Times New Roman"/>
      <w:sz w:val="20"/>
      <w:szCs w:val="20"/>
      <w:lang w:eastAsia="ru-RU"/>
    </w:rPr>
  </w:style>
  <w:style w:type="character" w:styleId="32" w:customStyle="1">
    <w:name w:val="Основной текст с отступом 3 Знак"/>
    <w:link w:val="BodyTextIndent3"/>
    <w:uiPriority w:val="99"/>
    <w:semiHidden/>
    <w:qFormat/>
    <w:rPr>
      <w:rFonts w:ascii="Times New Roman" w:hAnsi="Times New Roman" w:eastAsia="Times New Roman" w:cs="Times New Roman"/>
      <w:sz w:val="16"/>
      <w:szCs w:val="16"/>
      <w:lang w:eastAsia="ru-RU"/>
    </w:rPr>
  </w:style>
  <w:style w:type="character" w:styleId="Style17" w:customStyle="1">
    <w:name w:val="Текст примечания Знак"/>
    <w:link w:val="Annotationtext"/>
    <w:semiHidden/>
    <w:qFormat/>
    <w:rPr>
      <w:rFonts w:ascii="Times New Roman" w:hAnsi="Times New Roman" w:eastAsia="Times New Roman" w:cs="Times New Roman"/>
      <w:sz w:val="20"/>
      <w:szCs w:val="20"/>
      <w:lang w:eastAsia="ru-RU"/>
    </w:rPr>
  </w:style>
  <w:style w:type="character" w:styleId="Style18" w:customStyle="1">
    <w:name w:val="Тема примечания Знак"/>
    <w:link w:val="Annotationsubject"/>
    <w:semiHidden/>
    <w:qFormat/>
    <w:rPr>
      <w:rFonts w:ascii="Times New Roman" w:hAnsi="Times New Roman" w:eastAsia="Times New Roman" w:cs="Times New Roman"/>
      <w:b/>
      <w:bCs/>
      <w:sz w:val="20"/>
      <w:szCs w:val="20"/>
      <w:lang w:eastAsia="ru-RU"/>
    </w:rPr>
  </w:style>
  <w:style w:type="character" w:styleId="Style19" w:customStyle="1">
    <w:name w:val="Текст сноски Знак"/>
    <w:uiPriority w:val="99"/>
    <w:qFormat/>
    <w:rPr>
      <w:rFonts w:ascii="Times New Roman" w:hAnsi="Times New Roman" w:eastAsia="Times New Roman" w:cs="Times New Roman"/>
      <w:sz w:val="20"/>
      <w:szCs w:val="20"/>
      <w:lang w:eastAsia="ru-RU"/>
    </w:rPr>
  </w:style>
  <w:style w:type="character" w:styleId="Style20" w:customStyle="1">
    <w:name w:val="Верхний колонтитул Знак"/>
    <w:uiPriority w:val="99"/>
    <w:qFormat/>
    <w:rPr>
      <w:rFonts w:ascii="Times New Roman" w:hAnsi="Times New Roman" w:eastAsia="Times New Roman" w:cs="Times New Roman"/>
      <w:sz w:val="24"/>
      <w:szCs w:val="24"/>
      <w:lang w:eastAsia="ru-RU"/>
    </w:rPr>
  </w:style>
  <w:style w:type="character" w:styleId="Style21" w:customStyle="1">
    <w:name w:val="Основной текст Знак"/>
    <w:uiPriority w:val="99"/>
    <w:qFormat/>
    <w:rPr>
      <w:rFonts w:ascii="Times New Roman" w:hAnsi="Times New Roman" w:eastAsia="Times New Roman" w:cs="Times New Roman"/>
      <w:sz w:val="24"/>
      <w:szCs w:val="24"/>
      <w:lang w:eastAsia="ru-RU"/>
    </w:rPr>
  </w:style>
  <w:style w:type="character" w:styleId="Style22" w:customStyle="1">
    <w:name w:val="Основной текст с отступом Знак"/>
    <w:qFormat/>
    <w:rPr>
      <w:rFonts w:ascii="Times New Roman" w:hAnsi="Times New Roman" w:eastAsia="Times New Roman" w:cs="Times New Roman"/>
      <w:sz w:val="24"/>
      <w:szCs w:val="20"/>
      <w:lang w:eastAsia="ru-RU"/>
    </w:rPr>
  </w:style>
  <w:style w:type="character" w:styleId="Style23" w:customStyle="1">
    <w:name w:val="Название Знак"/>
    <w:qFormat/>
    <w:rPr>
      <w:rFonts w:ascii="Times New Roman" w:hAnsi="Times New Roman" w:eastAsia="Times New Roman" w:cs="Times New Roman"/>
      <w:b/>
      <w:sz w:val="52"/>
      <w:szCs w:val="24"/>
      <w:lang w:eastAsia="ru-RU"/>
    </w:rPr>
  </w:style>
  <w:style w:type="character" w:styleId="Style24" w:customStyle="1">
    <w:name w:val="Нижний колонтитул Знак"/>
    <w:uiPriority w:val="99"/>
    <w:qFormat/>
    <w:rPr>
      <w:rFonts w:ascii="Times New Roman" w:hAnsi="Times New Roman" w:eastAsia="Times New Roman" w:cs="Times New Roman"/>
      <w:sz w:val="24"/>
      <w:szCs w:val="24"/>
      <w:lang w:eastAsia="ru-RU"/>
    </w:rPr>
  </w:style>
  <w:style w:type="character" w:styleId="Style25" w:customStyle="1">
    <w:name w:val="Обычный (Интернет) Знак"/>
    <w:link w:val="NormalWeb"/>
    <w:qFormat/>
    <w:rPr>
      <w:rFonts w:eastAsia="Times New Roman"/>
      <w:sz w:val="24"/>
      <w:szCs w:val="24"/>
    </w:rPr>
  </w:style>
  <w:style w:type="character" w:styleId="33" w:customStyle="1">
    <w:name w:val="Основной текст 3 Знак"/>
    <w:link w:val="BodyText3"/>
    <w:qFormat/>
    <w:rPr>
      <w:rFonts w:ascii="Times New Roman" w:hAnsi="Times New Roman" w:eastAsia="Times New Roman" w:cs="Times New Roman"/>
      <w:sz w:val="16"/>
      <w:szCs w:val="16"/>
      <w:lang w:eastAsia="ru-RU"/>
    </w:rPr>
  </w:style>
  <w:style w:type="character" w:styleId="22" w:customStyle="1">
    <w:name w:val="Основной текст с отступом 2 Знак"/>
    <w:link w:val="BodyTextIndent2"/>
    <w:qFormat/>
    <w:rPr>
      <w:rFonts w:ascii="Times New Roman" w:hAnsi="Times New Roman" w:eastAsia="Times New Roman" w:cs="Times New Roman"/>
      <w:sz w:val="24"/>
      <w:szCs w:val="20"/>
      <w:lang w:eastAsia="ru-RU"/>
    </w:rPr>
  </w:style>
  <w:style w:type="character" w:styleId="HTML" w:customStyle="1">
    <w:name w:val="Стандартный HTML Знак"/>
    <w:link w:val="HTMLPreformatted"/>
    <w:uiPriority w:val="99"/>
    <w:qFormat/>
    <w:rPr>
      <w:rFonts w:ascii="Courier New" w:hAnsi="Courier New" w:eastAsia="Times New Roman"/>
      <w:lang w:eastAsia="ar-SA"/>
    </w:rPr>
  </w:style>
  <w:style w:type="character" w:styleId="211" w:customStyle="1">
    <w:name w:val="Заголовок 2 Знак1"/>
    <w:uiPriority w:val="9"/>
    <w:semiHidden/>
    <w:qFormat/>
    <w:rPr>
      <w:rFonts w:ascii="Calibri Light" w:hAnsi="Calibri Light" w:eastAsia="Times New Roman" w:cs="Times New Roman"/>
      <w:b/>
      <w:bCs/>
      <w:i/>
      <w:iCs/>
      <w:sz w:val="28"/>
      <w:szCs w:val="28"/>
    </w:rPr>
  </w:style>
  <w:style w:type="character" w:styleId="12" w:customStyle="1">
    <w:name w:val="Заголовок 1 Знак"/>
    <w:uiPriority w:val="99"/>
    <w:qFormat/>
    <w:rPr>
      <w:rFonts w:ascii="Cambria" w:hAnsi="Cambria" w:eastAsia="Times New Roman" w:cs="Times New Roman"/>
      <w:b/>
      <w:bCs/>
      <w:color w:val="365F91"/>
      <w:sz w:val="28"/>
      <w:szCs w:val="28"/>
      <w:lang w:eastAsia="ru-RU"/>
    </w:rPr>
  </w:style>
  <w:style w:type="character" w:styleId="ConsPlusNormal" w:customStyle="1">
    <w:name w:val="ConsPlusNormal Знак"/>
    <w:link w:val="ConsPlusNormal1"/>
    <w:uiPriority w:val="99"/>
    <w:qFormat/>
    <w:rPr>
      <w:rFonts w:ascii="Arial" w:hAnsi="Arial" w:eastAsia="Times New Roman" w:cs="Arial"/>
    </w:rPr>
  </w:style>
  <w:style w:type="character" w:styleId="Style26" w:customStyle="1">
    <w:name w:val="Текст ТД Знак Знак Знак"/>
    <w:link w:val="Style49"/>
    <w:qFormat/>
    <w:rPr>
      <w:rFonts w:ascii="Times New Roman" w:hAnsi="Times New Roman" w:eastAsia="Calibri" w:cs="Times New Roman"/>
      <w:sz w:val="24"/>
      <w:szCs w:val="24"/>
    </w:rPr>
  </w:style>
  <w:style w:type="character" w:styleId="Style27" w:customStyle="1">
    <w:name w:val="Гипертекстовая ссылка"/>
    <w:uiPriority w:val="99"/>
    <w:qFormat/>
    <w:rPr>
      <w:color w:val="008000"/>
      <w:u w:val="single"/>
    </w:rPr>
  </w:style>
  <w:style w:type="character" w:styleId="Analogs" w:customStyle="1">
    <w:name w:val="analogs"/>
    <w:qFormat/>
    <w:rPr/>
  </w:style>
  <w:style w:type="character" w:styleId="Iceouttxt52" w:customStyle="1">
    <w:name w:val="iceouttxt52"/>
    <w:qFormat/>
    <w:rPr>
      <w:rFonts w:ascii="Arial" w:hAnsi="Arial" w:cs="Arial"/>
      <w:color w:val="666666"/>
      <w:sz w:val="17"/>
      <w:szCs w:val="17"/>
      <w:shd w:fill="FFFFFF" w:val="clear"/>
    </w:rPr>
  </w:style>
  <w:style w:type="character" w:styleId="Submenu-table" w:customStyle="1">
    <w:name w:val="submenu-table"/>
    <w:qFormat/>
    <w:rPr/>
  </w:style>
  <w:style w:type="character" w:styleId="Style28" w:customStyle="1">
    <w:name w:val="Абзац списка Знак"/>
    <w:link w:val="113"/>
    <w:uiPriority w:val="99"/>
    <w:qFormat/>
    <w:locked/>
    <w:rPr>
      <w:rFonts w:eastAsia="Times New Roman"/>
      <w:lang w:eastAsia="en-US"/>
    </w:rPr>
  </w:style>
  <w:style w:type="character" w:styleId="23" w:customStyle="1">
    <w:name w:val="Основной текст (2) + Полужирный"/>
    <w:qFormat/>
    <w:rPr>
      <w:rFonts w:ascii="Times New Roman" w:hAnsi="Times New Roman"/>
      <w:b/>
      <w:color w:val="000000"/>
      <w:spacing w:val="0"/>
      <w:w w:val="100"/>
      <w:sz w:val="22"/>
      <w:u w:val="none"/>
      <w:lang w:val="ru-RU" w:eastAsia="ru-RU"/>
    </w:rPr>
  </w:style>
  <w:style w:type="character" w:styleId="24" w:customStyle="1">
    <w:name w:val="Основной текст (2)"/>
    <w:qFormat/>
    <w:rPr>
      <w:rFonts w:ascii="Times New Roman" w:hAnsi="Times New Roman"/>
      <w:color w:val="000000"/>
      <w:spacing w:val="0"/>
      <w:w w:val="100"/>
      <w:sz w:val="22"/>
      <w:u w:val="none"/>
      <w:lang w:val="ru-RU" w:eastAsia="ru-RU"/>
    </w:rPr>
  </w:style>
  <w:style w:type="character" w:styleId="34" w:customStyle="1">
    <w:name w:val="Заголовок №3_"/>
    <w:link w:val="38"/>
    <w:qFormat/>
    <w:rPr>
      <w:b/>
      <w:bCs/>
      <w:shd w:fill="FFFFFF" w:val="clear"/>
    </w:rPr>
  </w:style>
  <w:style w:type="character" w:styleId="6" w:customStyle="1">
    <w:name w:val="Основной текст (6)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35" w:customStyle="1">
    <w:name w:val="Заголовок №3 + Не полужирный"/>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13" w:customStyle="1">
    <w:name w:val="Неразрешенное упоминание1"/>
    <w:uiPriority w:val="99"/>
    <w:unhideWhenUsed/>
    <w:qFormat/>
    <w:rPr>
      <w:color w:val="605E5C"/>
      <w:shd w:fill="E1DFDD" w:val="clear"/>
    </w:rPr>
  </w:style>
  <w:style w:type="character" w:styleId="Style29" w:customStyle="1">
    <w:name w:val="Основной текст_"/>
    <w:link w:val="5"/>
    <w:qFormat/>
    <w:locked/>
    <w:rPr>
      <w:rFonts w:ascii="Times New Roman" w:hAnsi="Times New Roman" w:eastAsia="Times New Roman"/>
      <w:spacing w:val="1"/>
      <w:shd w:fill="FFFFFF" w:val="clear"/>
    </w:rPr>
  </w:style>
  <w:style w:type="character" w:styleId="Style30" w:customStyle="1">
    <w:name w:val="Заголовок Знак"/>
    <w:qFormat/>
    <w:rPr>
      <w:rFonts w:ascii="Times New Roman" w:hAnsi="Times New Roman" w:eastAsia="Times New Roman" w:cs="Times New Roman"/>
      <w:b/>
      <w:sz w:val="24"/>
      <w:szCs w:val="20"/>
      <w:lang w:eastAsia="ru-RU"/>
    </w:rPr>
  </w:style>
  <w:style w:type="character" w:styleId="14" w:customStyle="1">
    <w:name w:val="Заголовок №1_"/>
    <w:link w:val="114"/>
    <w:qFormat/>
    <w:rPr>
      <w:rFonts w:ascii="Times New Roman" w:hAnsi="Times New Roman" w:eastAsia="Times New Roman"/>
      <w:sz w:val="23"/>
      <w:szCs w:val="23"/>
      <w:shd w:fill="FFFFFF" w:val="clear"/>
    </w:rPr>
  </w:style>
  <w:style w:type="character" w:styleId="25" w:customStyle="1">
    <w:name w:val="Основной текст2"/>
    <w:qFormat/>
    <w:rPr/>
  </w:style>
  <w:style w:type="character" w:styleId="36" w:customStyle="1">
    <w:name w:val="Основной текст3"/>
    <w:qFormat/>
    <w:rPr/>
  </w:style>
  <w:style w:type="character" w:styleId="UnresolvedMention">
    <w:name w:val="Unresolved Mention"/>
    <w:basedOn w:val="DefaultParagraphFont"/>
    <w:uiPriority w:val="99"/>
    <w:semiHidden/>
    <w:unhideWhenUsed/>
    <w:qFormat/>
    <w:rsid w:val="00b97af3"/>
    <w:rPr>
      <w:color w:val="605E5C"/>
      <w:shd w:fill="E1DFDD" w:val="clear"/>
    </w:rPr>
  </w:style>
  <w:style w:type="paragraph" w:styleId="Style31">
    <w:name w:val="Заголовок"/>
    <w:basedOn w:val="Normal"/>
    <w:next w:val="Style32"/>
    <w:qFormat/>
    <w:pPr>
      <w:keepNext w:val="true"/>
      <w:spacing w:before="240" w:after="120"/>
    </w:pPr>
    <w:rPr>
      <w:rFonts w:ascii="Liberation Sans" w:hAnsi="Liberation Sans" w:eastAsia="Microsoft YaHei" w:cs="Mangal"/>
      <w:sz w:val="28"/>
      <w:szCs w:val="28"/>
    </w:rPr>
  </w:style>
  <w:style w:type="paragraph" w:styleId="Style32">
    <w:name w:val="Body Text"/>
    <w:basedOn w:val="Normal"/>
    <w:link w:val="Style21"/>
    <w:uiPriority w:val="99"/>
    <w:pPr>
      <w:spacing w:before="0" w:after="120"/>
    </w:pPr>
    <w:rPr/>
  </w:style>
  <w:style w:type="paragraph" w:styleId="Style33">
    <w:name w:val="List"/>
    <w:basedOn w:val="Style32"/>
    <w:pPr/>
    <w:rPr>
      <w:rFonts w:cs="Mangal"/>
    </w:rPr>
  </w:style>
  <w:style w:type="paragraph" w:styleId="Style34" w:customStyle="1">
    <w:name w:val="Caption"/>
    <w:basedOn w:val="Normal"/>
    <w:link w:val="Style23"/>
    <w:qFormat/>
    <w:pPr>
      <w:spacing w:before="0" w:after="0"/>
      <w:jc w:val="center"/>
    </w:pPr>
    <w:rPr>
      <w:b/>
      <w:sz w:val="52"/>
    </w:rPr>
  </w:style>
  <w:style w:type="paragraph" w:styleId="Style35">
    <w:name w:val="Указатель"/>
    <w:basedOn w:val="Normal"/>
    <w:qFormat/>
    <w:pPr>
      <w:suppressLineNumbers/>
    </w:pPr>
    <w:rPr>
      <w:rFonts w:cs="Mangal"/>
    </w:rPr>
  </w:style>
  <w:style w:type="paragraph" w:styleId="BalloonText">
    <w:name w:val="Balloon Text"/>
    <w:basedOn w:val="Normal"/>
    <w:link w:val="Style15"/>
    <w:uiPriority w:val="99"/>
    <w:semiHidden/>
    <w:qFormat/>
    <w:pPr/>
    <w:rPr>
      <w:rFonts w:ascii="Tahoma" w:hAnsi="Tahoma"/>
      <w:sz w:val="16"/>
      <w:szCs w:val="16"/>
    </w:rPr>
  </w:style>
  <w:style w:type="paragraph" w:styleId="PlainText">
    <w:name w:val="Plain Text"/>
    <w:basedOn w:val="Normal"/>
    <w:link w:val="Style16"/>
    <w:qFormat/>
    <w:pPr>
      <w:spacing w:before="0" w:after="0"/>
      <w:jc w:val="left"/>
    </w:pPr>
    <w:rPr>
      <w:rFonts w:ascii="Courier New" w:hAnsi="Courier New"/>
      <w:sz w:val="20"/>
      <w:szCs w:val="20"/>
    </w:rPr>
  </w:style>
  <w:style w:type="paragraph" w:styleId="BodyTextIndent3">
    <w:name w:val="Body Text Indent 3"/>
    <w:basedOn w:val="Normal"/>
    <w:link w:val="32"/>
    <w:uiPriority w:val="99"/>
    <w:unhideWhenUsed/>
    <w:qFormat/>
    <w:pPr>
      <w:spacing w:before="0" w:after="120"/>
      <w:ind w:left="283" w:hanging="0"/>
    </w:pPr>
    <w:rPr>
      <w:sz w:val="16"/>
      <w:szCs w:val="16"/>
    </w:rPr>
  </w:style>
  <w:style w:type="paragraph" w:styleId="Annotationtext">
    <w:name w:val="annotation text"/>
    <w:basedOn w:val="Normal"/>
    <w:link w:val="Style17"/>
    <w:semiHidden/>
    <w:qFormat/>
    <w:pPr/>
    <w:rPr>
      <w:sz w:val="20"/>
      <w:szCs w:val="20"/>
    </w:rPr>
  </w:style>
  <w:style w:type="paragraph" w:styleId="Annotationsubject">
    <w:name w:val="annotation subject"/>
    <w:basedOn w:val="Annotationtext"/>
    <w:next w:val="Annotationtext"/>
    <w:link w:val="Style18"/>
    <w:semiHidden/>
    <w:qFormat/>
    <w:pPr/>
    <w:rPr>
      <w:b/>
      <w:bCs/>
    </w:rPr>
  </w:style>
  <w:style w:type="paragraph" w:styleId="Style36">
    <w:name w:val="Footnote Text"/>
    <w:basedOn w:val="Normal"/>
    <w:link w:val="Style19"/>
    <w:uiPriority w:val="99"/>
    <w:pPr/>
    <w:rPr>
      <w:sz w:val="20"/>
      <w:szCs w:val="20"/>
    </w:rPr>
  </w:style>
  <w:style w:type="paragraph" w:styleId="Style37">
    <w:name w:val="Колонтитул"/>
    <w:basedOn w:val="Normal"/>
    <w:qFormat/>
    <w:pPr/>
    <w:rPr/>
  </w:style>
  <w:style w:type="paragraph" w:styleId="Style38">
    <w:name w:val="Header"/>
    <w:basedOn w:val="Normal"/>
    <w:link w:val="Style20"/>
    <w:uiPriority w:val="99"/>
    <w:pPr>
      <w:tabs>
        <w:tab w:val="clear" w:pos="708"/>
        <w:tab w:val="center" w:pos="4677" w:leader="none"/>
        <w:tab w:val="right" w:pos="9355" w:leader="none"/>
      </w:tabs>
    </w:pPr>
    <w:rPr/>
  </w:style>
  <w:style w:type="paragraph" w:styleId="Style39">
    <w:name w:val="Body Text Indent"/>
    <w:basedOn w:val="Normal"/>
    <w:link w:val="Style22"/>
    <w:pPr>
      <w:spacing w:before="60" w:after="0"/>
      <w:ind w:firstLine="851"/>
    </w:pPr>
    <w:rPr>
      <w:szCs w:val="20"/>
    </w:rPr>
  </w:style>
  <w:style w:type="paragraph" w:styleId="ListBullet2">
    <w:name w:val="List Bullet 2"/>
    <w:basedOn w:val="Normal"/>
    <w:uiPriority w:val="99"/>
    <w:unhideWhenUsed/>
    <w:qFormat/>
    <w:pPr>
      <w:numPr>
        <w:ilvl w:val="0"/>
        <w:numId w:val="1"/>
      </w:numPr>
      <w:tabs>
        <w:tab w:val="clear" w:pos="708"/>
        <w:tab w:val="left" w:pos="643" w:leader="none"/>
      </w:tabs>
    </w:pPr>
    <w:rPr/>
  </w:style>
  <w:style w:type="paragraph" w:styleId="Style40">
    <w:name w:val="Footer"/>
    <w:basedOn w:val="Normal"/>
    <w:link w:val="Style24"/>
    <w:uiPriority w:val="99"/>
    <w:pPr>
      <w:tabs>
        <w:tab w:val="clear" w:pos="708"/>
        <w:tab w:val="center" w:pos="4677" w:leader="none"/>
        <w:tab w:val="right" w:pos="9355" w:leader="none"/>
      </w:tabs>
    </w:pPr>
    <w:rPr/>
  </w:style>
  <w:style w:type="paragraph" w:styleId="ListNumber">
    <w:name w:val="List Number"/>
    <w:basedOn w:val="Normal"/>
    <w:qFormat/>
    <w:pPr>
      <w:tabs>
        <w:tab w:val="clear" w:pos="708"/>
        <w:tab w:val="left" w:pos="720" w:leader="none"/>
      </w:tabs>
      <w:ind w:left="720" w:hanging="360"/>
    </w:pPr>
    <w:rPr/>
  </w:style>
  <w:style w:type="paragraph" w:styleId="ListNumber2">
    <w:name w:val="List Number 2"/>
    <w:basedOn w:val="Normal"/>
    <w:qFormat/>
    <w:pPr>
      <w:tabs>
        <w:tab w:val="clear" w:pos="708"/>
        <w:tab w:val="left" w:pos="432" w:leader="none"/>
      </w:tabs>
      <w:ind w:left="432" w:hanging="432"/>
    </w:pPr>
    <w:rPr/>
  </w:style>
  <w:style w:type="paragraph" w:styleId="NormalWeb">
    <w:name w:val="Normal (Web)"/>
    <w:basedOn w:val="Normal"/>
    <w:link w:val="Style25"/>
    <w:uiPriority w:val="99"/>
    <w:qFormat/>
    <w:pPr>
      <w:spacing w:beforeAutospacing="1" w:afterAutospacing="1"/>
      <w:jc w:val="left"/>
    </w:pPr>
    <w:rPr>
      <w:rFonts w:ascii="Calibri" w:hAnsi="Calibri"/>
    </w:rPr>
  </w:style>
  <w:style w:type="paragraph" w:styleId="BodyText3">
    <w:name w:val="Body Text 3"/>
    <w:basedOn w:val="Normal"/>
    <w:link w:val="33"/>
    <w:qFormat/>
    <w:pPr>
      <w:spacing w:before="0" w:after="120"/>
    </w:pPr>
    <w:rPr>
      <w:sz w:val="16"/>
      <w:szCs w:val="16"/>
    </w:rPr>
  </w:style>
  <w:style w:type="paragraph" w:styleId="BodyTextIndent2">
    <w:name w:val="Body Text Indent 2"/>
    <w:basedOn w:val="Normal"/>
    <w:link w:val="22"/>
    <w:qFormat/>
    <w:pPr>
      <w:spacing w:lineRule="auto" w:line="480" w:before="0" w:after="120"/>
      <w:ind w:left="283" w:hanging="0"/>
    </w:pPr>
    <w:rPr>
      <w:szCs w:val="20"/>
    </w:rPr>
  </w:style>
  <w:style w:type="paragraph" w:styleId="ListBullet3">
    <w:name w:val="List Bullet 3"/>
    <w:basedOn w:val="Normal"/>
    <w:qFormat/>
    <w:pPr>
      <w:ind w:left="566" w:hanging="283"/>
    </w:pPr>
    <w:rPr/>
  </w:style>
  <w:style w:type="paragraph" w:styleId="HTMLPreformatted">
    <w:name w:val="HTML Preformatted"/>
    <w:basedOn w:val="Normal"/>
    <w:link w:val="HTML"/>
    <w:uiPriority w:val="99"/>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center"/>
    </w:pPr>
    <w:rPr>
      <w:rFonts w:ascii="Courier New" w:hAnsi="Courier New"/>
      <w:sz w:val="20"/>
      <w:szCs w:val="20"/>
      <w:lang w:eastAsia="ar-SA"/>
    </w:rPr>
  </w:style>
  <w:style w:type="paragraph" w:styleId="26" w:customStyle="1">
    <w:name w:val="Знак Знак Знак Знак Знак Знак Знак Знак Знак Знак Знак Знак2 Знак Знак Знак"/>
    <w:basedOn w:val="Normal"/>
    <w:qFormat/>
    <w:pPr>
      <w:spacing w:lineRule="exact" w:line="240" w:before="0" w:after="160"/>
      <w:jc w:val="left"/>
    </w:pPr>
    <w:rPr>
      <w:rFonts w:ascii="Verdana" w:hAnsi="Verdana" w:cs="Verdana"/>
      <w:sz w:val="20"/>
      <w:szCs w:val="20"/>
      <w:lang w:val="en-US" w:eastAsia="en-US"/>
    </w:rPr>
  </w:style>
  <w:style w:type="paragraph" w:styleId="15" w:customStyle="1">
    <w:name w:val="Стиль1"/>
    <w:basedOn w:val="Normal"/>
    <w:qFormat/>
    <w:pPr>
      <w:keepNext w:val="true"/>
      <w:keepLines/>
      <w:widowControl w:val="false"/>
      <w:numPr>
        <w:ilvl w:val="2"/>
        <w:numId w:val="2"/>
      </w:numPr>
      <w:suppressLineNumbers/>
      <w:tabs>
        <w:tab w:val="clear" w:pos="708"/>
        <w:tab w:val="left" w:pos="432" w:leader="none"/>
      </w:tabs>
      <w:suppressAutoHyphens w:val="true"/>
      <w:ind w:left="432" w:hanging="432"/>
      <w:jc w:val="left"/>
    </w:pPr>
    <w:rPr>
      <w:b/>
      <w:sz w:val="28"/>
    </w:rPr>
  </w:style>
  <w:style w:type="paragraph" w:styleId="27" w:customStyle="1">
    <w:name w:val="Стиль2"/>
    <w:basedOn w:val="ListNumber2"/>
    <w:qFormat/>
    <w:pPr>
      <w:keepNext w:val="true"/>
      <w:keepLines/>
      <w:widowControl w:val="false"/>
      <w:suppressLineNumbers/>
      <w:tabs>
        <w:tab w:val="clear" w:pos="432"/>
        <w:tab w:val="left" w:pos="1836" w:leader="none"/>
      </w:tabs>
      <w:suppressAutoHyphens w:val="true"/>
      <w:ind w:left="1836" w:hanging="576"/>
    </w:pPr>
    <w:rPr>
      <w:b/>
      <w:szCs w:val="20"/>
    </w:rPr>
  </w:style>
  <w:style w:type="paragraph" w:styleId="37" w:customStyle="1">
    <w:name w:val="Стиль3"/>
    <w:basedOn w:val="BodyTextIndent2"/>
    <w:qFormat/>
    <w:pPr>
      <w:widowControl w:val="false"/>
      <w:tabs>
        <w:tab w:val="clear" w:pos="708"/>
        <w:tab w:val="left" w:pos="1667" w:leader="none"/>
      </w:tabs>
      <w:spacing w:lineRule="auto" w:line="240" w:before="0" w:after="0"/>
      <w:ind w:left="1440" w:hanging="0"/>
      <w:textAlignment w:val="baseline"/>
    </w:pPr>
    <w:rPr/>
  </w:style>
  <w:style w:type="paragraph" w:styleId="2-11" w:customStyle="1">
    <w:name w:val="содержание2-11"/>
    <w:basedOn w:val="Normal"/>
    <w:qFormat/>
    <w:pPr/>
    <w:rPr/>
  </w:style>
  <w:style w:type="paragraph" w:styleId="ConsTitle" w:customStyle="1">
    <w:name w:val="ConsTitle"/>
    <w:qFormat/>
    <w:pPr>
      <w:widowControl/>
      <w:suppressAutoHyphens w:val="true"/>
      <w:bidi w:val="0"/>
      <w:spacing w:before="0" w:after="0"/>
      <w:jc w:val="left"/>
    </w:pPr>
    <w:rPr>
      <w:rFonts w:ascii="Arial" w:hAnsi="Arial" w:eastAsia="Times New Roman" w:cs="Times New Roman"/>
      <w:b/>
      <w:color w:val="auto"/>
      <w:kern w:val="0"/>
      <w:sz w:val="16"/>
      <w:szCs w:val="20"/>
      <w:lang w:val="ru-RU" w:eastAsia="ru-RU" w:bidi="ar-SA"/>
    </w:rPr>
  </w:style>
  <w:style w:type="paragraph" w:styleId="ConsNormal" w:customStyle="1">
    <w:name w:val="ConsNormal"/>
    <w:qFormat/>
    <w:pPr>
      <w:widowControl/>
      <w:suppressAutoHyphens w:val="true"/>
      <w:bidi w:val="0"/>
      <w:spacing w:before="0" w:after="0"/>
      <w:ind w:firstLine="720"/>
      <w:jc w:val="left"/>
    </w:pPr>
    <w:rPr>
      <w:rFonts w:ascii="Consultant" w:hAnsi="Consultant" w:eastAsia="Times New Roman" w:cs="Times New Roman"/>
      <w:color w:val="auto"/>
      <w:kern w:val="0"/>
      <w:sz w:val="20"/>
      <w:szCs w:val="20"/>
      <w:lang w:val="ru-RU" w:eastAsia="ru-RU" w:bidi="ar-SA"/>
    </w:rPr>
  </w:style>
  <w:style w:type="paragraph" w:styleId="ConsPlusNormal1" w:customStyle="1">
    <w:name w:val="ConsPlusNormal"/>
    <w:link w:val="ConsPlusNormal"/>
    <w:uiPriority w:val="99"/>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Style41" w:customStyle="1">
    <w:name w:val="Знак Знак Знак Знак Знак Знак Знак Знак Знак"/>
    <w:basedOn w:val="Normal"/>
    <w:qFormat/>
    <w:pPr>
      <w:widowControl w:val="false"/>
      <w:spacing w:lineRule="exact" w:line="240" w:before="0" w:after="160"/>
      <w:jc w:val="right"/>
    </w:pPr>
    <w:rPr>
      <w:rFonts w:ascii="Arial" w:hAnsi="Arial" w:cs="Arial"/>
      <w:sz w:val="20"/>
      <w:szCs w:val="20"/>
      <w:lang w:val="en-GB" w:eastAsia="en-US"/>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6" w:customStyle="1">
    <w:name w:val="Обычный1"/>
    <w:qFormat/>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17" w:customStyle="1">
    <w:name w:val="Знак Знак1"/>
    <w:basedOn w:val="Normal"/>
    <w:qFormat/>
    <w:pPr>
      <w:spacing w:beforeAutospacing="1" w:afterAutospacing="1"/>
      <w:jc w:val="left"/>
    </w:pPr>
    <w:rPr>
      <w:rFonts w:ascii="Tahoma" w:hAnsi="Tahoma"/>
      <w:sz w:val="20"/>
      <w:szCs w:val="20"/>
      <w:lang w:val="en-US" w:eastAsia="en-US"/>
    </w:rPr>
  </w:style>
  <w:style w:type="paragraph" w:styleId="Style42" w:customStyle="1">
    <w:name w:val="втяжка"/>
    <w:basedOn w:val="Normal"/>
    <w:next w:val="Normal"/>
    <w:qFormat/>
    <w:pPr>
      <w:tabs>
        <w:tab w:val="clear" w:pos="708"/>
        <w:tab w:val="left" w:pos="567" w:leader="none"/>
      </w:tabs>
      <w:spacing w:before="57" w:after="0"/>
      <w:ind w:left="567" w:hanging="567"/>
    </w:pPr>
    <w:rPr>
      <w:rFonts w:ascii="SchoolBookC" w:hAnsi="SchoolBookC"/>
      <w:szCs w:val="20"/>
    </w:rPr>
  </w:style>
  <w:style w:type="paragraph" w:styleId="Style43" w:customStyle="1">
    <w:name w:val="Знак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Xl24" w:customStyle="1">
    <w:name w:val="xl24"/>
    <w:basedOn w:val="Normal"/>
    <w:qFormat/>
    <w:pPr>
      <w:spacing w:before="100" w:after="100"/>
      <w:jc w:val="center"/>
      <w:textAlignment w:val="center"/>
    </w:pPr>
    <w:rPr>
      <w:szCs w:val="20"/>
    </w:rPr>
  </w:style>
  <w:style w:type="paragraph" w:styleId="212" w:customStyle="1">
    <w:name w:val="Основной текст 21"/>
    <w:basedOn w:val="Normal"/>
    <w:qFormat/>
    <w:pPr>
      <w:widowControl w:val="false"/>
      <w:spacing w:before="0" w:after="0"/>
    </w:pPr>
    <w:rPr>
      <w:szCs w:val="20"/>
    </w:rPr>
  </w:style>
  <w:style w:type="paragraph" w:styleId="18" w:customStyle="1">
    <w:name w:val="Знак Знак Знак1"/>
    <w:basedOn w:val="Normal"/>
    <w:qFormat/>
    <w:pPr>
      <w:widowControl w:val="false"/>
      <w:spacing w:lineRule="exact" w:line="240" w:before="0" w:after="160"/>
      <w:jc w:val="right"/>
    </w:pPr>
    <w:rPr>
      <w:sz w:val="20"/>
      <w:szCs w:val="20"/>
      <w:lang w:val="en-GB" w:eastAsia="en-US"/>
    </w:rPr>
  </w:style>
  <w:style w:type="paragraph" w:styleId="Style44" w:customStyle="1">
    <w:name w:val="Знак Знак"/>
    <w:basedOn w:val="Normal"/>
    <w:qFormat/>
    <w:pPr>
      <w:spacing w:beforeAutospacing="1" w:afterAutospacing="1"/>
      <w:jc w:val="left"/>
    </w:pPr>
    <w:rPr>
      <w:rFonts w:ascii="Tahoma" w:hAnsi="Tahoma"/>
      <w:sz w:val="20"/>
      <w:szCs w:val="20"/>
      <w:lang w:val="en-US" w:eastAsia="en-US"/>
    </w:rPr>
  </w:style>
  <w:style w:type="paragraph" w:styleId="Style45" w:customStyle="1">
    <w:name w:val="Знак Знак Знак Знак Знак Знак"/>
    <w:basedOn w:val="Normal"/>
    <w:qFormat/>
    <w:pPr>
      <w:widowControl w:val="false"/>
      <w:spacing w:lineRule="exact" w:line="240" w:before="0" w:after="160"/>
      <w:jc w:val="right"/>
    </w:pPr>
    <w:rPr>
      <w:sz w:val="20"/>
      <w:szCs w:val="20"/>
      <w:lang w:val="en-GB" w:eastAsia="en-US"/>
    </w:rPr>
  </w:style>
  <w:style w:type="paragraph" w:styleId="Style46" w:customStyle="1">
    <w:name w:val="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47" w:customStyle="1">
    <w:name w:val="Знак Знак Знак 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48" w:customStyle="1">
    <w:name w:val="Знак Знак Знак"/>
    <w:basedOn w:val="Normal"/>
    <w:qFormat/>
    <w:pPr>
      <w:spacing w:lineRule="exact" w:line="240" w:before="0" w:after="160"/>
      <w:jc w:val="left"/>
    </w:pPr>
    <w:rPr>
      <w:rFonts w:ascii="Verdana" w:hAnsi="Verdana" w:cs="Verdana"/>
      <w:sz w:val="20"/>
      <w:szCs w:val="20"/>
      <w:lang w:val="en-US" w:eastAsia="en-US"/>
    </w:rPr>
  </w:style>
  <w:style w:type="paragraph" w:styleId="19" w:customStyle="1">
    <w:name w:val="Знак Знак Знак Знак Знак Знак Знак Знак Знак Знак Знак Знак1 Знак Знак Знак"/>
    <w:basedOn w:val="Normal"/>
    <w:qFormat/>
    <w:pPr>
      <w:widowControl w:val="false"/>
      <w:numPr>
        <w:ilvl w:val="0"/>
        <w:numId w:val="3"/>
      </w:numPr>
      <w:tabs>
        <w:tab w:val="clear" w:pos="708"/>
      </w:tabs>
      <w:spacing w:lineRule="exact" w:line="240" w:before="0" w:after="160"/>
      <w:ind w:left="0" w:hanging="0"/>
      <w:jc w:val="right"/>
    </w:pPr>
    <w:rPr>
      <w:rFonts w:ascii="Arial" w:hAnsi="Arial" w:cs="Arial"/>
      <w:sz w:val="20"/>
      <w:szCs w:val="20"/>
      <w:lang w:val="en-GB" w:eastAsia="en-US"/>
    </w:rPr>
  </w:style>
  <w:style w:type="paragraph" w:styleId="Style49" w:customStyle="1">
    <w:name w:val="Текст ТД Знак Знак"/>
    <w:basedOn w:val="Normal"/>
    <w:link w:val="Style26"/>
    <w:qFormat/>
    <w:pPr>
      <w:tabs>
        <w:tab w:val="clear" w:pos="708"/>
        <w:tab w:val="left" w:pos="720" w:leader="none"/>
      </w:tabs>
      <w:spacing w:before="0" w:after="200"/>
      <w:ind w:left="720" w:hanging="360"/>
    </w:pPr>
    <w:rPr>
      <w:rFonts w:eastAsia="Calibri"/>
    </w:rPr>
  </w:style>
  <w:style w:type="paragraph" w:styleId="Style50" w:customStyle="1">
    <w:name w:val="Знак Знак Знак Знак Знак"/>
    <w:basedOn w:val="Normal"/>
    <w:qFormat/>
    <w:pPr>
      <w:spacing w:beforeAutospacing="1" w:afterAutospacing="1"/>
      <w:jc w:val="left"/>
    </w:pPr>
    <w:rPr>
      <w:rFonts w:ascii="Tahoma" w:hAnsi="Tahoma"/>
      <w:sz w:val="20"/>
      <w:szCs w:val="20"/>
      <w:lang w:val="en-US" w:eastAsia="en-US"/>
    </w:rPr>
  </w:style>
  <w:style w:type="paragraph" w:styleId="110" w:customStyle="1">
    <w:name w:val="Знак Знак Знак Знак Знак Знак Знак Знак Знак Знак Знак Знак Знак Знак Знак1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1" w:customStyle="1">
    <w:name w:val="Таблицы (моноширинный)"/>
    <w:basedOn w:val="Normal"/>
    <w:next w:val="Normal"/>
    <w:qFormat/>
    <w:pPr>
      <w:widowControl w:val="false"/>
      <w:spacing w:before="0" w:after="0"/>
    </w:pPr>
    <w:rPr>
      <w:rFonts w:ascii="Courier New" w:hAnsi="Courier New" w:cs="Courier New"/>
      <w:sz w:val="28"/>
      <w:szCs w:val="28"/>
    </w:rPr>
  </w:style>
  <w:style w:type="paragraph" w:styleId="111" w:customStyle="1">
    <w:name w:val="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Style52" w:customStyle="1">
    <w:name w:val="Знак Знак Знак Знак Знак Знак Знак Знак"/>
    <w:basedOn w:val="Normal"/>
    <w:qFormat/>
    <w:pPr>
      <w:spacing w:beforeAutospacing="1" w:afterAutospacing="1"/>
      <w:jc w:val="left"/>
    </w:pPr>
    <w:rPr>
      <w:rFonts w:ascii="Tahoma" w:hAnsi="Tahoma"/>
      <w:sz w:val="20"/>
      <w:szCs w:val="20"/>
      <w:lang w:val="en-US" w:eastAsia="en-US"/>
    </w:rPr>
  </w:style>
  <w:style w:type="paragraph" w:styleId="28" w:customStyle="1">
    <w:name w:val="Знак Знак Знак Знак Знак Знак Знак Знак Знак Знак Знак Знак2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112" w:customStyle="1">
    <w:name w:val="Знак Знак Знак Знак Знак Знак Знак Знак Знак Знак Знак Знак1 Знак Знак Знак Знак"/>
    <w:basedOn w:val="Normal"/>
    <w:qFormat/>
    <w:pPr>
      <w:widowControl w:val="false"/>
      <w:spacing w:lineRule="exact" w:line="240" w:before="0" w:after="160"/>
      <w:jc w:val="right"/>
    </w:pPr>
    <w:rPr>
      <w:rFonts w:ascii="Arial" w:hAnsi="Arial" w:cs="Arial"/>
      <w:sz w:val="20"/>
      <w:szCs w:val="20"/>
      <w:lang w:val="en-GB" w:eastAsia="en-US"/>
    </w:rPr>
  </w:style>
  <w:style w:type="paragraph" w:styleId="213" w:customStyle="1">
    <w:name w:val="Знак Знак Знак Знак Знак Знак Знак Знак Знак Знак Знак Знак2 Знак Знак Знак Знак Знак Знак1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214" w:customStyle="1">
    <w:name w:val="Знак Знак Знак Знак Знак Знак Знак Знак Знак Знак Знак Знак2 Знак Знак Знак Знак Знак Знак1"/>
    <w:basedOn w:val="Normal"/>
    <w:qFormat/>
    <w:pPr>
      <w:spacing w:lineRule="exact" w:line="240" w:before="0" w:after="160"/>
      <w:jc w:val="left"/>
    </w:pPr>
    <w:rPr>
      <w:rFonts w:ascii="Verdana" w:hAnsi="Verdana" w:cs="Verdana"/>
      <w:sz w:val="20"/>
      <w:szCs w:val="20"/>
      <w:lang w:val="en-US" w:eastAsia="en-US"/>
    </w:rPr>
  </w:style>
  <w:style w:type="paragraph" w:styleId="221" w:customStyle="1">
    <w:name w:val="Знак Знак Знак Знак Знак Знак Знак Знак Знак Знак Знак Знак2 Знак Знак Знак Знак Знак Знак2"/>
    <w:basedOn w:val="Normal"/>
    <w:qFormat/>
    <w:pPr>
      <w:spacing w:lineRule="exact" w:line="240" w:before="0" w:after="160"/>
      <w:jc w:val="left"/>
    </w:pPr>
    <w:rPr>
      <w:rFonts w:ascii="Verdana" w:hAnsi="Verdana" w:cs="Verdana"/>
      <w:sz w:val="20"/>
      <w:szCs w:val="20"/>
      <w:lang w:val="en-US" w:eastAsia="en-US"/>
    </w:rPr>
  </w:style>
  <w:style w:type="paragraph" w:styleId="215" w:customStyle="1">
    <w:name w:val="Знак Знак Знак Знак Знак Знак Знак Знак Знак Знак Знак Знак2 Знак Знак Знак1"/>
    <w:basedOn w:val="Normal"/>
    <w:uiPriority w:val="99"/>
    <w:qFormat/>
    <w:pPr>
      <w:spacing w:lineRule="exact" w:line="240" w:before="0" w:after="160"/>
      <w:jc w:val="left"/>
    </w:pPr>
    <w:rPr>
      <w:rFonts w:ascii="Verdana" w:hAnsi="Verdana" w:cs="Verdana"/>
      <w:sz w:val="20"/>
      <w:szCs w:val="20"/>
      <w:lang w:val="en-US" w:eastAsia="en-US"/>
    </w:rPr>
  </w:style>
  <w:style w:type="paragraph" w:styleId="ConsPlusCell" w:customStyle="1">
    <w:name w:val="ConsPlusCell"/>
    <w:qFormat/>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Style53" w:customStyle="1">
    <w:name w:val="Знак Знак Знак Знак Знак Знак Знак Знак Знак Знак Знак Знак Знак"/>
    <w:basedOn w:val="Normal"/>
    <w:qFormat/>
    <w:pPr>
      <w:spacing w:lineRule="exact" w:line="240" w:before="0" w:after="160"/>
      <w:jc w:val="left"/>
    </w:pPr>
    <w:rPr>
      <w:rFonts w:ascii="Verdana" w:hAnsi="Verdana" w:cs="Verdana"/>
      <w:sz w:val="20"/>
      <w:szCs w:val="20"/>
      <w:lang w:val="en-US" w:eastAsia="en-US"/>
    </w:rPr>
  </w:style>
  <w:style w:type="paragraph" w:styleId="ListParagraph">
    <w:name w:val="List Paragraph"/>
    <w:basedOn w:val="Normal"/>
    <w:uiPriority w:val="34"/>
    <w:qFormat/>
    <w:pPr>
      <w:spacing w:lineRule="auto" w:line="276" w:before="0" w:after="200"/>
      <w:ind w:left="720" w:hanging="0"/>
      <w:contextualSpacing/>
      <w:jc w:val="left"/>
    </w:pPr>
    <w:rPr>
      <w:rFonts w:ascii="Calibri" w:hAnsi="Calibri"/>
      <w:sz w:val="22"/>
      <w:szCs w:val="22"/>
    </w:rPr>
  </w:style>
  <w:style w:type="paragraph" w:styleId="Style54" w:customStyle="1">
    <w:name w:val="Содержимое таблицы"/>
    <w:basedOn w:val="Normal"/>
    <w:qFormat/>
    <w:pPr>
      <w:widowControl w:val="false"/>
      <w:suppressLineNumbers/>
      <w:suppressAutoHyphens w:val="true"/>
      <w:spacing w:before="0" w:after="0"/>
      <w:jc w:val="left"/>
    </w:pPr>
    <w:rPr>
      <w:rFonts w:eastAsia="SimSun" w:cs="Mangal"/>
      <w:kern w:val="2"/>
      <w:lang w:eastAsia="hi-IN" w:bidi="hi-IN"/>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2"/>
      <w:szCs w:val="22"/>
      <w:lang w:val="ru-RU" w:eastAsia="ru-RU" w:bidi="ar-SA"/>
    </w:rPr>
  </w:style>
  <w:style w:type="paragraph" w:styleId="113" w:customStyle="1">
    <w:name w:val="Абзац списка1"/>
    <w:basedOn w:val="Normal"/>
    <w:link w:val="Style28"/>
    <w:qFormat/>
    <w:pPr>
      <w:spacing w:lineRule="auto" w:line="276" w:before="0" w:after="200"/>
      <w:ind w:left="720" w:hanging="0"/>
      <w:jc w:val="left"/>
    </w:pPr>
    <w:rPr>
      <w:rFonts w:ascii="Calibri" w:hAnsi="Calibri"/>
      <w:sz w:val="20"/>
      <w:szCs w:val="20"/>
      <w:lang w:eastAsia="en-US"/>
    </w:rPr>
  </w:style>
  <w:style w:type="paragraph" w:styleId="38" w:customStyle="1">
    <w:name w:val="Заголовок №3"/>
    <w:basedOn w:val="Normal"/>
    <w:link w:val="34"/>
    <w:qFormat/>
    <w:pPr>
      <w:widowControl w:val="false"/>
      <w:shd w:val="clear" w:color="auto" w:fill="FFFFFF"/>
      <w:spacing w:lineRule="atLeast" w:line="0" w:before="240" w:after="120"/>
      <w:jc w:val="center"/>
      <w:outlineLvl w:val="2"/>
    </w:pPr>
    <w:rPr>
      <w:rFonts w:ascii="Calibri" w:hAnsi="Calibri" w:eastAsia="Calibri"/>
      <w:b/>
      <w:bCs/>
      <w:sz w:val="20"/>
      <w:szCs w:val="20"/>
      <w:shd w:fill="FFFFFF" w:val="clear"/>
    </w:rPr>
  </w:style>
  <w:style w:type="paragraph" w:styleId="Style55" w:customStyle="1">
    <w:name w:val="Пункт"/>
    <w:basedOn w:val="Normal"/>
    <w:qFormat/>
    <w:pPr>
      <w:tabs>
        <w:tab w:val="clear" w:pos="708"/>
        <w:tab w:val="left" w:pos="1980" w:leader="none"/>
      </w:tabs>
      <w:spacing w:before="0" w:after="0"/>
      <w:ind w:left="1404" w:hanging="504"/>
    </w:pPr>
    <w:rPr/>
  </w:style>
  <w:style w:type="paragraph" w:styleId="216" w:customStyle="1">
    <w:name w:val="Заголовок 21"/>
    <w:basedOn w:val="Normal"/>
    <w:next w:val="Normal"/>
    <w:uiPriority w:val="9"/>
    <w:unhideWhenUsed/>
    <w:qFormat/>
    <w:pPr>
      <w:keepNext w:val="true"/>
      <w:keepLines/>
      <w:spacing w:before="200" w:after="0"/>
      <w:jc w:val="center"/>
      <w:outlineLvl w:val="1"/>
    </w:pPr>
    <w:rPr>
      <w:rFonts w:ascii="Cambria" w:hAnsi="Cambria"/>
      <w:b/>
      <w:bCs/>
      <w:color w:val="4F81BD"/>
      <w:sz w:val="26"/>
      <w:szCs w:val="26"/>
      <w:lang w:eastAsia="en-US"/>
    </w:rPr>
  </w:style>
  <w:style w:type="paragraph" w:styleId="Style56" w:customStyle="1">
    <w:name w:val="Стиль"/>
    <w:qFormat/>
    <w:pPr>
      <w:widowControl w:val="false"/>
      <w:suppressAutoHyphens w:val="true"/>
      <w:bidi w:val="0"/>
      <w:spacing w:before="0" w:after="0"/>
      <w:jc w:val="center"/>
    </w:pPr>
    <w:rPr>
      <w:rFonts w:ascii="Times New Roman" w:hAnsi="Times New Roman" w:eastAsia="Times New Roman" w:cs="Times New Roman"/>
      <w:color w:val="auto"/>
      <w:kern w:val="0"/>
      <w:sz w:val="24"/>
      <w:szCs w:val="24"/>
      <w:lang w:val="ru-RU" w:eastAsia="ru-RU" w:bidi="ar-SA"/>
    </w:rPr>
  </w:style>
  <w:style w:type="paragraph" w:styleId="Arial10Left" w:customStyle="1">
    <w:name w:val="Arial10Left"/>
    <w:qFormat/>
    <w:pPr>
      <w:widowControl w:val="false"/>
      <w:suppressAutoHyphens w:val="true"/>
      <w:bidi w:val="0"/>
      <w:spacing w:before="0" w:after="0"/>
      <w:jc w:val="center"/>
    </w:pPr>
    <w:rPr>
      <w:rFonts w:ascii="Arial" w:hAnsi="Arial" w:eastAsia="Times New Roman" w:cs="Arial"/>
      <w:color w:val="auto"/>
      <w:kern w:val="0"/>
      <w:sz w:val="20"/>
      <w:szCs w:val="20"/>
      <w:lang w:val="ru-RU" w:eastAsia="ru-RU" w:bidi="ar-SA"/>
    </w:rPr>
  </w:style>
  <w:style w:type="paragraph" w:styleId="5" w:customStyle="1">
    <w:name w:val="Основной текст5"/>
    <w:basedOn w:val="Normal"/>
    <w:link w:val="Style29"/>
    <w:qFormat/>
    <w:pPr>
      <w:widowControl w:val="false"/>
      <w:shd w:val="clear" w:color="auto" w:fill="FFFFFF"/>
      <w:spacing w:lineRule="atLeast" w:line="0" w:before="120" w:after="420"/>
    </w:pPr>
    <w:rPr>
      <w:spacing w:val="1"/>
      <w:sz w:val="20"/>
      <w:szCs w:val="20"/>
    </w:rPr>
  </w:style>
  <w:style w:type="paragraph" w:styleId="Default" w:customStyle="1">
    <w:name w:val="Default"/>
    <w:qFormat/>
    <w:pPr>
      <w:widowControl/>
      <w:suppressAutoHyphens w:val="true"/>
      <w:bidi w:val="0"/>
      <w:spacing w:before="0" w:after="0"/>
      <w:ind w:firstLine="360"/>
      <w:jc w:val="center"/>
    </w:pPr>
    <w:rPr>
      <w:rFonts w:ascii="Times New Roman" w:hAnsi="Times New Roman" w:eastAsia="Times New Roman" w:cs="Times New Roman"/>
      <w:color w:val="000000"/>
      <w:kern w:val="0"/>
      <w:sz w:val="24"/>
      <w:szCs w:val="24"/>
      <w:lang w:val="ru-RU" w:eastAsia="ru-RU" w:bidi="ar-SA"/>
    </w:rPr>
  </w:style>
  <w:style w:type="paragraph" w:styleId="114" w:customStyle="1">
    <w:name w:val="Заголовок №1"/>
    <w:basedOn w:val="Normal"/>
    <w:link w:val="14"/>
    <w:qFormat/>
    <w:pPr>
      <w:shd w:val="clear" w:color="auto" w:fill="FFFFFF"/>
      <w:spacing w:lineRule="exact" w:line="274" w:before="600" w:after="0"/>
      <w:jc w:val="center"/>
      <w:outlineLvl w:val="0"/>
    </w:pPr>
    <w:rPr>
      <w:sz w:val="23"/>
      <w:szCs w:val="23"/>
    </w:rPr>
  </w:style>
  <w:style w:type="paragraph" w:styleId="4" w:customStyle="1">
    <w:name w:val="Основной текст4"/>
    <w:basedOn w:val="Normal"/>
    <w:qFormat/>
    <w:pPr>
      <w:shd w:val="clear" w:color="auto" w:fill="FFFFFF"/>
      <w:spacing w:lineRule="exact" w:line="274" w:before="0" w:after="600"/>
      <w:ind w:hanging="360"/>
      <w:jc w:val="left"/>
    </w:pPr>
    <w:rPr>
      <w:color w:val="000000"/>
      <w:sz w:val="23"/>
      <w:szCs w:val="23"/>
    </w:rPr>
  </w:style>
  <w:style w:type="paragraph" w:styleId="S1" w:customStyle="1">
    <w:name w:val="s_1"/>
    <w:basedOn w:val="Normal"/>
    <w:qFormat/>
    <w:pPr>
      <w:spacing w:before="0" w:after="0"/>
      <w:ind w:firstLine="720"/>
    </w:pPr>
    <w:rPr>
      <w:rFonts w:ascii="Arial" w:hAnsi="Arial" w:cs="Arial"/>
      <w:sz w:val="26"/>
      <w:szCs w:val="26"/>
    </w:rPr>
  </w:style>
  <w:style w:type="paragraph" w:styleId="Style57" w:customStyle="1">
    <w:name w:val="САГ_Абзац"/>
    <w:basedOn w:val="Normal"/>
    <w:qFormat/>
    <w:rsid w:val="000517d1"/>
    <w:pPr>
      <w:tabs>
        <w:tab w:val="clear" w:pos="708"/>
        <w:tab w:val="left" w:pos="0" w:leader="none"/>
      </w:tabs>
      <w:spacing w:before="0" w:after="0"/>
      <w:ind w:firstLine="567"/>
    </w:pPr>
    <w:rPr/>
  </w:style>
  <w:style w:type="paragraph" w:styleId="Standard" w:customStyle="1">
    <w:name w:val="Standard"/>
    <w:qFormat/>
    <w:rsid w:val="000517d1"/>
    <w:pPr>
      <w:widowControl/>
      <w:suppressAutoHyphens w:val="true"/>
      <w:bidi w:val="0"/>
      <w:spacing w:before="0" w:after="0"/>
      <w:jc w:val="left"/>
      <w:textAlignment w:val="baseline"/>
    </w:pPr>
    <w:rPr>
      <w:rFonts w:ascii="Times New Roman" w:hAnsi="Times New Roman" w:eastAsia="Times New Roman" w:cs="Times New Roman"/>
      <w:color w:val="auto"/>
      <w:kern w:val="2"/>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
    <w:name w:val="Table Grid"/>
    <w:basedOn w:val="a1"/>
    <w:uiPriority w:val="59"/>
    <w:pPr>
      <w:spacing w:after="6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table" w:customStyle="1" w:styleId="15">
    <w:name w:val="Обычная таблица1"/>
    <w:semiHidden/>
    <w:tblPr>
      <w:tblCellMar>
        <w:top w:w="0" w:type="dxa"/>
        <w:left w:w="108" w:type="dxa"/>
        <w:bottom w:w="0" w:type="dxa"/>
        <w:right w:w="108" w:type="dxa"/>
      </w:tblCellMar>
    </w:tblPr>
  </w:style>
  <w:style w:type="table" w:customStyle="1" w:styleId="1c">
    <w:name w:val="Сетка таблицы1"/>
    <w:basedOn w:val="a1"/>
    <w:uiPriority w:val="39"/>
    <w:pPr>
      <w:jc w:val="center"/>
    </w:pPr>
    <w:rPr>
      <w:lang w:eastAsia="en-US"/>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tp-region.ru/" TargetMode="External"/><Relationship Id="rId3" Type="http://schemas.openxmlformats.org/officeDocument/2006/relationships/hyperlink" Target="https://etp-region.ru/" TargetMode="External"/><Relationship Id="rId4" Type="http://schemas.openxmlformats.org/officeDocument/2006/relationships/hyperlink" Target="https://etp-region.ru/" TargetMode="External"/><Relationship Id="rId5" Type="http://schemas.openxmlformats.org/officeDocument/2006/relationships/hyperlink" Target="http://www.zakupki.gov.ru/" TargetMode="External"/><Relationship Id="rId6" Type="http://schemas.openxmlformats.org/officeDocument/2006/relationships/hyperlink" Target="https://etp-region.ru/" TargetMode="External"/><Relationship Id="rId7" Type="http://schemas.openxmlformats.org/officeDocument/2006/relationships/image" Target="media/image1.wmf"/><Relationship Id="rId8" Type="http://schemas.openxmlformats.org/officeDocument/2006/relationships/hyperlink" Target="http://www.zakupki.gov.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0C2C-606B-4871-8290-86B175693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Application>LibreOffice/7.5.1.2$Windows_X86_64 LibreOffice_project/fcbaee479e84c6cd81291587d2ee68cba099e129</Application>
  <AppVersion>15.0000</AppVersion>
  <Pages>29</Pages>
  <Words>7835</Words>
  <Characters>54751</Characters>
  <CharactersWithSpaces>62501</CharactersWithSpaces>
  <Paragraphs>546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2024-05-27T12:38:00Z</dcterms:created>
  <dc:creator>tgoryutskaya</dc:creator>
  <dc:description/>
  <dc:language>ru-RU</dc:language>
  <cp:lastModifiedBy/>
  <cp:lastPrinted>2021-03-22T09:23:00Z</cp:lastPrinted>
  <dcterms:modified xsi:type="dcterms:W3CDTF">2025-04-18T10:09:14Z</dcterms:modified>
  <cp:revision>81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DE18A6110B2E4B3D95824777CBDDFC03</vt:lpwstr>
  </property>
  <property fmtid="{D5CDD505-2E9C-101B-9397-08002B2CF9AE}" pid="3" name="KSOProductBuildVer">
    <vt:lpwstr>1049-11.2.0.11417</vt:lpwstr>
  </property>
</Properties>
</file>