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89469" w14:textId="77777777" w:rsidR="00167D8F" w:rsidRDefault="00714B3B">
      <w:pPr>
        <w:spacing w:after="0"/>
        <w:ind w:left="-426"/>
        <w:jc w:val="center"/>
        <w:rPr>
          <w:rFonts w:ascii="Times New Roman" w:eastAsia="Calibri" w:hAnsi="Times New Roman"/>
          <w:b/>
        </w:rPr>
      </w:pPr>
      <w:bookmarkStart w:id="0" w:name="_Hlk156549704"/>
      <w:r>
        <w:rPr>
          <w:rFonts w:ascii="Times New Roman" w:eastAsia="Calibri" w:hAnsi="Times New Roman"/>
          <w:b/>
        </w:rPr>
        <w:t>Техническое задание</w:t>
      </w:r>
    </w:p>
    <w:p w14:paraId="0C627A82" w14:textId="77777777" w:rsidR="00167D8F" w:rsidRDefault="00714B3B">
      <w:pPr>
        <w:spacing w:after="0"/>
        <w:ind w:left="-426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на оказание услуг финансовой аренды (лизинга) автогрейдера </w:t>
      </w:r>
    </w:p>
    <w:p w14:paraId="39027218" w14:textId="77777777" w:rsidR="00167D8F" w:rsidRDefault="00167D8F">
      <w:pPr>
        <w:spacing w:after="0"/>
        <w:ind w:left="-426"/>
        <w:jc w:val="center"/>
        <w:rPr>
          <w:rFonts w:ascii="Times New Roman" w:hAnsi="Times New Roman"/>
          <w:b/>
          <w:bCs/>
        </w:rPr>
      </w:pPr>
    </w:p>
    <w:p w14:paraId="2DDFC448" w14:textId="77777777" w:rsidR="00167D8F" w:rsidRDefault="00714B3B">
      <w:pPr>
        <w:spacing w:after="0"/>
        <w:ind w:left="-426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77.32.10.000 Услуги по аренде и лизингу строительных машин и оборудования для гражданских строительства</w:t>
      </w:r>
    </w:p>
    <w:p w14:paraId="7C79D585" w14:textId="77777777" w:rsidR="00167D8F" w:rsidRDefault="00167D8F">
      <w:pPr>
        <w:spacing w:after="0"/>
        <w:ind w:left="-426"/>
        <w:jc w:val="center"/>
        <w:rPr>
          <w:rFonts w:ascii="Times New Roman" w:eastAsia="Calibri" w:hAnsi="Times New Roman"/>
        </w:rPr>
      </w:pPr>
    </w:p>
    <w:p w14:paraId="69014793" w14:textId="77777777" w:rsidR="00167D8F" w:rsidRDefault="00714B3B">
      <w:pPr>
        <w:spacing w:after="0"/>
        <w:ind w:left="-426"/>
        <w:jc w:val="center"/>
        <w:rPr>
          <w:rFonts w:ascii="Times New Roman" w:eastAsia="Calibri" w:hAnsi="Times New Roman"/>
          <w:b/>
          <w:bCs/>
          <w:i/>
          <w:iCs/>
        </w:rPr>
      </w:pPr>
      <w:commentRangeStart w:id="1"/>
      <w:r>
        <w:rPr>
          <w:rFonts w:ascii="Times New Roman" w:eastAsia="Calibri" w:hAnsi="Times New Roman"/>
        </w:rPr>
        <w:t xml:space="preserve">28.92.22.110 - Грейдеры самоходные </w:t>
      </w:r>
      <w:r>
        <w:rPr>
          <w:rFonts w:ascii="Times New Roman" w:eastAsia="Calibri" w:hAnsi="Times New Roman"/>
          <w:b/>
          <w:bCs/>
        </w:rPr>
        <w:t>(О)</w:t>
      </w:r>
      <w:r>
        <w:rPr>
          <w:rFonts w:ascii="Times New Roman" w:eastAsia="Calibri" w:hAnsi="Times New Roman"/>
        </w:rPr>
        <w:t xml:space="preserve"> подп. "к", "л" п. 10 - </w:t>
      </w:r>
      <w:r>
        <w:rPr>
          <w:rFonts w:ascii="Times New Roman" w:eastAsia="Calibri" w:hAnsi="Times New Roman"/>
          <w:b/>
          <w:bCs/>
        </w:rPr>
        <w:t xml:space="preserve">При осуществлении закупки по Закону № 223-ФЗ, если извещение размещено либо договор с ед. поставщиком заключен до 1 июля 2025 г. </w:t>
      </w:r>
      <w:r>
        <w:rPr>
          <w:rFonts w:ascii="Times New Roman" w:eastAsia="Calibri" w:hAnsi="Times New Roman"/>
          <w:b/>
          <w:bCs/>
          <w:i/>
          <w:iCs/>
        </w:rPr>
        <w:t>Применяется ограничение</w:t>
      </w:r>
      <w:commentRangeEnd w:id="1"/>
      <w:r w:rsidR="00265FDD">
        <w:rPr>
          <w:rStyle w:val="aff4"/>
        </w:rPr>
        <w:commentReference w:id="1"/>
      </w:r>
    </w:p>
    <w:p w14:paraId="7123C0C5" w14:textId="77777777" w:rsidR="00167D8F" w:rsidRDefault="00167D8F">
      <w:pPr>
        <w:spacing w:after="0"/>
        <w:ind w:left="-426"/>
        <w:jc w:val="center"/>
        <w:rPr>
          <w:rFonts w:ascii="Times New Roman" w:eastAsia="Calibri" w:hAnsi="Times New Roman"/>
        </w:rPr>
      </w:pPr>
    </w:p>
    <w:p w14:paraId="03A734C4" w14:textId="77777777" w:rsidR="00167D8F" w:rsidRDefault="00714B3B">
      <w:pPr>
        <w:spacing w:after="0"/>
        <w:ind w:left="-426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1. Общие требования оказания услуг:</w:t>
      </w:r>
    </w:p>
    <w:p w14:paraId="409FE598" w14:textId="77777777"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1.1. Услуга оказывается в соответствии с настоящим техническим заданием закупки и условиями проекта Договора.</w:t>
      </w:r>
    </w:p>
    <w:p w14:paraId="5137E05E" w14:textId="77777777"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1.2. Лизингодатель в соответствии с условиями Договора обязуется приобрести в собственность транспортное средство, технические характеристики которых приведены в таблице №1, и передать Предмет лизинга за плату во временное владение и пользование (в лизинг) Лизингополучателю, а Лизингополучатель обязуется принять Предмет лизинга и выплатить Лизингодателю лизинговые платежи в порядке и сроки, предусмотренные Договором.</w:t>
      </w:r>
    </w:p>
    <w:p w14:paraId="67A7626B" w14:textId="77777777"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1.3. Лизинговые платежи за предоставленный в финансовую аренду (лизинг) Предмет лизинга уплачиваются Лизингополучателем Лизингодателю на расчетный счет Лизингодателя, указанный в Договоре, если иной счет не будет письменно указан Лизингодателем.</w:t>
      </w:r>
    </w:p>
    <w:p w14:paraId="1B778EC5" w14:textId="77777777"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1.4. Лизингополучатель обязан производить оплату лизинговых платежей в течение срока действия Договора в соответствии с Графиком лизинговых платежей. Лизинговые платежи уплачиваются ежемесячно, начиная с месяца, следующего за месяцем, на который приходится дата приемки Имущества в лизинг.</w:t>
      </w:r>
    </w:p>
    <w:p w14:paraId="54ACE49F" w14:textId="77777777" w:rsidR="00167D8F" w:rsidRPr="00923ACE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commentRangeStart w:id="2"/>
      <w:r w:rsidRPr="00923ACE">
        <w:rPr>
          <w:rFonts w:ascii="Times New Roman" w:eastAsia="Calibri" w:hAnsi="Times New Roman"/>
        </w:rPr>
        <w:t xml:space="preserve">Срок лизинга: </w:t>
      </w:r>
      <w:commentRangeStart w:id="3"/>
      <w:r w:rsidRPr="00923ACE">
        <w:rPr>
          <w:rFonts w:ascii="Times New Roman" w:eastAsia="Calibri" w:hAnsi="Times New Roman"/>
        </w:rPr>
        <w:t>24 месяца.</w:t>
      </w:r>
      <w:commentRangeEnd w:id="3"/>
      <w:r w:rsidR="00265FDD">
        <w:rPr>
          <w:rStyle w:val="aff4"/>
        </w:rPr>
        <w:commentReference w:id="3"/>
      </w:r>
      <w:commentRangeEnd w:id="2"/>
      <w:r w:rsidR="00265FDD">
        <w:rPr>
          <w:rStyle w:val="aff4"/>
        </w:rPr>
        <w:commentReference w:id="2"/>
      </w:r>
    </w:p>
    <w:p w14:paraId="07CB856D" w14:textId="77777777" w:rsidR="00167D8F" w:rsidRPr="00923ACE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 w:rsidRPr="00923ACE">
        <w:rPr>
          <w:rFonts w:ascii="Times New Roman" w:eastAsia="Calibri" w:hAnsi="Times New Roman"/>
          <w:b/>
          <w:bCs/>
        </w:rPr>
        <w:t>2. Срок поставки:</w:t>
      </w:r>
      <w:r w:rsidRPr="00923ACE">
        <w:rPr>
          <w:rFonts w:ascii="Times New Roman" w:eastAsia="Calibri" w:hAnsi="Times New Roman"/>
        </w:rPr>
        <w:t xml:space="preserve"> в течение 45 рабочих дней с момента заключения договора.</w:t>
      </w:r>
    </w:p>
    <w:p w14:paraId="25CA5C06" w14:textId="77777777"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 w:rsidRPr="00923ACE">
        <w:rPr>
          <w:rFonts w:ascii="Times New Roman" w:eastAsia="Calibri" w:hAnsi="Times New Roman"/>
          <w:b/>
          <w:bCs/>
        </w:rPr>
        <w:t>3. Адрес поставки:</w:t>
      </w:r>
      <w:r w:rsidRPr="00923ACE">
        <w:rPr>
          <w:rFonts w:ascii="Times New Roman" w:eastAsia="Calibri" w:hAnsi="Times New Roman"/>
        </w:rPr>
        <w:t xml:space="preserve"> Республика Бурятия</w:t>
      </w:r>
      <w:r>
        <w:rPr>
          <w:rFonts w:ascii="Times New Roman" w:eastAsia="Calibri" w:hAnsi="Times New Roman"/>
        </w:rPr>
        <w:t>, Закаменский район, г. Закаменск, ул. Ленина 17.</w:t>
      </w:r>
    </w:p>
    <w:p w14:paraId="5F391936" w14:textId="77777777" w:rsidR="00167D8F" w:rsidRDefault="00714B3B">
      <w:pPr>
        <w:spacing w:after="0"/>
        <w:ind w:left="-426"/>
        <w:jc w:val="both"/>
        <w:rPr>
          <w:rFonts w:ascii="Times New Roman" w:eastAsia="NSimSun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</w:rPr>
        <w:t>4</w:t>
      </w:r>
      <w:r>
        <w:rPr>
          <w:rFonts w:ascii="Times New Roman" w:eastAsia="Calibri" w:hAnsi="Times New Roman"/>
        </w:rPr>
        <w:t>.</w:t>
      </w:r>
      <w:r>
        <w:rPr>
          <w:rFonts w:ascii="Times New Roman" w:hAnsi="Times New Roman"/>
          <w:b/>
          <w:bCs/>
          <w:lang w:eastAsia="ru-RU"/>
        </w:rPr>
        <w:t xml:space="preserve"> Характеристики товара и требования по техническому оснащению</w:t>
      </w:r>
      <w:r>
        <w:rPr>
          <w:rFonts w:ascii="Times New Roman" w:eastAsia="NSimSun" w:hAnsi="Times New Roman"/>
          <w:b/>
          <w:bCs/>
          <w:lang w:eastAsia="ru-RU"/>
        </w:rPr>
        <w:t>:</w:t>
      </w:r>
    </w:p>
    <w:p w14:paraId="2C890DF3" w14:textId="77777777" w:rsidR="00167D8F" w:rsidRDefault="00714B3B">
      <w:pPr>
        <w:spacing w:after="0"/>
        <w:ind w:left="-426"/>
        <w:jc w:val="both"/>
        <w:rPr>
          <w:rFonts w:ascii="Times New Roman" w:eastAsia="NSimSun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</w:rPr>
        <w:t>Наименование закупаемой техники</w:t>
      </w:r>
      <w:r>
        <w:rPr>
          <w:rFonts w:ascii="Times New Roman" w:eastAsia="NSimSun" w:hAnsi="Times New Roman"/>
          <w:b/>
          <w:bCs/>
          <w:lang w:eastAsia="ru-RU"/>
        </w:rPr>
        <w:t xml:space="preserve">: </w:t>
      </w:r>
      <w:r>
        <w:rPr>
          <w:rFonts w:ascii="Times New Roman" w:eastAsia="NSimSun" w:hAnsi="Times New Roman"/>
          <w:lang w:eastAsia="ru-RU"/>
        </w:rPr>
        <w:t>Автогрейдер XCMG GR2153A или эквивалент</w:t>
      </w:r>
    </w:p>
    <w:tbl>
      <w:tblPr>
        <w:tblStyle w:val="aff"/>
        <w:tblW w:w="9635" w:type="dxa"/>
        <w:tblInd w:w="-426" w:type="dxa"/>
        <w:tblLook w:val="04A0" w:firstRow="1" w:lastRow="0" w:firstColumn="1" w:lastColumn="0" w:noHBand="0" w:noVBand="1"/>
      </w:tblPr>
      <w:tblGrid>
        <w:gridCol w:w="1272"/>
        <w:gridCol w:w="4111"/>
        <w:gridCol w:w="4252"/>
      </w:tblGrid>
      <w:tr w:rsidR="00167D8F" w14:paraId="35BFC81E" w14:textId="77777777">
        <w:tc>
          <w:tcPr>
            <w:tcW w:w="1272" w:type="dxa"/>
          </w:tcPr>
          <w:p w14:paraId="20E8FB3F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center"/>
              <w:rPr>
                <w:rFonts w:eastAsia="NSimSu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4FB5CCE" w14:textId="77777777" w:rsidR="00167D8F" w:rsidRDefault="00714B3B">
            <w:pPr>
              <w:spacing w:after="0"/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>Наименование</w:t>
            </w:r>
          </w:p>
        </w:tc>
        <w:tc>
          <w:tcPr>
            <w:tcW w:w="4252" w:type="dxa"/>
          </w:tcPr>
          <w:p w14:paraId="5A241829" w14:textId="77777777" w:rsidR="00167D8F" w:rsidRDefault="00714B3B">
            <w:pPr>
              <w:spacing w:after="0"/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>Показатели</w:t>
            </w:r>
          </w:p>
        </w:tc>
      </w:tr>
      <w:tr w:rsidR="00167D8F" w14:paraId="7BA14FC9" w14:textId="77777777">
        <w:tc>
          <w:tcPr>
            <w:tcW w:w="1272" w:type="dxa"/>
          </w:tcPr>
          <w:p w14:paraId="196CFDF8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0557C91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Модель двигателя</w:t>
            </w:r>
          </w:p>
        </w:tc>
        <w:tc>
          <w:tcPr>
            <w:tcW w:w="4252" w:type="dxa"/>
            <w:vAlign w:val="center"/>
          </w:tcPr>
          <w:p w14:paraId="13CB5C51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QSB6.7</w:t>
            </w:r>
          </w:p>
        </w:tc>
      </w:tr>
      <w:tr w:rsidR="00167D8F" w14:paraId="39E7457C" w14:textId="77777777">
        <w:tc>
          <w:tcPr>
            <w:tcW w:w="1272" w:type="dxa"/>
          </w:tcPr>
          <w:p w14:paraId="767ED358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7A7EC49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Номинальная мощность</w:t>
            </w:r>
          </w:p>
        </w:tc>
        <w:tc>
          <w:tcPr>
            <w:tcW w:w="4252" w:type="dxa"/>
            <w:vAlign w:val="center"/>
          </w:tcPr>
          <w:p w14:paraId="6C48A4CD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164кВ</w:t>
            </w:r>
          </w:p>
        </w:tc>
      </w:tr>
      <w:tr w:rsidR="00167D8F" w14:paraId="2124CF75" w14:textId="77777777">
        <w:tc>
          <w:tcPr>
            <w:tcW w:w="1272" w:type="dxa"/>
          </w:tcPr>
          <w:p w14:paraId="78616702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4BB9A41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 xml:space="preserve">Частота оборотов </w:t>
            </w:r>
          </w:p>
        </w:tc>
        <w:tc>
          <w:tcPr>
            <w:tcW w:w="4252" w:type="dxa"/>
            <w:vAlign w:val="center"/>
          </w:tcPr>
          <w:p w14:paraId="2BD8398E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 2200 оборотов в минуту</w:t>
            </w:r>
          </w:p>
        </w:tc>
      </w:tr>
      <w:tr w:rsidR="00167D8F" w14:paraId="555EFB5E" w14:textId="77777777">
        <w:tc>
          <w:tcPr>
            <w:tcW w:w="1272" w:type="dxa"/>
          </w:tcPr>
          <w:p w14:paraId="1C37914D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1ACDE9A0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Дорожный просвет (передняя ось)</w:t>
            </w:r>
          </w:p>
        </w:tc>
        <w:tc>
          <w:tcPr>
            <w:tcW w:w="4252" w:type="dxa"/>
            <w:vAlign w:val="center"/>
          </w:tcPr>
          <w:p w14:paraId="688870D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 430 мм</w:t>
            </w:r>
          </w:p>
        </w:tc>
      </w:tr>
      <w:tr w:rsidR="00167D8F" w14:paraId="40471BC7" w14:textId="77777777">
        <w:tc>
          <w:tcPr>
            <w:tcW w:w="1272" w:type="dxa"/>
          </w:tcPr>
          <w:p w14:paraId="37DE359E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62BBBA8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Колея</w:t>
            </w:r>
          </w:p>
        </w:tc>
        <w:tc>
          <w:tcPr>
            <w:tcW w:w="4252" w:type="dxa"/>
            <w:vAlign w:val="center"/>
          </w:tcPr>
          <w:p w14:paraId="56EF957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2150 мм</w:t>
            </w:r>
          </w:p>
        </w:tc>
      </w:tr>
      <w:tr w:rsidR="00167D8F" w14:paraId="0AB6E0F2" w14:textId="77777777">
        <w:tc>
          <w:tcPr>
            <w:tcW w:w="1272" w:type="dxa"/>
          </w:tcPr>
          <w:p w14:paraId="030177B0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6A595EF8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Пространство между передней и задней осями</w:t>
            </w:r>
          </w:p>
        </w:tc>
        <w:tc>
          <w:tcPr>
            <w:tcW w:w="4252" w:type="dxa"/>
            <w:vAlign w:val="center"/>
          </w:tcPr>
          <w:p w14:paraId="019D4D9B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6210 мм</w:t>
            </w:r>
          </w:p>
        </w:tc>
      </w:tr>
      <w:tr w:rsidR="00167D8F" w14:paraId="26587732" w14:textId="77777777">
        <w:tc>
          <w:tcPr>
            <w:tcW w:w="1272" w:type="dxa"/>
          </w:tcPr>
          <w:p w14:paraId="24E048C8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4B54EDB8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Пространство между средними и задними колесами</w:t>
            </w:r>
          </w:p>
        </w:tc>
        <w:tc>
          <w:tcPr>
            <w:tcW w:w="4252" w:type="dxa"/>
          </w:tcPr>
          <w:p w14:paraId="143091DD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1530 мм</w:t>
            </w:r>
          </w:p>
        </w:tc>
      </w:tr>
      <w:tr w:rsidR="00167D8F" w14:paraId="6DFF48A0" w14:textId="77777777">
        <w:tc>
          <w:tcPr>
            <w:tcW w:w="1272" w:type="dxa"/>
          </w:tcPr>
          <w:p w14:paraId="2AE17D93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79B440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Поступательная скорость</w:t>
            </w:r>
          </w:p>
        </w:tc>
        <w:tc>
          <w:tcPr>
            <w:tcW w:w="4252" w:type="dxa"/>
          </w:tcPr>
          <w:p w14:paraId="0A8D68E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(5, 8, 11, 19, 23, 38) км/ч</w:t>
            </w:r>
          </w:p>
        </w:tc>
      </w:tr>
      <w:tr w:rsidR="00167D8F" w14:paraId="2E141B6F" w14:textId="77777777">
        <w:tc>
          <w:tcPr>
            <w:tcW w:w="1272" w:type="dxa"/>
          </w:tcPr>
          <w:p w14:paraId="75921DFB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019509C4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Обратная скорость</w:t>
            </w:r>
          </w:p>
        </w:tc>
        <w:tc>
          <w:tcPr>
            <w:tcW w:w="4252" w:type="dxa"/>
          </w:tcPr>
          <w:p w14:paraId="4DA4671D" w14:textId="77777777" w:rsidR="00167D8F" w:rsidRDefault="00714B3B">
            <w:pPr>
              <w:spacing w:after="0" w:line="240" w:lineRule="auto"/>
              <w:ind w:firstLine="135"/>
              <w:jc w:val="center"/>
              <w:rPr>
                <w:bCs/>
              </w:rPr>
            </w:pPr>
            <w:r>
              <w:rPr>
                <w:bCs/>
              </w:rPr>
              <w:t>не менее (5, 11, 23) км/ч</w:t>
            </w:r>
          </w:p>
          <w:p w14:paraId="3714A53E" w14:textId="77777777" w:rsidR="00167D8F" w:rsidRDefault="00167D8F">
            <w:pPr>
              <w:spacing w:after="0"/>
              <w:jc w:val="both"/>
              <w:rPr>
                <w:rFonts w:eastAsia="NSimSun"/>
              </w:rPr>
            </w:pPr>
          </w:p>
        </w:tc>
      </w:tr>
      <w:tr w:rsidR="00167D8F" w14:paraId="7E564F95" w14:textId="77777777">
        <w:tc>
          <w:tcPr>
            <w:tcW w:w="1272" w:type="dxa"/>
          </w:tcPr>
          <w:p w14:paraId="546D37FB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7D097D09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Тяговое усилие f = 0,75</w:t>
            </w:r>
          </w:p>
        </w:tc>
        <w:tc>
          <w:tcPr>
            <w:tcW w:w="4252" w:type="dxa"/>
          </w:tcPr>
          <w:p w14:paraId="700EAED7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113.8 кН</w:t>
            </w:r>
          </w:p>
        </w:tc>
      </w:tr>
      <w:tr w:rsidR="00167D8F" w14:paraId="389FF300" w14:textId="77777777">
        <w:tc>
          <w:tcPr>
            <w:tcW w:w="1272" w:type="dxa"/>
          </w:tcPr>
          <w:p w14:paraId="50381378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124FC4AE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преодолеваемый уклон</w:t>
            </w:r>
          </w:p>
        </w:tc>
        <w:tc>
          <w:tcPr>
            <w:tcW w:w="4252" w:type="dxa"/>
          </w:tcPr>
          <w:p w14:paraId="1938F1C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30 %</w:t>
            </w:r>
          </w:p>
        </w:tc>
      </w:tr>
      <w:tr w:rsidR="00167D8F" w14:paraId="7B4F0FF1" w14:textId="77777777">
        <w:tc>
          <w:tcPr>
            <w:tcW w:w="1272" w:type="dxa"/>
          </w:tcPr>
          <w:p w14:paraId="6B3A1812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EBA58E9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Давление воздуха в шинах</w:t>
            </w:r>
          </w:p>
        </w:tc>
        <w:tc>
          <w:tcPr>
            <w:tcW w:w="4252" w:type="dxa"/>
          </w:tcPr>
          <w:p w14:paraId="3DF1AB8D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260 кПа</w:t>
            </w:r>
          </w:p>
        </w:tc>
      </w:tr>
      <w:tr w:rsidR="00167D8F" w14:paraId="58D9DCD6" w14:textId="77777777">
        <w:tc>
          <w:tcPr>
            <w:tcW w:w="1272" w:type="dxa"/>
          </w:tcPr>
          <w:p w14:paraId="23239AF2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7FBFC4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spacing w:val="-5"/>
              </w:rPr>
              <w:t>Давление в рабочей системе</w:t>
            </w:r>
          </w:p>
        </w:tc>
        <w:tc>
          <w:tcPr>
            <w:tcW w:w="4252" w:type="dxa"/>
          </w:tcPr>
          <w:p w14:paraId="0909D26A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 18 Мпа</w:t>
            </w:r>
          </w:p>
        </w:tc>
      </w:tr>
      <w:tr w:rsidR="00167D8F" w14:paraId="5A6F39EF" w14:textId="77777777">
        <w:tc>
          <w:tcPr>
            <w:tcW w:w="1272" w:type="dxa"/>
          </w:tcPr>
          <w:p w14:paraId="38F9DDA7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4B9165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поворота переднего колеса</w:t>
            </w:r>
          </w:p>
        </w:tc>
        <w:tc>
          <w:tcPr>
            <w:tcW w:w="4252" w:type="dxa"/>
          </w:tcPr>
          <w:p w14:paraId="2B9A5302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±50°</w:t>
            </w:r>
          </w:p>
        </w:tc>
      </w:tr>
      <w:tr w:rsidR="00167D8F" w14:paraId="076E6E46" w14:textId="77777777">
        <w:tc>
          <w:tcPr>
            <w:tcW w:w="1272" w:type="dxa"/>
          </w:tcPr>
          <w:p w14:paraId="780E673A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5B9B215E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наклона переднего колеса</w:t>
            </w:r>
          </w:p>
        </w:tc>
        <w:tc>
          <w:tcPr>
            <w:tcW w:w="4252" w:type="dxa"/>
          </w:tcPr>
          <w:p w14:paraId="695BF261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±17°</w:t>
            </w:r>
          </w:p>
        </w:tc>
      </w:tr>
      <w:tr w:rsidR="00167D8F" w14:paraId="1738F87E" w14:textId="77777777">
        <w:tc>
          <w:tcPr>
            <w:tcW w:w="1272" w:type="dxa"/>
          </w:tcPr>
          <w:p w14:paraId="328930A6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541C1324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качания передней оси</w:t>
            </w:r>
          </w:p>
        </w:tc>
        <w:tc>
          <w:tcPr>
            <w:tcW w:w="4252" w:type="dxa"/>
          </w:tcPr>
          <w:p w14:paraId="541726D1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±15°</w:t>
            </w:r>
          </w:p>
        </w:tc>
      </w:tr>
      <w:tr w:rsidR="00167D8F" w14:paraId="0C27C685" w14:textId="77777777">
        <w:tc>
          <w:tcPr>
            <w:tcW w:w="1272" w:type="dxa"/>
          </w:tcPr>
          <w:p w14:paraId="7FA1C812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7C85539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поворота баланса коробки</w:t>
            </w:r>
          </w:p>
        </w:tc>
        <w:tc>
          <w:tcPr>
            <w:tcW w:w="4252" w:type="dxa"/>
          </w:tcPr>
          <w:p w14:paraId="21E5E8FC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 xml:space="preserve">Спереди </w:t>
            </w:r>
            <w:r>
              <w:t>не менее</w:t>
            </w:r>
            <w:r>
              <w:rPr>
                <w:bCs/>
              </w:rPr>
              <w:t xml:space="preserve"> 15°, задний </w:t>
            </w:r>
            <w:r>
              <w:t>не менее</w:t>
            </w:r>
            <w:r>
              <w:rPr>
                <w:bCs/>
              </w:rPr>
              <w:t xml:space="preserve"> 15° Вперед </w:t>
            </w:r>
            <w:r>
              <w:t>не менее</w:t>
            </w:r>
            <w:r>
              <w:rPr>
                <w:bCs/>
              </w:rPr>
              <w:t xml:space="preserve"> 15°, назад </w:t>
            </w:r>
            <w:r>
              <w:t>не менее</w:t>
            </w:r>
            <w:r>
              <w:rPr>
                <w:bCs/>
              </w:rPr>
              <w:t xml:space="preserve"> 15°</w:t>
            </w:r>
          </w:p>
        </w:tc>
      </w:tr>
      <w:tr w:rsidR="00167D8F" w14:paraId="1539AD72" w14:textId="77777777">
        <w:tc>
          <w:tcPr>
            <w:tcW w:w="1272" w:type="dxa"/>
          </w:tcPr>
          <w:p w14:paraId="6CF78DEB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700C53A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поворота рамы</w:t>
            </w:r>
          </w:p>
        </w:tc>
        <w:tc>
          <w:tcPr>
            <w:tcW w:w="4252" w:type="dxa"/>
          </w:tcPr>
          <w:p w14:paraId="23F1FB12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±27°</w:t>
            </w:r>
          </w:p>
        </w:tc>
      </w:tr>
      <w:tr w:rsidR="00167D8F" w14:paraId="129DD542" w14:textId="77777777">
        <w:tc>
          <w:tcPr>
            <w:tcW w:w="1272" w:type="dxa"/>
          </w:tcPr>
          <w:p w14:paraId="60BFA1F7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32B5595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Мин. радиус поворота</w:t>
            </w:r>
          </w:p>
        </w:tc>
        <w:tc>
          <w:tcPr>
            <w:tcW w:w="4252" w:type="dxa"/>
          </w:tcPr>
          <w:p w14:paraId="723266C7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не более 7.3 m</w:t>
            </w:r>
          </w:p>
        </w:tc>
      </w:tr>
      <w:tr w:rsidR="00167D8F" w14:paraId="30F9CE3C" w14:textId="77777777">
        <w:tc>
          <w:tcPr>
            <w:tcW w:w="1272" w:type="dxa"/>
          </w:tcPr>
          <w:p w14:paraId="4C0B0D48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5F0967DC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Объём двигателя, л.:</w:t>
            </w:r>
          </w:p>
        </w:tc>
        <w:tc>
          <w:tcPr>
            <w:tcW w:w="4252" w:type="dxa"/>
          </w:tcPr>
          <w:p w14:paraId="06E2418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24</w:t>
            </w:r>
          </w:p>
        </w:tc>
      </w:tr>
      <w:tr w:rsidR="00167D8F" w14:paraId="4A88238B" w14:textId="77777777">
        <w:tc>
          <w:tcPr>
            <w:tcW w:w="1272" w:type="dxa"/>
          </w:tcPr>
          <w:p w14:paraId="7A69B1FA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43DDD06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Объём топливного бака, л:</w:t>
            </w:r>
          </w:p>
        </w:tc>
        <w:tc>
          <w:tcPr>
            <w:tcW w:w="4252" w:type="dxa"/>
          </w:tcPr>
          <w:p w14:paraId="2F903684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280</w:t>
            </w:r>
          </w:p>
        </w:tc>
      </w:tr>
      <w:tr w:rsidR="00167D8F" w14:paraId="1BAA917C" w14:textId="77777777">
        <w:tc>
          <w:tcPr>
            <w:tcW w:w="9635" w:type="dxa"/>
            <w:gridSpan w:val="3"/>
          </w:tcPr>
          <w:p w14:paraId="63C8712C" w14:textId="77777777" w:rsidR="00167D8F" w:rsidRDefault="00714B3B">
            <w:pPr>
              <w:spacing w:after="0"/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>Нож</w:t>
            </w:r>
          </w:p>
        </w:tc>
      </w:tr>
      <w:tr w:rsidR="00167D8F" w14:paraId="4DE3F8A8" w14:textId="77777777">
        <w:tc>
          <w:tcPr>
            <w:tcW w:w="1272" w:type="dxa"/>
          </w:tcPr>
          <w:p w14:paraId="799BF61E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F3DE650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высота подъема</w:t>
            </w:r>
          </w:p>
        </w:tc>
        <w:tc>
          <w:tcPr>
            <w:tcW w:w="4252" w:type="dxa"/>
          </w:tcPr>
          <w:p w14:paraId="34B9905C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450 мм</w:t>
            </w:r>
          </w:p>
        </w:tc>
      </w:tr>
      <w:tr w:rsidR="00167D8F" w14:paraId="1D6A6FF8" w14:textId="77777777">
        <w:tc>
          <w:tcPr>
            <w:tcW w:w="1272" w:type="dxa"/>
          </w:tcPr>
          <w:p w14:paraId="3DC719B3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1A31CB9C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глубина лопаты</w:t>
            </w:r>
          </w:p>
        </w:tc>
        <w:tc>
          <w:tcPr>
            <w:tcW w:w="4252" w:type="dxa"/>
          </w:tcPr>
          <w:p w14:paraId="035CE28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500 мм</w:t>
            </w:r>
          </w:p>
        </w:tc>
      </w:tr>
      <w:tr w:rsidR="00167D8F" w14:paraId="4912EB01" w14:textId="77777777">
        <w:tc>
          <w:tcPr>
            <w:tcW w:w="1272" w:type="dxa"/>
          </w:tcPr>
          <w:p w14:paraId="17562F4C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06144E8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наклона</w:t>
            </w:r>
          </w:p>
        </w:tc>
        <w:tc>
          <w:tcPr>
            <w:tcW w:w="4252" w:type="dxa"/>
          </w:tcPr>
          <w:p w14:paraId="0E9D715E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90°</w:t>
            </w:r>
          </w:p>
        </w:tc>
      </w:tr>
      <w:tr w:rsidR="00167D8F" w14:paraId="0BF79B90" w14:textId="77777777">
        <w:tc>
          <w:tcPr>
            <w:tcW w:w="1272" w:type="dxa"/>
          </w:tcPr>
          <w:p w14:paraId="75CE669E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0A43B2C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Угол резания</w:t>
            </w:r>
          </w:p>
        </w:tc>
        <w:tc>
          <w:tcPr>
            <w:tcW w:w="4252" w:type="dxa"/>
          </w:tcPr>
          <w:p w14:paraId="622DA3F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(от 28 до 70) °</w:t>
            </w:r>
          </w:p>
        </w:tc>
      </w:tr>
      <w:tr w:rsidR="00167D8F" w14:paraId="70B52AF6" w14:textId="77777777">
        <w:tc>
          <w:tcPr>
            <w:tcW w:w="1272" w:type="dxa"/>
          </w:tcPr>
          <w:p w14:paraId="3517A793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7847815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Угол поворота</w:t>
            </w:r>
          </w:p>
        </w:tc>
        <w:tc>
          <w:tcPr>
            <w:tcW w:w="4252" w:type="dxa"/>
          </w:tcPr>
          <w:p w14:paraId="5FFFBAFB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360°</w:t>
            </w:r>
          </w:p>
        </w:tc>
      </w:tr>
      <w:tr w:rsidR="00167D8F" w14:paraId="57687A96" w14:textId="77777777">
        <w:tc>
          <w:tcPr>
            <w:tcW w:w="1272" w:type="dxa"/>
          </w:tcPr>
          <w:p w14:paraId="713E2244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77B57121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Длина х высота</w:t>
            </w:r>
          </w:p>
        </w:tc>
        <w:tc>
          <w:tcPr>
            <w:tcW w:w="4252" w:type="dxa"/>
          </w:tcPr>
          <w:p w14:paraId="06C1E485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spacing w:val="-2"/>
              </w:rPr>
              <w:t xml:space="preserve"> 4270x610 мм</w:t>
            </w:r>
          </w:p>
        </w:tc>
      </w:tr>
    </w:tbl>
    <w:p w14:paraId="5E33B624" w14:textId="77777777" w:rsidR="00167D8F" w:rsidRDefault="00167D8F">
      <w:pPr>
        <w:spacing w:after="0"/>
        <w:ind w:left="-426"/>
        <w:jc w:val="both"/>
        <w:rPr>
          <w:rFonts w:ascii="Times New Roman" w:eastAsia="NSimSun" w:hAnsi="Times New Roman"/>
          <w:b/>
          <w:bCs/>
          <w:lang w:eastAsia="ru-RU"/>
        </w:rPr>
      </w:pPr>
    </w:p>
    <w:p w14:paraId="00DF6144" w14:textId="77777777" w:rsidR="00167D8F" w:rsidRDefault="00714B3B">
      <w:pPr>
        <w:keepNext/>
        <w:tabs>
          <w:tab w:val="left" w:pos="4185"/>
        </w:tabs>
        <w:spacing w:after="0"/>
        <w:ind w:left="-426"/>
        <w:jc w:val="both"/>
        <w:outlineLvl w:val="0"/>
        <w:rPr>
          <w:rFonts w:ascii="Times New Roman" w:eastAsia="NSimSun" w:hAnsi="Times New Roman"/>
          <w:b/>
          <w:bCs/>
          <w:lang w:eastAsia="ru-RU"/>
        </w:rPr>
      </w:pPr>
      <w:bookmarkStart w:id="4" w:name="_Hlk156549733"/>
      <w:bookmarkStart w:id="5" w:name="_Hlk156549768"/>
      <w:bookmarkStart w:id="6" w:name="_Hlk156549877"/>
      <w:bookmarkEnd w:id="0"/>
      <w:r>
        <w:rPr>
          <w:rFonts w:ascii="Times New Roman" w:eastAsia="NSimSun" w:hAnsi="Times New Roman"/>
          <w:b/>
          <w:bCs/>
        </w:rPr>
        <w:t xml:space="preserve">5. Требования к поставляемому </w:t>
      </w:r>
      <w:r>
        <w:rPr>
          <w:rFonts w:ascii="Times New Roman" w:hAnsi="Times New Roman"/>
        </w:rPr>
        <w:t>транспортному средству</w:t>
      </w:r>
      <w:r>
        <w:rPr>
          <w:rFonts w:ascii="Times New Roman" w:eastAsia="NSimSun" w:hAnsi="Times New Roman"/>
          <w:b/>
          <w:bCs/>
        </w:rPr>
        <w:t xml:space="preserve"> (предмет лизинга):</w:t>
      </w:r>
    </w:p>
    <w:p w14:paraId="14A32D8C" w14:textId="77777777" w:rsidR="00167D8F" w:rsidRDefault="00714B3B">
      <w:pPr>
        <w:spacing w:after="0"/>
        <w:ind w:left="-426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</w:rPr>
        <w:t>5.1. Поставляемое транспортное средство должно быть новым, не бывшим в употреблении;</w:t>
      </w:r>
    </w:p>
    <w:p w14:paraId="5316FE0B" w14:textId="77777777" w:rsidR="00167D8F" w:rsidRDefault="00714B3B">
      <w:pPr>
        <w:spacing w:after="0"/>
        <w:ind w:left="-426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</w:rPr>
        <w:t>5</w:t>
      </w:r>
      <w:commentRangeStart w:id="7"/>
      <w:r>
        <w:rPr>
          <w:rFonts w:ascii="Times New Roman" w:hAnsi="Times New Roman"/>
        </w:rPr>
        <w:t>.2. Поставляемое транспортное средство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</w:t>
      </w:r>
      <w:commentRangeEnd w:id="7"/>
      <w:r w:rsidR="00265FDD">
        <w:rPr>
          <w:rStyle w:val="aff4"/>
        </w:rPr>
        <w:commentReference w:id="7"/>
      </w:r>
    </w:p>
    <w:p w14:paraId="341CDB74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Качество и комплектность поставляемого товара должно соответствовать действующим стандартам, и параметрам, установленным для данной модели транспортного средства, техническим условиям и иной нормативно-технической документации, принятым в Российской Федерации;</w:t>
      </w:r>
    </w:p>
    <w:p w14:paraId="521BBF11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14:paraId="0D7DC56C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предпродажная подготовка транспортного средства регламентируется заводом изготовителем;</w:t>
      </w:r>
    </w:p>
    <w:p w14:paraId="2D0B7656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пробег по показаниям спидометра при передаче Заказчику должен быть не более технологического внутризаводского;</w:t>
      </w:r>
    </w:p>
    <w:p w14:paraId="2BC77A44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товар должен быть без следов механических повреждений на кузове и в салоне;</w:t>
      </w:r>
    </w:p>
    <w:p w14:paraId="1EAA3EF3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гарантийный срок в соответствии со сроком установленным заводом-производителем (изготовителем)</w:t>
      </w:r>
      <w:r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</w:rPr>
        <w:t xml:space="preserve"> гарантия исчисляется со дня подписания Акта приема-передачи Товара. </w:t>
      </w:r>
    </w:p>
    <w:p w14:paraId="043DA541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гарантия распространяется на любые неисправности, возникшие по вине завода-изготовителя;</w:t>
      </w:r>
    </w:p>
    <w:p w14:paraId="4BF97233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транспортное средство должен отвечать требованиям безопасности, установленным для данного вида товара;</w:t>
      </w:r>
    </w:p>
    <w:p w14:paraId="3B9EE239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Цена Договора включает в себя стоимость Товара, все налоговые и таможенные платежи, НДС, сборы и иные платежи, связанные с выпуском Товара в свободное обращение и реализацией Товара Заказчику, затраты по хранению, страхованию и другие обязательные платежи, т.е. является конечной. В случае, если Поставщик самостоятельно поставляет товар Заказчику, стоимость поставки осуществляется за счет собственных средств Поставщика и не влияет на цену договора.</w:t>
      </w:r>
    </w:p>
    <w:p w14:paraId="59597A6C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Товар должен пройти предпродажную подготовку, о чем в сервисной книжке должна быть сделана соответствующая отметка, заверенная печатью. </w:t>
      </w:r>
    </w:p>
    <w:p w14:paraId="58BA79A5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commentRangeStart w:id="9"/>
      <w:r>
        <w:rPr>
          <w:rFonts w:ascii="Times New Roman" w:hAnsi="Times New Roman"/>
        </w:rPr>
        <w:t>5.6. При поставке товара Поставщик должен передать Заказчику относящиеся к товару документы: счет-фактуру, накладную, акт приема-передачи, руководство по эксплуатации и сервисную книжку на русском языке, два комплекта ключей к транспортному средству, документы необходимые для постановки товара на учет в ГИБДД: паспорт транспортного средства, документы, подтверждающие качество товара в соответствии с требованиями действующего законодательства, гарантийные талоны и другие документы.</w:t>
      </w:r>
      <w:bookmarkEnd w:id="4"/>
      <w:bookmarkEnd w:id="5"/>
      <w:bookmarkEnd w:id="6"/>
      <w:commentRangeEnd w:id="9"/>
      <w:r w:rsidR="00265FDD">
        <w:rPr>
          <w:rStyle w:val="aff4"/>
        </w:rPr>
        <w:commentReference w:id="9"/>
      </w:r>
    </w:p>
    <w:sectPr w:rsidR="00167D8F">
      <w:pgSz w:w="11906" w:h="16838"/>
      <w:pgMar w:top="1134" w:right="850" w:bottom="709" w:left="1701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Бардаханов Михаил Рубенович" w:date="2025-04-25T01:41:00Z" w:initials="БМР">
    <w:p w14:paraId="5A6CB29C" w14:textId="77777777" w:rsidR="00265FDD" w:rsidRDefault="00265FDD">
      <w:pPr>
        <w:pStyle w:val="aff5"/>
      </w:pPr>
      <w:r>
        <w:rPr>
          <w:rStyle w:val="aff4"/>
        </w:rPr>
        <w:annotationRef/>
      </w:r>
      <w:r>
        <w:t xml:space="preserve">Ограничение же не применяется, т.к. предмет лизинга не включен в перечень № 2 Постановления № 1875. </w:t>
      </w:r>
    </w:p>
    <w:p w14:paraId="170CEC15" w14:textId="77777777" w:rsidR="00265FDD" w:rsidRDefault="00265FDD" w:rsidP="00265FDD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«</w:t>
      </w:r>
      <w:r>
        <w:rPr>
          <w:rFonts w:ascii="Arial" w:eastAsiaTheme="minorHAnsi" w:hAnsi="Arial" w:cs="Arial"/>
          <w:sz w:val="20"/>
          <w:szCs w:val="20"/>
        </w:rPr>
        <w:t xml:space="preserve">л) в случае неприменения в соответствии с </w:t>
      </w:r>
      <w:hyperlink r:id="rId1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подпунктом "к"</w:t>
        </w:r>
      </w:hyperlink>
      <w:r>
        <w:rPr>
          <w:rFonts w:ascii="Arial" w:eastAsiaTheme="minorHAnsi" w:hAnsi="Arial" w:cs="Arial"/>
          <w:sz w:val="20"/>
          <w:szCs w:val="20"/>
        </w:rPr>
        <w:t xml:space="preserve"> настоящего пункта запрета, предусмотренного </w:t>
      </w:r>
      <w:hyperlink r:id="rId2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eastAsiaTheme="minorHAnsi" w:hAnsi="Arial" w:cs="Arial"/>
          <w:sz w:val="20"/>
          <w:szCs w:val="20"/>
        </w:rPr>
        <w:t xml:space="preserve"> настоящего постановления, при осуществлении закупок соответствующих товаров применяются положения настоящего постановления, касающиеся ограничения закупок товаров (в том числе поставляемых при выполнении закупаемых работ, оказании закупаемых услуг), происходящих из иностранных государств </w:t>
      </w:r>
      <w:r w:rsidRPr="00265FDD">
        <w:rPr>
          <w:rFonts w:ascii="Arial" w:eastAsiaTheme="minorHAnsi" w:hAnsi="Arial" w:cs="Arial"/>
          <w:b/>
          <w:sz w:val="20"/>
          <w:szCs w:val="20"/>
        </w:rPr>
        <w:t xml:space="preserve">и указанных в </w:t>
      </w:r>
      <w:hyperlink r:id="rId3" w:history="1">
        <w:r w:rsidRPr="00265FDD">
          <w:rPr>
            <w:rFonts w:ascii="Arial" w:eastAsiaTheme="minorHAnsi" w:hAnsi="Arial" w:cs="Arial"/>
            <w:b/>
            <w:color w:val="0000FF"/>
            <w:sz w:val="20"/>
            <w:szCs w:val="20"/>
          </w:rPr>
          <w:t>позициях 1</w:t>
        </w:r>
      </w:hyperlink>
      <w:r w:rsidRPr="00265FDD">
        <w:rPr>
          <w:rFonts w:ascii="Arial" w:eastAsiaTheme="minorHAnsi" w:hAnsi="Arial" w:cs="Arial"/>
          <w:b/>
          <w:sz w:val="20"/>
          <w:szCs w:val="20"/>
        </w:rPr>
        <w:t xml:space="preserve"> - </w:t>
      </w:r>
      <w:hyperlink r:id="rId4" w:history="1">
        <w:r w:rsidRPr="00265FDD">
          <w:rPr>
            <w:rFonts w:ascii="Arial" w:eastAsiaTheme="minorHAnsi" w:hAnsi="Arial" w:cs="Arial"/>
            <w:b/>
            <w:color w:val="0000FF"/>
            <w:sz w:val="20"/>
            <w:szCs w:val="20"/>
          </w:rPr>
          <w:t>433</w:t>
        </w:r>
      </w:hyperlink>
      <w:r w:rsidRPr="00265FDD">
        <w:rPr>
          <w:rFonts w:ascii="Arial" w:eastAsiaTheme="minorHAnsi" w:hAnsi="Arial" w:cs="Arial"/>
          <w:b/>
          <w:sz w:val="20"/>
          <w:szCs w:val="20"/>
        </w:rPr>
        <w:t xml:space="preserve"> приложения N 2 к настоящем</w:t>
      </w:r>
      <w:r>
        <w:rPr>
          <w:rFonts w:ascii="Arial" w:eastAsiaTheme="minorHAnsi" w:hAnsi="Arial" w:cs="Arial"/>
          <w:sz w:val="20"/>
          <w:szCs w:val="20"/>
        </w:rPr>
        <w:t>»</w:t>
      </w:r>
    </w:p>
    <w:p w14:paraId="65C99A33" w14:textId="77777777" w:rsidR="00265FDD" w:rsidRDefault="00265FDD">
      <w:pPr>
        <w:pStyle w:val="aff5"/>
      </w:pPr>
    </w:p>
  </w:comment>
  <w:comment w:id="3" w:author="Бардаханов Михаил Рубенович" w:date="2025-04-25T01:37:00Z" w:initials="БМР">
    <w:p w14:paraId="022D75B1" w14:textId="77777777" w:rsidR="00265FDD" w:rsidRDefault="00265FDD">
      <w:pPr>
        <w:pStyle w:val="aff5"/>
      </w:pPr>
      <w:r>
        <w:rPr>
          <w:rStyle w:val="aff4"/>
        </w:rPr>
        <w:annotationRef/>
      </w:r>
      <w:r>
        <w:t xml:space="preserve">Прошу уточнить срок лизинга имущества. </w:t>
      </w:r>
    </w:p>
  </w:comment>
  <w:comment w:id="2" w:author="Бардаханов Михаил Рубенович" w:date="2025-04-25T01:42:00Z" w:initials="БМР">
    <w:p w14:paraId="2508AEA4" w14:textId="77777777" w:rsidR="00265FDD" w:rsidRDefault="00265FDD" w:rsidP="00265FDD">
      <w:pPr>
        <w:pStyle w:val="aff0"/>
        <w:widowControl/>
        <w:suppressAutoHyphens/>
        <w:autoSpaceDE w:val="0"/>
        <w:autoSpaceDN w:val="0"/>
        <w:adjustRightInd w:val="0"/>
        <w:spacing w:after="0"/>
        <w:ind w:left="0"/>
        <w:contextualSpacing w:val="0"/>
      </w:pPr>
      <w:r>
        <w:rPr>
          <w:rStyle w:val="aff4"/>
        </w:rPr>
        <w:annotationRef/>
      </w:r>
      <w:r>
        <w:t xml:space="preserve">Рекомендую заполнить техническое задание отдельным пунктом, касающимся требований к услуге лизинга: </w:t>
      </w:r>
      <w:r>
        <w:t xml:space="preserve"> </w:t>
      </w:r>
    </w:p>
    <w:p w14:paraId="59208AEB" w14:textId="77777777" w:rsidR="00265FDD" w:rsidRDefault="00265FDD" w:rsidP="00265FDD">
      <w:pPr>
        <w:pStyle w:val="aff0"/>
        <w:widowControl/>
        <w:suppressAutoHyphens/>
        <w:autoSpaceDE w:val="0"/>
        <w:autoSpaceDN w:val="0"/>
        <w:adjustRightInd w:val="0"/>
        <w:spacing w:after="0"/>
        <w:ind w:left="0"/>
        <w:contextualSpacing w:val="0"/>
      </w:pPr>
    </w:p>
    <w:p w14:paraId="507E32D6" w14:textId="77777777" w:rsidR="00265FDD" w:rsidRPr="00265FDD" w:rsidRDefault="00265FDD" w:rsidP="00265FDD">
      <w:pPr>
        <w:pStyle w:val="aff0"/>
        <w:widowControl/>
        <w:suppressAutoHyphens/>
        <w:autoSpaceDE w:val="0"/>
        <w:autoSpaceDN w:val="0"/>
        <w:adjustRightInd w:val="0"/>
        <w:spacing w:after="0"/>
        <w:ind w:left="0"/>
        <w:contextualSpacing w:val="0"/>
        <w:rPr>
          <w:b/>
        </w:rPr>
      </w:pPr>
      <w:r>
        <w:rPr>
          <w:b/>
        </w:rPr>
        <w:t>«</w:t>
      </w:r>
      <w:r w:rsidRPr="00265FDD">
        <w:rPr>
          <w:b/>
        </w:rPr>
        <w:t xml:space="preserve">2. Требования к услуге лизинга: </w:t>
      </w:r>
    </w:p>
    <w:p w14:paraId="147110F0" w14:textId="77777777" w:rsidR="00265FDD" w:rsidRDefault="00265FDD" w:rsidP="00265FDD">
      <w:pPr>
        <w:suppressAutoHyphens/>
        <w:autoSpaceDE w:val="0"/>
        <w:autoSpaceDN w:val="0"/>
        <w:adjustRightInd w:val="0"/>
        <w:spacing w:after="0"/>
        <w:jc w:val="both"/>
      </w:pPr>
      <w:r>
        <w:t xml:space="preserve">Срок лизинга - …. лизинговых периода. </w:t>
      </w:r>
    </w:p>
    <w:p w14:paraId="50A38ED1" w14:textId="77777777" w:rsidR="00265FDD" w:rsidRDefault="00265FDD" w:rsidP="00265FDD">
      <w:pPr>
        <w:suppressAutoHyphens/>
        <w:autoSpaceDE w:val="0"/>
        <w:autoSpaceDN w:val="0"/>
        <w:adjustRightInd w:val="0"/>
        <w:spacing w:after="0"/>
        <w:jc w:val="both"/>
      </w:pPr>
      <w:r>
        <w:t xml:space="preserve">Авансовый платеж – </w:t>
      </w:r>
      <w:r>
        <w:t xml:space="preserve">не предусмотрен. </w:t>
      </w:r>
      <w:r>
        <w:t xml:space="preserve"> </w:t>
      </w:r>
    </w:p>
    <w:p w14:paraId="2DAADAA4" w14:textId="77777777" w:rsidR="00265FDD" w:rsidRDefault="00265FDD" w:rsidP="00265FDD">
      <w:pPr>
        <w:suppressAutoHyphens/>
        <w:autoSpaceDE w:val="0"/>
        <w:autoSpaceDN w:val="0"/>
        <w:adjustRightInd w:val="0"/>
        <w:spacing w:after="0"/>
        <w:jc w:val="both"/>
      </w:pPr>
      <w:r>
        <w:t>График лизинговых платежей – аннуитет</w:t>
      </w:r>
      <w:r>
        <w:t xml:space="preserve"> (равные лизинговые платежи) в рамках календарного года</w:t>
      </w:r>
      <w:r>
        <w:t xml:space="preserve">). </w:t>
      </w:r>
      <w:r>
        <w:t xml:space="preserve">При этом, общая сумма лизинговых платежей в 2025 году не может превышать 1 500 000,00 руб. </w:t>
      </w:r>
    </w:p>
    <w:p w14:paraId="0E92A2F1" w14:textId="77777777" w:rsidR="00265FDD" w:rsidRDefault="00265FDD" w:rsidP="00265FDD">
      <w:pPr>
        <w:suppressAutoHyphens/>
        <w:autoSpaceDE w:val="0"/>
        <w:autoSpaceDN w:val="0"/>
        <w:adjustRightInd w:val="0"/>
        <w:spacing w:after="0"/>
        <w:jc w:val="both"/>
      </w:pPr>
      <w:r>
        <w:t xml:space="preserve">Страхование КАСКО осуществляется Лизингодателем на весь срок лизинга Имущества. </w:t>
      </w:r>
    </w:p>
    <w:p w14:paraId="2A81B777" w14:textId="77777777" w:rsidR="00265FDD" w:rsidRPr="00543E8C" w:rsidRDefault="00265FDD" w:rsidP="00265FDD">
      <w:pPr>
        <w:suppressAutoHyphens/>
        <w:autoSpaceDE w:val="0"/>
        <w:autoSpaceDN w:val="0"/>
        <w:adjustRightInd w:val="0"/>
        <w:spacing w:after="0"/>
        <w:jc w:val="both"/>
      </w:pPr>
      <w:r>
        <w:t xml:space="preserve">Выкупная стоимость – 1000 руб.». </w:t>
      </w:r>
    </w:p>
    <w:p w14:paraId="4D6827BF" w14:textId="77777777" w:rsidR="00265FDD" w:rsidRDefault="00265FDD">
      <w:pPr>
        <w:pStyle w:val="aff5"/>
      </w:pPr>
    </w:p>
    <w:p w14:paraId="2FC9AA39" w14:textId="77777777" w:rsidR="00265FDD" w:rsidRDefault="00265FDD">
      <w:pPr>
        <w:pStyle w:val="aff5"/>
      </w:pPr>
      <w:r>
        <w:t xml:space="preserve">В таком случае все лизинговые компании будут ограничены четкими правилами, избежав неверных трактовок. </w:t>
      </w:r>
    </w:p>
  </w:comment>
  <w:comment w:id="7" w:author="Бардаханов Михаил Рубенович" w:date="2025-04-25T01:38:00Z" w:initials="БМР">
    <w:p w14:paraId="66940C65" w14:textId="77777777" w:rsidR="00265FDD" w:rsidRDefault="00265FDD">
      <w:pPr>
        <w:pStyle w:val="aff5"/>
      </w:pPr>
      <w:r>
        <w:rPr>
          <w:rStyle w:val="aff4"/>
        </w:rPr>
        <w:annotationRef/>
      </w:r>
      <w:r>
        <w:t xml:space="preserve">ПЛ регистрируется в Гостехнадзоре </w:t>
      </w:r>
      <w:bookmarkStart w:id="8" w:name="_GoBack"/>
      <w:bookmarkEnd w:id="8"/>
    </w:p>
  </w:comment>
  <w:comment w:id="9" w:author="Бардаханов Михаил Рубенович" w:date="2025-04-25T01:38:00Z" w:initials="БМР">
    <w:p w14:paraId="58AC67AA" w14:textId="77777777" w:rsidR="00265FDD" w:rsidRDefault="00265FDD">
      <w:pPr>
        <w:pStyle w:val="aff5"/>
      </w:pPr>
      <w:r>
        <w:rPr>
          <w:rStyle w:val="aff4"/>
        </w:rPr>
        <w:annotationRef/>
      </w:r>
      <w:r>
        <w:t xml:space="preserve">Гостехнадзор и ПСМ (ПАСПОРТ САМОХОДНОЙ МАШИНЫ)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C99A33" w15:done="0"/>
  <w15:commentEx w15:paraId="022D75B1" w15:done="0"/>
  <w15:commentEx w15:paraId="2FC9AA39" w15:done="0"/>
  <w15:commentEx w15:paraId="66940C65" w15:done="0"/>
  <w15:commentEx w15:paraId="58AC67A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05DB0" w14:textId="77777777" w:rsidR="009A10D5" w:rsidRDefault="009A10D5">
      <w:pPr>
        <w:spacing w:after="0" w:line="240" w:lineRule="auto"/>
      </w:pPr>
      <w:r>
        <w:separator/>
      </w:r>
    </w:p>
  </w:endnote>
  <w:endnote w:type="continuationSeparator" w:id="0">
    <w:p w14:paraId="68A223CC" w14:textId="77777777" w:rsidR="009A10D5" w:rsidRDefault="009A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F9CF8" w14:textId="77777777" w:rsidR="009A10D5" w:rsidRDefault="009A10D5">
      <w:pPr>
        <w:spacing w:after="0" w:line="240" w:lineRule="auto"/>
      </w:pPr>
      <w:r>
        <w:separator/>
      </w:r>
    </w:p>
  </w:footnote>
  <w:footnote w:type="continuationSeparator" w:id="0">
    <w:p w14:paraId="081A260A" w14:textId="77777777" w:rsidR="009A10D5" w:rsidRDefault="009A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AF4"/>
    <w:multiLevelType w:val="multilevel"/>
    <w:tmpl w:val="650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45EEF"/>
    <w:multiLevelType w:val="multilevel"/>
    <w:tmpl w:val="8FC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A58BE"/>
    <w:multiLevelType w:val="multilevel"/>
    <w:tmpl w:val="7468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0043B"/>
    <w:multiLevelType w:val="multilevel"/>
    <w:tmpl w:val="0B5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13BBC"/>
    <w:multiLevelType w:val="multilevel"/>
    <w:tmpl w:val="C210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7C18"/>
    <w:multiLevelType w:val="multilevel"/>
    <w:tmpl w:val="E0F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B43D7"/>
    <w:multiLevelType w:val="multilevel"/>
    <w:tmpl w:val="B6B8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D26E5"/>
    <w:multiLevelType w:val="multilevel"/>
    <w:tmpl w:val="9588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952E3"/>
    <w:multiLevelType w:val="multilevel"/>
    <w:tmpl w:val="2BE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F121A"/>
    <w:multiLevelType w:val="multilevel"/>
    <w:tmpl w:val="3694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FC40E8"/>
    <w:multiLevelType w:val="multilevel"/>
    <w:tmpl w:val="803C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92AE8"/>
    <w:multiLevelType w:val="multilevel"/>
    <w:tmpl w:val="90CE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025D5"/>
    <w:multiLevelType w:val="multilevel"/>
    <w:tmpl w:val="1C0C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90F61"/>
    <w:multiLevelType w:val="multilevel"/>
    <w:tmpl w:val="41C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90C23"/>
    <w:multiLevelType w:val="multilevel"/>
    <w:tmpl w:val="A6D6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95D23"/>
    <w:multiLevelType w:val="multilevel"/>
    <w:tmpl w:val="B0E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53715"/>
    <w:multiLevelType w:val="multilevel"/>
    <w:tmpl w:val="6D061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88756A"/>
    <w:multiLevelType w:val="multilevel"/>
    <w:tmpl w:val="8F16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  <w:num w:numId="13">
    <w:abstractNumId w:val="17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рдаханов Михаил Рубенович">
    <w15:presenceInfo w15:providerId="None" w15:userId="Бардаханов Михаил Рубен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8F"/>
    <w:rsid w:val="00167D8F"/>
    <w:rsid w:val="00265FDD"/>
    <w:rsid w:val="00714B3B"/>
    <w:rsid w:val="00923ACE"/>
    <w:rsid w:val="009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B5BA"/>
  <w15:docId w15:val="{61E80FE7-597E-4A66-A7C0-916C370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c">
    <w:name w:val="Заголовок Знак"/>
    <w:basedOn w:val="a0"/>
    <w:link w:val="ab"/>
    <w:uiPriority w:val="10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pPr>
      <w:spacing w:before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basedOn w:val="a0"/>
    <w:uiPriority w:val="99"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link w:val="afa"/>
    <w:uiPriority w:val="99"/>
    <w:rPr>
      <w:sz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table" w:styleId="aff">
    <w:name w:val="Table Grid"/>
    <w:basedOn w:val="a1"/>
    <w:uiPriority w:val="59"/>
    <w:qFormat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List Paragraph"/>
    <w:aliases w:val="Маркер,Bullet List,FooterText,numbered,Абзац списка нумерованный,Use Case List Paragraph"/>
    <w:basedOn w:val="a"/>
    <w:link w:val="aff1"/>
    <w:uiPriority w:val="34"/>
    <w:qFormat/>
    <w:pPr>
      <w:widowControl w:val="0"/>
      <w:spacing w:line="240" w:lineRule="auto"/>
      <w:ind w:left="720"/>
      <w:contextualSpacing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ff2">
    <w:name w:val="No Spacing"/>
    <w:link w:val="aff3"/>
    <w:uiPriority w:val="1"/>
    <w:qFormat/>
    <w:pPr>
      <w:spacing w:after="0" w:line="240" w:lineRule="auto"/>
    </w:pPr>
    <w:rPr>
      <w:rFonts w:eastAsia="Times New Roman" w:cs="Times New Roman"/>
    </w:rPr>
  </w:style>
  <w:style w:type="character" w:customStyle="1" w:styleId="aff3">
    <w:name w:val="Без интервала Знак"/>
    <w:link w:val="aff2"/>
    <w:uiPriority w:val="1"/>
    <w:qFormat/>
    <w:rPr>
      <w:rFonts w:eastAsia="Times New Roman" w:cs="Times New Roman"/>
    </w:rPr>
  </w:style>
  <w:style w:type="character" w:customStyle="1" w:styleId="aff1">
    <w:name w:val="Абзац списка Знак"/>
    <w:aliases w:val="Маркер Знак,Bullet List Знак,FooterText Знак,numbered Знак,Абзац списка нумерованный Знак,Use Case List Paragraph Знак"/>
    <w:link w:val="aff0"/>
    <w:uiPriority w:val="34"/>
    <w:qFormat/>
    <w:rPr>
      <w:rFonts w:ascii="Times New Roman" w:eastAsia="Times New Roman" w:hAnsi="Times New Roman" w:cs="Mangal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sz w:val="20"/>
      <w:szCs w:val="20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before="36" w:after="0" w:line="240" w:lineRule="auto"/>
      <w:ind w:left="107"/>
    </w:pPr>
    <w:rPr>
      <w:rFonts w:ascii="Times New Roman" w:hAnsi="Times New Roman"/>
    </w:rPr>
  </w:style>
  <w:style w:type="paragraph" w:customStyle="1" w:styleId="nltext5">
    <w:name w:val="nl_text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Pr>
      <w:rFonts w:ascii="Arial" w:hAnsi="Arial" w:cs="Arial" w:hint="default"/>
      <w:sz w:val="12"/>
      <w:szCs w:val="12"/>
    </w:rPr>
  </w:style>
  <w:style w:type="table" w:customStyle="1" w:styleId="13">
    <w:name w:val="Сетка таблицы1"/>
    <w:basedOn w:val="a1"/>
    <w:next w:val="aff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annotation reference"/>
    <w:basedOn w:val="a0"/>
    <w:uiPriority w:val="99"/>
    <w:semiHidden/>
    <w:unhideWhenUsed/>
    <w:rsid w:val="00265FD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265FDD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265FDD"/>
    <w:rPr>
      <w:rFonts w:eastAsia="Times New Roman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265FD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265FDD"/>
    <w:rPr>
      <w:rFonts w:eastAsia="Times New Roman" w:cs="Times New Roman"/>
      <w:b/>
      <w:bCs/>
      <w:sz w:val="20"/>
      <w:szCs w:val="20"/>
    </w:rPr>
  </w:style>
  <w:style w:type="paragraph" w:styleId="aff9">
    <w:name w:val="Balloon Text"/>
    <w:basedOn w:val="a"/>
    <w:link w:val="affa"/>
    <w:uiPriority w:val="99"/>
    <w:semiHidden/>
    <w:unhideWhenUsed/>
    <w:rsid w:val="0026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265F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499073&amp;dst=100747" TargetMode="External"/><Relationship Id="rId2" Type="http://schemas.openxmlformats.org/officeDocument/2006/relationships/hyperlink" Target="https://login.consultant.ru/link/?req=doc&amp;base=LAW&amp;n=499073&amp;dst=100005" TargetMode="External"/><Relationship Id="rId1" Type="http://schemas.openxmlformats.org/officeDocument/2006/relationships/hyperlink" Target="https://login.consultant.ru/link/?req=doc&amp;base=LAW&amp;n=499073&amp;dst=100137" TargetMode="External"/><Relationship Id="rId4" Type="http://schemas.openxmlformats.org/officeDocument/2006/relationships/hyperlink" Target="https://login.consultant.ru/link/?req=doc&amp;base=LAW&amp;n=499073&amp;dst=102045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Бардаханов Михаил Рубенович</cp:lastModifiedBy>
  <cp:revision>50</cp:revision>
  <dcterms:created xsi:type="dcterms:W3CDTF">2023-09-26T12:03:00Z</dcterms:created>
  <dcterms:modified xsi:type="dcterms:W3CDTF">2025-04-24T17:46:00Z</dcterms:modified>
</cp:coreProperties>
</file>