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7A9E" w14:textId="47642087" w:rsidR="00627E02" w:rsidRPr="0082030C" w:rsidRDefault="00627E02" w:rsidP="00627E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ТЕХНИЧЕСКОЕ ЗАДАНИЕ </w:t>
      </w:r>
      <w:r w:rsidRPr="008203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C0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</w:p>
    <w:p w14:paraId="0EFCD69E" w14:textId="77777777" w:rsidR="00627E02" w:rsidRPr="0082030C" w:rsidRDefault="00627E02" w:rsidP="00627E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поставку мазута топочного марки М-100- топлива для котельных </w:t>
      </w:r>
      <w:bookmarkStart w:id="0" w:name="_Hlk173924994"/>
      <w:r w:rsidRPr="0082030C">
        <w:rPr>
          <w:rFonts w:ascii="Times New Roman" w:eastAsia="Times New Roman" w:hAnsi="Times New Roman"/>
          <w:b/>
          <w:sz w:val="24"/>
          <w:szCs w:val="24"/>
          <w:lang w:eastAsia="ru-RU"/>
        </w:rPr>
        <w:t>АО</w:t>
      </w:r>
      <w:r w:rsidRPr="0082030C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</w:t>
      </w:r>
      <w:r w:rsidRPr="0082030C">
        <w:rPr>
          <w:rFonts w:ascii="Times New Roman" w:eastAsia="Times New Roman" w:hAnsi="Times New Roman"/>
          <w:b/>
          <w:sz w:val="24"/>
          <w:szCs w:val="24"/>
          <w:lang w:eastAsia="ru-RU"/>
        </w:rPr>
        <w:t>«АТГК»</w:t>
      </w:r>
      <w:bookmarkEnd w:id="0"/>
    </w:p>
    <w:p w14:paraId="14C22F5D" w14:textId="77777777" w:rsidR="00627E02" w:rsidRPr="0082030C" w:rsidRDefault="00627E02" w:rsidP="00627E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9FAC98" w14:textId="77777777" w:rsidR="00627E02" w:rsidRPr="0082030C" w:rsidRDefault="00627E02" w:rsidP="00627E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AD2AB2" w14:textId="77777777" w:rsidR="00627E02" w:rsidRPr="0082030C" w:rsidRDefault="00627E02" w:rsidP="00627E02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Покупатель: АО </w:t>
      </w:r>
      <w:r w:rsidRPr="0082030C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«АТГК</w:t>
      </w:r>
      <w:r w:rsidRPr="0082030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14:paraId="2E4BC2A9" w14:textId="07575CAB" w:rsidR="00627E02" w:rsidRPr="0082030C" w:rsidRDefault="00627E02" w:rsidP="00627E02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Максимальный объем заказываемого товара: </w:t>
      </w:r>
      <w:r w:rsidR="00340B10">
        <w:rPr>
          <w:rFonts w:ascii="Times New Roman" w:eastAsia="Times New Roman" w:hAnsi="Times New Roman"/>
          <w:sz w:val="24"/>
          <w:szCs w:val="24"/>
          <w:lang w:eastAsia="ru-RU"/>
        </w:rPr>
        <w:t>400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,00 тонн.</w:t>
      </w:r>
    </w:p>
    <w:p w14:paraId="2B7798A0" w14:textId="420D0DC7" w:rsidR="00627E02" w:rsidRPr="0082030C" w:rsidRDefault="00627E02" w:rsidP="00627E02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(адрес) поставки товара: Архангельская область, склады Покупателя согласно Спецификации № </w:t>
      </w:r>
      <w:r w:rsidR="00E1755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</w:t>
      </w:r>
      <w:r w:rsidR="00E1755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к Договору).</w:t>
      </w:r>
    </w:p>
    <w:p w14:paraId="2626F3B0" w14:textId="0061A5CD" w:rsidR="00627E02" w:rsidRPr="0082030C" w:rsidRDefault="00627E02" w:rsidP="00627E02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поставки: с момента заключения договора до 31 </w:t>
      </w:r>
      <w:r w:rsidR="008606AE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2025 года согласно периоду поставки, указанному в Спецификации № </w:t>
      </w:r>
      <w:r w:rsidR="00E1755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</w:t>
      </w:r>
      <w:r w:rsidR="00E1755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к Договору).</w:t>
      </w:r>
    </w:p>
    <w:p w14:paraId="3F5F7E4E" w14:textId="77777777" w:rsidR="00627E02" w:rsidRPr="0082030C" w:rsidRDefault="00627E02" w:rsidP="00627E02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Условия поставки товара:</w:t>
      </w:r>
    </w:p>
    <w:p w14:paraId="4D7D483B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Поставка товара производится согласно плану-графику поставки и на основании письменных заявок Покупателя.</w:t>
      </w:r>
    </w:p>
    <w:p w14:paraId="5A48EDBA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товар переходит от Поставщика к Покупателю с момента передачи товара на складе Покупателя, при условии соответствия передаваемого товара номенклатуре, качеству, количеству, а также наличию оригиналов правильно оформленных документов, подтверждающих номенклатуру и количество поставленной продукции (железнодорожная накладная, товарно-транспортная накладная, счет-фактура и сертификат качества).</w:t>
      </w:r>
    </w:p>
    <w:p w14:paraId="3AD4E0CC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В случае поставки товара без оригиналов правильно оформленных сопроводительных документов на поставленный товар, отсутствия документов, подтверждающих качество продукции, поставленный товар принимается на ответственное хранение, и датой перехода права собственности на товар от Поставщика Покупателю является дата получения Покупателем правильно оформленных оригиналов документов, подтверждающих номенклатуру, количество и качество поставленной продукции.</w:t>
      </w:r>
    </w:p>
    <w:p w14:paraId="13C0BEFD" w14:textId="77777777" w:rsidR="00627E02" w:rsidRPr="0082030C" w:rsidRDefault="00627E02" w:rsidP="00627E02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Требования к качественным и техническим характеристикам товара и иные установленные Покупателем требования. Предлагаемый к поставке Товар должен отвечать следующим основным требованиям:</w:t>
      </w:r>
    </w:p>
    <w:p w14:paraId="646BB152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Товар должен соответствовать требованиям безопасности применения по ГОСТ 10585-2013 нормам показателей качества и иметь следующие качественные характеристики:</w:t>
      </w:r>
    </w:p>
    <w:p w14:paraId="127E8696" w14:textId="77777777" w:rsidR="00627E02" w:rsidRPr="0082030C" w:rsidRDefault="00627E02" w:rsidP="00627E02">
      <w:pPr>
        <w:spacing w:after="0" w:line="240" w:lineRule="auto"/>
        <w:ind w:left="851" w:hanging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AFDDC45" w14:textId="77777777" w:rsidR="00627E02" w:rsidRPr="0082030C" w:rsidRDefault="00627E02" w:rsidP="00627E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Мазут топочный марки М-100 ГОСТ 10585-2013: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4738"/>
        <w:gridCol w:w="2759"/>
      </w:tblGrid>
      <w:tr w:rsidR="00627E02" w:rsidRPr="0082030C" w14:paraId="229909A5" w14:textId="77777777" w:rsidTr="00266C37">
        <w:tc>
          <w:tcPr>
            <w:tcW w:w="1883" w:type="dxa"/>
            <w:shd w:val="clear" w:color="auto" w:fill="auto"/>
            <w:vAlign w:val="center"/>
          </w:tcPr>
          <w:p w14:paraId="17F80A40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1AE0228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B958842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</w:tr>
      <w:tr w:rsidR="00627E02" w:rsidRPr="0082030C" w14:paraId="7BF6F295" w14:textId="77777777" w:rsidTr="00266C37">
        <w:tc>
          <w:tcPr>
            <w:tcW w:w="1883" w:type="dxa"/>
            <w:shd w:val="clear" w:color="auto" w:fill="auto"/>
            <w:vAlign w:val="center"/>
          </w:tcPr>
          <w:p w14:paraId="6413C539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5820415" w14:textId="77777777" w:rsidR="00627E02" w:rsidRPr="0082030C" w:rsidRDefault="00627E02" w:rsidP="00266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Вязкость условная при 100</w:t>
            </w:r>
            <w:r w:rsidRPr="0082030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 градусы ВУ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7E37471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6.80</w:t>
            </w:r>
          </w:p>
        </w:tc>
      </w:tr>
      <w:tr w:rsidR="00627E02" w:rsidRPr="0082030C" w14:paraId="710834A9" w14:textId="77777777" w:rsidTr="00266C37">
        <w:tc>
          <w:tcPr>
            <w:tcW w:w="1883" w:type="dxa"/>
            <w:shd w:val="clear" w:color="auto" w:fill="auto"/>
            <w:vAlign w:val="center"/>
          </w:tcPr>
          <w:p w14:paraId="4BC52EAC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69C4FBA" w14:textId="77777777" w:rsidR="00627E02" w:rsidRPr="0082030C" w:rsidRDefault="00627E02" w:rsidP="00266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Зольность % масс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5AB8B35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0,05</w:t>
            </w:r>
          </w:p>
        </w:tc>
      </w:tr>
      <w:tr w:rsidR="00627E02" w:rsidRPr="0082030C" w14:paraId="6537D8C2" w14:textId="77777777" w:rsidTr="00266C37">
        <w:tc>
          <w:tcPr>
            <w:tcW w:w="1883" w:type="dxa"/>
            <w:shd w:val="clear" w:color="auto" w:fill="auto"/>
            <w:vAlign w:val="center"/>
          </w:tcPr>
          <w:p w14:paraId="62D93160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14824FD" w14:textId="77777777" w:rsidR="00627E02" w:rsidRPr="0082030C" w:rsidRDefault="00627E02" w:rsidP="00266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Массовая доля механических примесей, %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7BFD415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1,0</w:t>
            </w:r>
          </w:p>
        </w:tc>
      </w:tr>
      <w:tr w:rsidR="00627E02" w:rsidRPr="0082030C" w14:paraId="7554E356" w14:textId="77777777" w:rsidTr="00266C37">
        <w:tc>
          <w:tcPr>
            <w:tcW w:w="1883" w:type="dxa"/>
            <w:shd w:val="clear" w:color="auto" w:fill="auto"/>
            <w:vAlign w:val="center"/>
          </w:tcPr>
          <w:p w14:paraId="2A836DFC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F1F186B" w14:textId="77777777" w:rsidR="00627E02" w:rsidRPr="0082030C" w:rsidRDefault="00627E02" w:rsidP="00266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Массовая доля воды, %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6F8795E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1,0</w:t>
            </w:r>
          </w:p>
        </w:tc>
      </w:tr>
      <w:tr w:rsidR="00627E02" w:rsidRPr="0082030C" w14:paraId="57128A48" w14:textId="77777777" w:rsidTr="00266C37">
        <w:tc>
          <w:tcPr>
            <w:tcW w:w="1883" w:type="dxa"/>
            <w:shd w:val="clear" w:color="auto" w:fill="auto"/>
            <w:vAlign w:val="center"/>
          </w:tcPr>
          <w:p w14:paraId="54A2526D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24106EC" w14:textId="77777777" w:rsidR="00627E02" w:rsidRPr="0082030C" w:rsidRDefault="00627E02" w:rsidP="00266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Массовая доля серы, %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3B37815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3,00</w:t>
            </w:r>
          </w:p>
        </w:tc>
      </w:tr>
      <w:tr w:rsidR="00627E02" w:rsidRPr="0082030C" w14:paraId="0DE20EAC" w14:textId="77777777" w:rsidTr="00266C37">
        <w:tc>
          <w:tcPr>
            <w:tcW w:w="1883" w:type="dxa"/>
            <w:shd w:val="clear" w:color="auto" w:fill="auto"/>
            <w:vAlign w:val="center"/>
          </w:tcPr>
          <w:p w14:paraId="7D4FBF06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7604555" w14:textId="77777777" w:rsidR="00627E02" w:rsidRPr="0082030C" w:rsidRDefault="00627E02" w:rsidP="00266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сероводорода, </w:t>
            </w:r>
            <w:r w:rsidRPr="008203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ppm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350CD55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</w:t>
            </w:r>
          </w:p>
        </w:tc>
      </w:tr>
      <w:tr w:rsidR="00627E02" w:rsidRPr="0082030C" w14:paraId="206A64E7" w14:textId="77777777" w:rsidTr="00266C37">
        <w:tc>
          <w:tcPr>
            <w:tcW w:w="1883" w:type="dxa"/>
            <w:shd w:val="clear" w:color="auto" w:fill="auto"/>
            <w:vAlign w:val="center"/>
          </w:tcPr>
          <w:p w14:paraId="34599954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C5BF1DF" w14:textId="77777777" w:rsidR="00627E02" w:rsidRPr="0082030C" w:rsidRDefault="00627E02" w:rsidP="00266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Температура вспышки в открытом тигле </w:t>
            </w:r>
            <w:proofErr w:type="spellStart"/>
            <w:r w:rsidRPr="0082030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2943" w:type="dxa"/>
            <w:shd w:val="clear" w:color="auto" w:fill="auto"/>
            <w:vAlign w:val="center"/>
          </w:tcPr>
          <w:p w14:paraId="1E5AE75C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ниже 110</w:t>
            </w:r>
          </w:p>
        </w:tc>
      </w:tr>
      <w:tr w:rsidR="00627E02" w:rsidRPr="0082030C" w14:paraId="5D9F04B6" w14:textId="77777777" w:rsidTr="00266C37">
        <w:tc>
          <w:tcPr>
            <w:tcW w:w="1883" w:type="dxa"/>
            <w:shd w:val="clear" w:color="auto" w:fill="auto"/>
            <w:vAlign w:val="center"/>
          </w:tcPr>
          <w:p w14:paraId="2CADB967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FAE62D6" w14:textId="77777777" w:rsidR="00627E02" w:rsidRPr="0082030C" w:rsidRDefault="00627E02" w:rsidP="00266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Температура застывания, </w:t>
            </w:r>
            <w:proofErr w:type="spellStart"/>
            <w:r w:rsidRPr="0082030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2943" w:type="dxa"/>
            <w:shd w:val="clear" w:color="auto" w:fill="auto"/>
            <w:vAlign w:val="center"/>
          </w:tcPr>
          <w:p w14:paraId="00126AFC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выше 25</w:t>
            </w:r>
          </w:p>
        </w:tc>
      </w:tr>
      <w:tr w:rsidR="00627E02" w:rsidRPr="0082030C" w14:paraId="29218C43" w14:textId="77777777" w:rsidTr="00266C37">
        <w:tc>
          <w:tcPr>
            <w:tcW w:w="1883" w:type="dxa"/>
            <w:shd w:val="clear" w:color="auto" w:fill="auto"/>
            <w:vAlign w:val="center"/>
          </w:tcPr>
          <w:p w14:paraId="388498AE" w14:textId="77777777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1E2152A" w14:textId="77777777" w:rsidR="00627E02" w:rsidRPr="0082030C" w:rsidRDefault="00627E02" w:rsidP="00266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Теплота сгорания низшая в пересчете на сухое состояние кДж/м3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952D0CF" w14:textId="2F2D0A9A" w:rsidR="00627E02" w:rsidRPr="0082030C" w:rsidRDefault="00627E02" w:rsidP="0026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2C0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</w:t>
            </w:r>
            <w:r w:rsidRPr="00820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14:paraId="070EB1DF" w14:textId="77777777" w:rsidR="00627E02" w:rsidRPr="0082030C" w:rsidRDefault="00627E02" w:rsidP="00627E02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9CA6F15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Функциональные характеристики товара должны соответствовать требованиям нормативных документов РФ.</w:t>
      </w:r>
    </w:p>
    <w:p w14:paraId="461465E0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Товар должен быть заготовлен не ранее, чем в 2024 году (подтверждается Сертификатом с протоколом испытаний).</w:t>
      </w:r>
    </w:p>
    <w:p w14:paraId="179515C6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несёт ответственность за ненадлежащее качество поставленного товара, 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 также за предоставление товара, обременённого правами третьих лиц.</w:t>
      </w:r>
    </w:p>
    <w:p w14:paraId="4D7106C6" w14:textId="77777777" w:rsidR="00627E02" w:rsidRPr="0082030C" w:rsidRDefault="00627E02" w:rsidP="00627E0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Гарантии:</w:t>
      </w:r>
    </w:p>
    <w:p w14:paraId="041DBC77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Поставщик гарантирует качество и безопасность на весь объем поставляемого Товара в соответствии с действующими стандартами, утвержденными в отношении каждого вида Товара, и наличие документов, обязательных для данного вида Товара, оформленных в соответствии с законодательством Российской Федерации.</w:t>
      </w:r>
    </w:p>
    <w:p w14:paraId="03D3CF3E" w14:textId="5A0ED4DF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быть подтверждено сертификатом (паспортом) качества на каждую партию Товара, сертификатом соответствия, содержащими сведения о характеристиках, указанных в п. 5 Спецификации № </w:t>
      </w:r>
      <w:r w:rsidR="00E1755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</w:t>
      </w:r>
      <w:r w:rsidR="00E1755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к Договору).</w:t>
      </w:r>
    </w:p>
    <w:p w14:paraId="6FC21EDD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Сертификат (паспорт) качества должен соответствовать требованиям нормативной документации.</w:t>
      </w:r>
    </w:p>
    <w:p w14:paraId="0526FDF9" w14:textId="77777777" w:rsidR="00627E02" w:rsidRPr="0082030C" w:rsidRDefault="00627E02" w:rsidP="00627E0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Требования, предъявляемые к Поставщику:</w:t>
      </w:r>
    </w:p>
    <w:p w14:paraId="43E9EC55" w14:textId="4FB905EA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осуществлении доставки товара Поставщик обязан иметь разрешительные документы на осуществление перевозок опасных грузов. Соответствие данному требованию подтверждается путем предоставления </w:t>
      </w:r>
      <w:r w:rsidR="006C1F24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заверенной копии соответствующих документов, либо надлежаще заверенную копию договора на оказание услуг с организацией, имеющей такие действующие документы. Поставщик обязан предоставить все документы, подтверждающие право перевозки груза по всей цепочке.</w:t>
      </w:r>
    </w:p>
    <w:p w14:paraId="001C5F89" w14:textId="13AA17BA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Несоответствие требованию п. 8.1 Технического задания будет являться достаточным основанием для </w:t>
      </w:r>
      <w:r w:rsidR="006C1F24">
        <w:rPr>
          <w:rFonts w:ascii="Times New Roman" w:eastAsia="Times New Roman" w:hAnsi="Times New Roman"/>
          <w:sz w:val="24"/>
          <w:szCs w:val="24"/>
          <w:lang w:eastAsia="ru-RU"/>
        </w:rPr>
        <w:t>одностороннего расторжения договора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89B866" w14:textId="076EF3F8" w:rsidR="00627E02" w:rsidRPr="0082030C" w:rsidRDefault="006C1F24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627E02"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иметь на праве собственности или ином законном праве материально-технические ресурсы </w:t>
      </w:r>
    </w:p>
    <w:p w14:paraId="4D7412A6" w14:textId="77777777" w:rsidR="00627E02" w:rsidRPr="0082030C" w:rsidRDefault="00627E02" w:rsidP="006C1F24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993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автотранспорт в количестве не менее 5 (пяти) единиц, достаточном для осуществления доставки товара в объеме, указанном в п. 2 Технического задания. Привлекаемые транспортные средства должны быть надлежащим образом зарегистрированы, оборудованы и иметь полный комплект документов, подтверждающих право перевозки опасных грузов</w:t>
      </w:r>
    </w:p>
    <w:p w14:paraId="78FC3A40" w14:textId="3C477B79" w:rsidR="00627E02" w:rsidRPr="0082030C" w:rsidRDefault="00627E02" w:rsidP="006C1F24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993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Соответствие п. 8.3.1 Технического задания подтверждается путем предоставления </w:t>
      </w:r>
      <w:r w:rsidR="006C1F24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соответствующих сведений по форме «Справка о материально-технических ресурсах», с обязательным приложением копии документа, подтверждающего право владения или распоряжения материально-техническими ресурсами (автотранспорт).</w:t>
      </w:r>
    </w:p>
    <w:p w14:paraId="7F53A22E" w14:textId="1719E394" w:rsidR="00627E02" w:rsidRPr="0082030C" w:rsidRDefault="00627E02" w:rsidP="006C1F24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993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Несоответствие требованию п. 8.3.2 Технического задания будет являться достаточным основанием для </w:t>
      </w:r>
      <w:r w:rsidR="006C1F24">
        <w:rPr>
          <w:rFonts w:ascii="Times New Roman" w:eastAsia="Times New Roman" w:hAnsi="Times New Roman"/>
          <w:sz w:val="24"/>
          <w:szCs w:val="24"/>
          <w:lang w:eastAsia="ru-RU"/>
        </w:rPr>
        <w:t>одностороннего расторжения договора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681C582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Поставщик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Поставщика не должна быть приостановлена.</w:t>
      </w:r>
    </w:p>
    <w:p w14:paraId="7B82DD5F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Поставщик не должен находится в реестре недобросовестных поставщиков.</w:t>
      </w:r>
    </w:p>
    <w:p w14:paraId="66737AD9" w14:textId="77777777" w:rsidR="00627E02" w:rsidRPr="0082030C" w:rsidRDefault="00627E02" w:rsidP="00627E02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Приёмка товара.</w:t>
      </w:r>
    </w:p>
    <w:p w14:paraId="773CC20D" w14:textId="56D1FB26" w:rsidR="00627E02" w:rsidRPr="0082030C" w:rsidRDefault="00627E02" w:rsidP="00627E02">
      <w:pPr>
        <w:numPr>
          <w:ilvl w:val="1"/>
          <w:numId w:val="1"/>
        </w:numPr>
        <w:tabs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Товара по количеству и качеству осуществляется Покупателем в день его поставки в пункте назначения согласно Спецификации № </w:t>
      </w:r>
      <w:r w:rsidR="006C1F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</w:t>
      </w:r>
      <w:r w:rsidR="006C1F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к Договору).</w:t>
      </w:r>
    </w:p>
    <w:p w14:paraId="70ED6A26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Отгрузка товара в течение периода поставки производится автотранспортом до складов Покупателя. </w:t>
      </w:r>
    </w:p>
    <w:p w14:paraId="5F0E36B4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Поставка осуществляется специализированным транспортом (автоцистернами) с нижним сливом в разогретом состоянии. Выгрузка осуществляется в емкости Заказчика путем слива при температуре 60-80 градусов</w:t>
      </w:r>
    </w:p>
    <w:p w14:paraId="3F557DD1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закупки в месте загрузки Товара в транспортные средства обязан за свой счет обеспечить взвешивание транспортных средств до и после погрузки для 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точного определения количества товара в каждом транспортном средств и надлежащего оформления товаротранспортных документов. </w:t>
      </w:r>
      <w:r w:rsidRPr="0082030C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 закупки предоставляет документы на право собственности, аренды или иного права владения и распоряжения</w:t>
      </w: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такие средства измерения и действующий сертификат их поверки уполномоченной организацией. Транспортные средства после погрузки товара до взвешивания должны быть надлежащим образом опломбированы.</w:t>
      </w:r>
    </w:p>
    <w:p w14:paraId="4DC8A061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Приемка производится в рабочее время Заказчика с 8-00 до 17-00 часов московского времени (Приемка в выходные и праздничные дни, а также в нерабочее время (после 17-00) возможна только по письменному согласованию с Покупателем).</w:t>
      </w:r>
    </w:p>
    <w:p w14:paraId="24BD80D5" w14:textId="77777777" w:rsidR="00627E02" w:rsidRPr="0082030C" w:rsidRDefault="00627E02" w:rsidP="00627E02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30C">
        <w:rPr>
          <w:rFonts w:ascii="Times New Roman" w:eastAsia="Times New Roman" w:hAnsi="Times New Roman"/>
          <w:sz w:val="24"/>
          <w:szCs w:val="24"/>
          <w:lang w:eastAsia="ru-RU"/>
        </w:rPr>
        <w:t>В местах доставки приемка товара производится совместно с представителем Покупателя с подписанием соответствующих документов.</w:t>
      </w:r>
    </w:p>
    <w:p w14:paraId="15042BD2" w14:textId="77777777" w:rsidR="00627E02" w:rsidRPr="0082030C" w:rsidRDefault="00627E02" w:rsidP="00627E0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11D2DB" w14:textId="77777777" w:rsidR="00627E02" w:rsidRPr="0082030C" w:rsidRDefault="00627E02" w:rsidP="00627E0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D304E9" w14:textId="77777777" w:rsidR="00627E02" w:rsidRPr="0082030C" w:rsidRDefault="00627E02" w:rsidP="00627E0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020F4" w14:textId="77777777" w:rsidR="00627E02" w:rsidRPr="0082030C" w:rsidRDefault="00627E02" w:rsidP="00627E0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27E02" w:rsidRPr="0082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CC"/>
    <w:multiLevelType w:val="multilevel"/>
    <w:tmpl w:val="78E469D6"/>
    <w:lvl w:ilvl="0">
      <w:start w:val="1"/>
      <w:numFmt w:val="decimal"/>
      <w:lvlText w:val="%1."/>
      <w:lvlJc w:val="left"/>
      <w:pPr>
        <w:ind w:left="114" w:hanging="22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" w:hanging="43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hanging="560"/>
      </w:pPr>
      <w:rPr>
        <w:rFonts w:ascii="Times New Roman" w:eastAsia="Times New Roman" w:hAnsi="Times New Roman" w:hint="default"/>
        <w:color w:val="222222"/>
        <w:sz w:val="24"/>
        <w:szCs w:val="24"/>
      </w:rPr>
    </w:lvl>
    <w:lvl w:ilvl="3">
      <w:start w:val="1"/>
      <w:numFmt w:val="bullet"/>
      <w:lvlText w:val="•"/>
      <w:lvlJc w:val="left"/>
      <w:pPr>
        <w:ind w:left="3081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9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8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560"/>
      </w:pPr>
      <w:rPr>
        <w:rFonts w:hint="default"/>
      </w:rPr>
    </w:lvl>
  </w:abstractNum>
  <w:abstractNum w:abstractNumId="1" w15:restartNumberingAfterBreak="0">
    <w:nsid w:val="48BC08D9"/>
    <w:multiLevelType w:val="multilevel"/>
    <w:tmpl w:val="7EF01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1C1A97"/>
    <w:multiLevelType w:val="multilevel"/>
    <w:tmpl w:val="7116F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B755141"/>
    <w:multiLevelType w:val="multilevel"/>
    <w:tmpl w:val="A8B6F0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" w15:restartNumberingAfterBreak="0">
    <w:nsid w:val="5CD10E74"/>
    <w:multiLevelType w:val="multilevel"/>
    <w:tmpl w:val="4844A9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769A3589"/>
    <w:multiLevelType w:val="hybridMultilevel"/>
    <w:tmpl w:val="EF40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26"/>
    <w:rsid w:val="002C0DF4"/>
    <w:rsid w:val="00340B10"/>
    <w:rsid w:val="00627E02"/>
    <w:rsid w:val="006A2F06"/>
    <w:rsid w:val="006C1F24"/>
    <w:rsid w:val="007A1126"/>
    <w:rsid w:val="008606AE"/>
    <w:rsid w:val="00D31FD6"/>
    <w:rsid w:val="00E1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A9DA"/>
  <w15:chartTrackingRefBased/>
  <w15:docId w15:val="{D92E2954-8CA6-4494-B7BF-40680A0D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E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"/>
    <w:link w:val="a4"/>
    <w:uiPriority w:val="34"/>
    <w:qFormat/>
    <w:rsid w:val="00627E02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3"/>
    <w:uiPriority w:val="34"/>
    <w:qFormat/>
    <w:locked/>
    <w:rsid w:val="00627E02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2025-04-10T11:52:00Z</dcterms:created>
  <dcterms:modified xsi:type="dcterms:W3CDTF">2025-05-15T08:22:00Z</dcterms:modified>
</cp:coreProperties>
</file>