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4"/>
        <w:shd w:val="clear" w:color="auto" w:fill="auto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</w:p>
    <w:p>
      <w:pPr>
        <w:pStyle w:val="54"/>
        <w:shd w:val="clear" w:fill="FFFFFF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на поставку счетчиков</w:t>
      </w:r>
    </w:p>
    <w:p>
      <w:pPr>
        <w:pStyle w:val="54"/>
        <w:shd w:val="clear" w:color="auto" w:fill="auto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ind w:left="-567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1003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1458"/>
        <w:gridCol w:w="7375"/>
        <w:gridCol w:w="675"/>
      </w:tblGrid>
      <w:tr>
        <w:trPr>
          <w:trHeight w:val="414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Характеристика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Счетчик электроэнергии CE207 R7.849.2.OA.QUVLF SPds (или эквивалент)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Многофункциональный однофазный счетчик электроэнергии непосредственного включения.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Поддержка протокола обмена СПОДЭС (ГОСТ Р 58940-2020).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Исполнения с модулями связи PLC G3, RS485, GSM/GPRS, комбинированный NB-IoT/GPRS.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Измерение показателей качества электроэнергии по классу «S»: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положительное и отрицательное отклонение напряжения;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отклонение частоты сети;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длительность и глубина провала напряжения;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длительность и максимальное значение перенапряжения;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перерывы электроснабжения.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Измерение параметров сети: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частоты напряжения;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токов;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напряжений;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углов между током и напряжением;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коэффициентов мощности;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активной мощности;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реактивной мощности;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полной мощности.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Измерение тока в нулевом проводе.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Анализ качества электроэнергии. Фиксация нарушения индивидуальных параметров качества электроснабжения (ПКЭ).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Контроль наличия внешнего переменного и постоянного магнитного поля.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Защита информации.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Защита от несанкционированного доступа.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Фиксирование несанкционированного доступа к прибору.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Объем журнала событий превышает 500 записей.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Датчик магнитного поля.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Журналы событий.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Самодиагностика.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Программируемое реле управления нагрузкой, срабатывающее: по запросу системы, при превышении пределов, при попытке несанкционированного доступа.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Хранение профилей принятой и отданной активной и реактивной энергии 128 суток при времени интегрирования 30 минут.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Программируемый интервал времени интегрирования от 1 минуты до 60 минут.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Отображение на ЖКИ.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Даты и времени.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Потребленной энергии суммарно и по тарифам.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Активной и реактивной мощности, напряжения, тока и частоты.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Энергии на конец последнего расчетного периода суммарно и по тарифам.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Режима приема и отдачи электрической энергии.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Факта нарушения индивидуальных ПКЭ.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Небаланса токов в фазном и нулевом проводе.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Вскрытие электронных пломб.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Факт события воздействия магнитом.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Индикатор функционирования.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Корректировка даты, времени, часового пояса.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Изменение тарифного расписания.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Изменение состава и последовательности вывода индикации на ЖКИ.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Программирование параметров фиксации индивидуальных ПКЭ.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Изменение даты расчетного периода.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Изменение паролей доступа и ключей шифрования.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Трёхпозиционный переключатель в качестве аппаратной блокировки реле с режимами Выкл, Авто, Вкл.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Исполнения с отсеком для установки сменного модуля связи (опционально).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Программное 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Встроенное  программное обеспечение счетчика электроэнергии однофазного многофункционального поставляется в составе счетчика, предустановленным на заводе изготовителе и отдельно не предоставляется. В программном обеспечении  реализованы все перечисленные функциональные возможности счетчика.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tbl>
            <w:tblPr>
              <w:tblW w:w="9638" w:type="dxa"/>
              <w:jc w:val="left"/>
              <w:tblInd w:w="0" w:type="dxa"/>
              <w:shd w:fill="FFFFFF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55"/>
              <w:gridCol w:w="4883"/>
            </w:tblGrid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9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Показатели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9"/>
                    <w:spacing w:before="0" w:after="0"/>
                    <w:ind w:left="0" w:right="0" w:hanging="0"/>
                    <w:jc w:val="left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 xml:space="preserve">            </w:t>
                  </w:r>
                  <w:r>
                    <w:rPr>
                      <w:b/>
                      <w:color w:val="333333"/>
                    </w:rPr>
                    <w:t>Величины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Класс точности по активной/реактивной энергии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1/2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DFDFD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Номинальное напряжение, В</w:t>
                  </w:r>
                </w:p>
              </w:tc>
              <w:tc>
                <w:tcPr>
                  <w:tcW w:w="4883" w:type="dxa"/>
                  <w:tcBorders/>
                  <w:shd w:fill="DFDFD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230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Базовый (максимальный) ток, А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 (80)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Стартовый ток (чувствительность), мА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20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Частота измерительной сети, Гц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50±2,5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Число тарифов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4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Время усреднения профилей нагрузки, мин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 xml:space="preserve">1; 2; 3; 4; 5; 6; 10; 12; 15; </w:t>
                  </w:r>
                </w:p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20; 30; 60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Глубина хранения профиля (при времени усреднения 30 мин.), сутки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128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Датчик тока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Шунт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Количество измерительных элементов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Счетчик с двумя датчиками тока (в цепи фазы и нейтрали)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Диапазон рабочих температур, °С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от минус 40 до плюс 70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Габаритные размеры (ВхШхГ), не более, мм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129 x 90 x 62</w:t>
                  </w:r>
                </w:p>
              </w:tc>
            </w:tr>
            <w:tr>
              <w:trPr/>
              <w:tc>
                <w:tcPr>
                  <w:tcW w:w="4755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Масса, не более, кг</w:t>
                  </w:r>
                </w:p>
              </w:tc>
              <w:tc>
                <w:tcPr>
                  <w:tcW w:w="4883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</w:t>
                  </w:r>
                </w:p>
              </w:tc>
            </w:tr>
          </w:tbl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0" w:hanging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12 шт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Счетчик электроэнергии CE307 R34.543.OAA.SYUVLFZ SPds (или эквивалент)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Многофункциональный трехфазный счетчик электроэнергии трансформаторного или непосредственного включения.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Поддержка протокола обмена СПОДЭС (ГОСТ Р 58940-2020).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Исполнения с модулями связи PLC G3, RS485, GSM/GPRS, Ethernet, RS485+PLC G3, 2xRS485, RS485+GSM/GPRS, RS485+Ethernet, комбинированный NB-IoT/GPRS.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Измерение показателей качества электроэнергии по классу «S»: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положительное и отрицательное отклонение напряжения;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отклонение частоты сети;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длительность и глубина провала напряжения;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длительность и максимальное значение перенапряжения;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перерывы электроснабжения.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Измерение параметров сети: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частоты напряжения;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фазных токов;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фазных напряжений;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междуфазных (линейных) напряжений;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углов между током и напряжением по фазам;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коэффициентов мощности по фазам и суммарно;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активной мощности по фазам и суммарно;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реактивной мощности по фазам и суммарно;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полной мощности по фазам и суммарно.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Возможность измерения с применением коэффициентов трансформации.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Измерение тока в нулевом проводе.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Анализ качества электроэнергии. Фиксация нарушения индивидуальных параметров качества электроснабжения (ПКЭ).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Контроль наличия внешнего переменного и постоянного магнитного поля.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Дополнительный интерфейс RS485 для полукосвенного включения.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Защита информации.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Защита от несанкционированного доступа.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Фиксирование несанкционированного доступа к прибору.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Объем журнала событий превышает 500 записей.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Журналы событий.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Самодиагностика.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Программируемое реле управления нагрузкой, срабатывающее: по запросу системы, при превышении пределов, при попытке несанкционированного доступа.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Хранение профилей принятой и отданной активной и реактивной энергии 128 суток при времени интегрирования 30 минут.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Программируемый интервал времени интегрирования от 1 минуты до 60 минут.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Отображение на ЖКИ: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Даты и времени.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Потребленной энергии суммарно и по тарифам.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Активной и реактивной мощности, напряжения, тока и частоты.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◦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Энергии на конец последнего расчетного периода суммарно и по тарифам.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Учет электроэнергии в двух направлениях.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Факта нарушения индивидуальных ПКЭ.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Небаланса токов в фазном и нулевом проводе.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Вскрытие электронных пломб.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Факт события воздействия магнитом.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Индикатор функционирования.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Корректировка даты, времени, часового пояса.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Изменение тарифного расписания.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Изменение состава и последовательности вывода индикации на ЖКИ.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Программирование параметров фиксации индивидуальных ПКЭ.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Изменение даты расчетного периода.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Изменение паролей доступа и ключей шифрования.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Трёхпозиционный переключатель в качестве аппаратной блокировки реле с режимами Выкл, Авто, Вкл.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•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Исполнения с отсеком для установки сменного модуля связи (опционально).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Программное обеспечение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Встроен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ное  программное обеспечение счетчика электроэнергии трехфазного многофункционального поставляется в составе счетчика, предустановленным на заводе изготовителе и отдельно не предоставляется. В программном обеспечении  реализованы все перечисленные функциональные возможности счетчика.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tbl>
            <w:tblPr>
              <w:tblW w:w="9730" w:type="dxa"/>
              <w:jc w:val="left"/>
              <w:tblInd w:w="-92" w:type="dxa"/>
              <w:shd w:fill="FFFFFF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40"/>
              <w:gridCol w:w="4690"/>
            </w:tblGrid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9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Показатели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9"/>
                    <w:spacing w:before="0" w:after="0"/>
                    <w:ind w:left="0" w:right="0" w:hanging="0"/>
                    <w:jc w:val="left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 xml:space="preserve">          </w:t>
                  </w:r>
                  <w:r>
                    <w:rPr>
                      <w:b/>
                      <w:color w:val="333333"/>
                    </w:rPr>
                    <w:t>Величины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Класс точности по активной/реактивной энергии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0,5S/0,5; 1/1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Номинальное напряжение, В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3x230/400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DFDFD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Базовый (максимальный) ток, А</w:t>
                  </w:r>
                </w:p>
              </w:tc>
              <w:tc>
                <w:tcPr>
                  <w:tcW w:w="4690" w:type="dxa"/>
                  <w:tcBorders/>
                  <w:shd w:fill="DFDFD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 (10); 5 (80)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Стартовый ток (чувствительность), мА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5; 10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Частота измерительной сети, Гц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50±2,5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Число тарифов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4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Время усреднения профилей нагрузки, мин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1; 2; 3; 4; 5; 6; 10; 12; 15;</w:t>
                  </w:r>
                </w:p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 xml:space="preserve"> </w:t>
                  </w:r>
                  <w:r>
                    <w:rPr>
                      <w:color w:val="333333"/>
                    </w:rPr>
                    <w:t>20; 30; 60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Глубина хранения профиля (при времени усреднения 60 мин.), сутки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128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Диапазон рабочих температур, °С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от минус 40 до плюс 70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Габаритные размеры (ВхШхГ), не более, мм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130 x 144 x 63</w:t>
                  </w:r>
                </w:p>
              </w:tc>
            </w:tr>
            <w:tr>
              <w:trPr/>
              <w:tc>
                <w:tcPr>
                  <w:tcW w:w="504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Масса, не более, кг</w:t>
                  </w:r>
                </w:p>
              </w:tc>
              <w:tc>
                <w:tcPr>
                  <w:tcW w:w="469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3</w:t>
                  </w:r>
                </w:p>
              </w:tc>
            </w:tr>
          </w:tbl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  <w:t>2 шт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Счетчик электроэнергии CE307 R34.749.OA.QYUVLFZ SPds (или эквивалент)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Многофункциональный трехфазный счетчик электроэнергии трансформаторного или непосредственного включения.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Поддержка протокола обмена СПОДЭС (ГОСТ Р 58940-2020).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Исполнения с модулями связи PLC G3, RS485, GSM/GPRS, Ethernet, RS485+PLC G3, 2xRS485, RS485+GSM/GPRS, RS485+Ethernet, комбинированный NB-IoT/GPRS.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Измерение показателей качества электроэнергии по классу «S»: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положительное и отрицательное отклонение напряжения;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отклонение частоты сети;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длительность и глубина провала напряжения;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длительность и максимальное значение перенапряжения;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перерывы электроснабжения.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Измерение параметров сети: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частоты напряжения;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фазных токов;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фазных напряжений;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междуфазных (линейных) напряжений;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углов между током и напряжением по фазам;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коэффициентов мощности по фазам и суммарно;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активной мощности по фазам и суммарно;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реактивной мощности по фазам и суммарно;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полной мощности по фазам и суммарно.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Возможность измерения с применением коэффициентов трансформации.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Измерение тока в нулевом проводе.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Анализ качества электроэнергии. Фиксация нарушения индивидуальных параметров качества электроснабжения (ПКЭ).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Контроль наличия внешнего переменного и постоянного магнитного поля.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Дополнительный интерфейс RS485 для полукосвенного включения.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Защита информации.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Защита от несанкционированного доступа.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Фиксирование несанкционированного доступа к прибору.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Объем журнала событий превышает 500 записей.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Журналы событий.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Самодиагностика.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Программируемое реле управления нагрузкой, срабатывающее: по запросу системы, при превышении пределов, при попытке несанкционированного доступа.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Хранение профилей принятой и отданной активной и реактивной энергии 128 суток при времени интегрирования 30 минут.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Программируемый интервал времени интегрирования от 1 минуты до 60 минут.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Отображение на ЖКИ: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Даты и времени.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Потребленной энергии суммарно и по тарифам.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Активной и реактивной мощности, напряжения, тока и частоты.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    ◦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Энергии на конец последнего расчетного периода суммарно и по тарифам.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Учет электроэнергии в двух направлениях.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Факта нарушения индивидуальных ПКЭ.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Небаланса токов в фазном и нулевом проводе.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Вскрытие электронных пломб.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Факт события воздействия магнитом.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Индикатор функционирования.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Корректировка даты, времени, часового пояса.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Изменение тарифного расписания.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Изменение состава и последовательности вывода индикации на ЖКИ.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Программирование параметров фиксации индивидуальных ПКЭ.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Изменение даты расчетного периода.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Изменение паролей доступа и ключей шифрования.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Трёхпозиционный переключатель в качестве аппаратной блокировки реле с режимами Выкл, Авто, Вкл.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 xml:space="preserve">    •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Исполнения с отсеком для установки сменного модуля связи (опционально).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Программное 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  <w:t>Встроенное  программное обеспечение счетчика электроэнергии трехфазного многофункционального СЕ307 поставляется в составе счетчика, предустановленным на заводе изготовителе и отдельно не предоставляется. В программном обеспечении  реализованы все перечисленные функциональные возможности счетчика.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ru-RU"/>
              </w:rPr>
            </w:r>
          </w:p>
          <w:tbl>
            <w:tblPr>
              <w:tblW w:w="9700" w:type="dxa"/>
              <w:jc w:val="left"/>
              <w:tblInd w:w="-62" w:type="dxa"/>
              <w:shd w:fill="FFFFFF"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50"/>
              <w:gridCol w:w="5050"/>
            </w:tblGrid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9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Показатели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9"/>
                    <w:spacing w:before="0" w:after="0"/>
                    <w:ind w:left="0" w:right="0" w:hanging="0"/>
                    <w:jc w:val="left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 xml:space="preserve">               </w:t>
                  </w:r>
                  <w:r>
                    <w:rPr>
                      <w:b/>
                      <w:color w:val="333333"/>
                    </w:rPr>
                    <w:t>Величины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Класс точности по активной/реактивной энергии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0,5S/0,5; 1/1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Номинальное напряжение, В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3x230/400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DFDFD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Базовый (максимальный) ток, А</w:t>
                  </w:r>
                </w:p>
              </w:tc>
              <w:tc>
                <w:tcPr>
                  <w:tcW w:w="5050" w:type="dxa"/>
                  <w:tcBorders/>
                  <w:shd w:fill="DFDFD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 (10); 5 (80)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Стартовый ток (чувствительность), мА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5; 10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Частота измерительной сети, Гц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50±2,5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Число тарифов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4</w:t>
                  </w:r>
                </w:p>
              </w:tc>
            </w:tr>
            <w:tr>
              <w:trPr>
                <w:trHeight w:val="599" w:hRule="atLeast"/>
              </w:trPr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Время усреднения профилей нагрузки, мин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1; 2; 3; 4; 5; 6; 10; 12; 15; 20;</w:t>
                  </w:r>
                </w:p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 xml:space="preserve"> </w:t>
                  </w:r>
                  <w:r>
                    <w:rPr>
                      <w:color w:val="333333"/>
                    </w:rPr>
                    <w:t>30; 60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Глубина хранения профиля (при времени усреднения 60 мин.), сутки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128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Диапазон рабочих температур, °С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от минус 40 до плюс 70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Габаритные размеры (ВхШхГ), не более, мм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130 x 144 x 63</w:t>
                  </w:r>
                </w:p>
              </w:tc>
            </w:tr>
            <w:tr>
              <w:trPr/>
              <w:tc>
                <w:tcPr>
                  <w:tcW w:w="46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ind w:left="0" w:right="0" w:hanging="0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Масса, не более, кг</w:t>
                  </w:r>
                </w:p>
              </w:tc>
              <w:tc>
                <w:tcPr>
                  <w:tcW w:w="5050" w:type="dxa"/>
                  <w:tcBorders/>
                  <w:shd w:fill="FFFFFF" w:val="clear"/>
                  <w:vAlign w:val="center"/>
                </w:tcPr>
                <w:p>
                  <w:pPr>
                    <w:pStyle w:val="Style28"/>
                    <w:spacing w:before="0" w:after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3</w:t>
                  </w:r>
                </w:p>
              </w:tc>
            </w:tr>
          </w:tbl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12 шт</w:t>
            </w:r>
          </w:p>
        </w:tc>
      </w:tr>
    </w:tbl>
    <w:p>
      <w:pPr>
        <w:pStyle w:val="Normal"/>
        <w:spacing w:before="0" w:after="0"/>
        <w:ind w:left="-567" w:right="-284" w:hanging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ind w:left="-567" w:right="-284" w:hanging="0"/>
        <w:jc w:val="both"/>
        <w:rPr>
          <w:rFonts w:ascii="Times New Roman" w:hAnsi="Times New Roman" w:cs="Times New Roman"/>
          <w:bCs/>
        </w:rPr>
      </w:pP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2"/>
          <w:szCs w:val="22"/>
          <w:lang w:val="ru-RU" w:eastAsia="en-US" w:bidi="ar-SA"/>
        </w:rPr>
        <w:t>2</w:t>
      </w:r>
      <w:r>
        <w:rPr>
          <w:rFonts w:cs="Times New Roman" w:ascii="Times New Roman" w:hAnsi="Times New Roman"/>
          <w:bCs/>
        </w:rPr>
        <w:t xml:space="preserve">. </w:t>
      </w:r>
      <w:r>
        <w:rPr>
          <w:rFonts w:cs="Times New Roman" w:ascii="Times New Roman" w:hAnsi="Times New Roman"/>
          <w:b/>
          <w:bCs/>
        </w:rPr>
        <w:t>Общие технические требования:</w:t>
      </w:r>
    </w:p>
    <w:p>
      <w:pPr>
        <w:pStyle w:val="Normal"/>
        <w:spacing w:before="0" w:after="0"/>
        <w:ind w:left="-567" w:right="-284" w:hanging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  </w:t>
      </w:r>
      <w:r>
        <w:rPr>
          <w:rFonts w:cs="Times New Roman" w:ascii="Times New Roman" w:hAnsi="Times New Roman"/>
          <w:bCs/>
        </w:rPr>
        <w:t xml:space="preserve">- </w:t>
      </w:r>
      <w:r>
        <w:rPr>
          <w:rFonts w:cs="Times New Roman" w:ascii="Times New Roman" w:hAnsi="Times New Roman"/>
          <w:bCs/>
        </w:rPr>
        <w:t>Поставляемое оборудование</w:t>
      </w:r>
      <w:r>
        <w:rPr>
          <w:rFonts w:cs="Times New Roman" w:ascii="Times New Roman" w:hAnsi="Times New Roman"/>
          <w:bCs/>
        </w:rPr>
        <w:t xml:space="preserve"> должно быть не обременено правами третьих лиц. Все поставляемое оборудование должно иметь соответствующие сертификаты, технические паспорта и другие документы, удостоверяющие их качество.</w:t>
      </w:r>
    </w:p>
    <w:p>
      <w:pPr>
        <w:pStyle w:val="Normal"/>
        <w:spacing w:before="0" w:after="0"/>
        <w:ind w:left="-567" w:right="-284" w:hanging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   </w:t>
      </w:r>
      <w:r>
        <w:rPr>
          <w:rFonts w:cs="Times New Roman" w:ascii="Times New Roman" w:hAnsi="Times New Roman"/>
          <w:bCs/>
        </w:rPr>
        <w:t xml:space="preserve">- Типы применяемых компонентов систем учета (приборы учета электрической энергии, измерительные трансформаторы и т.д.) электроэнергии должны быть утверждены федеральным органом исполнительной власти по техническому регулированию и метрологии. Кроме того, конструкция элементов измерительного комплекса должна предусматривать установку пломб сетевой организацией. </w:t>
      </w:r>
    </w:p>
    <w:p>
      <w:pPr>
        <w:pStyle w:val="Normal"/>
        <w:spacing w:before="0" w:after="0"/>
        <w:ind w:left="-567" w:right="-284" w:hanging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   </w:t>
      </w:r>
      <w:r>
        <w:rPr>
          <w:rFonts w:cs="Times New Roman" w:ascii="Times New Roman" w:hAnsi="Times New Roman"/>
          <w:bCs/>
        </w:rPr>
        <w:t xml:space="preserve">- На поставляемое оборудование должны быть представлены сертификаты соответствия требованиям технических регламентов. 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567" w:right="0" w:hanging="0"/>
        <w:contextualSpacing/>
        <w:jc w:val="both"/>
        <w:rPr>
          <w:rFonts w:ascii="Times New Roman" w:hAnsi="Times New Roman" w:eastAsia="Times New Roman" w:cs="Times New Roman"/>
          <w:color w:val="215868" w:themeColor="accent5" w:themeShade="80"/>
        </w:rPr>
      </w:pPr>
      <w:r>
        <w:rPr>
          <w:rFonts w:eastAsia="Times New Roman" w:cs="Times New Roman" w:ascii="Times New Roman" w:hAnsi="Times New Roman"/>
          <w:bCs/>
          <w:color w:val="215868" w:themeColor="accent5" w:themeShade="80"/>
        </w:rPr>
        <w:t xml:space="preserve">       </w:t>
      </w:r>
      <w:r>
        <w:rPr>
          <w:rFonts w:eastAsia="Times New Roman" w:cs="Times New Roman" w:ascii="Times New Roman" w:hAnsi="Times New Roman"/>
          <w:bCs/>
          <w:color w:val="215868" w:themeColor="accent5" w:themeShade="80"/>
        </w:rPr>
        <w:t xml:space="preserve">- </w:t>
      </w:r>
      <w:r>
        <w:rPr>
          <w:rFonts w:eastAsia="Times New Roman" w:cs="Times New Roman" w:ascii="Times New Roman" w:hAnsi="Times New Roman"/>
          <w:bCs/>
          <w:color w:val="215868" w:themeColor="accent5" w:themeShade="80"/>
        </w:rPr>
        <w:t>Постовляемое оборудование должно с</w:t>
      </w:r>
      <w:r>
        <w:rPr>
          <w:rFonts w:eastAsia="Times New Roman" w:cs="Times New Roman" w:ascii="Times New Roman" w:hAnsi="Times New Roman"/>
          <w:bCs/>
          <w:color w:val="215868" w:themeColor="accent5" w:themeShade="80"/>
        </w:rPr>
        <w:t>оответствовать требованиям Постановления Правительства РФ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567" w:righ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Поставляемое оборудование должно </w:t>
      </w:r>
      <w:r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</w:rPr>
        <w:t>олностью соответствует требованиям ПП РФ №890 от 19.06.2020 к приборам учета электроэнергии. Счетчик максимально защищен от хищений электроэнергии и используется в составе АСКУЭ для передачи измеренных параметров в диспетчерский пункт по контролю, учету и распределению электрической энергии.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24" w:right="0" w:firstLine="567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>-Технические параметры и метрологические характеристики приборов учета должны соответствовать требованиям: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24" w:right="0" w:firstLine="567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 xml:space="preserve">    • </w:t>
      </w:r>
      <w:r>
        <w:rPr>
          <w:rFonts w:eastAsia="Times New Roman" w:cs="Times New Roman" w:ascii="Times New Roman" w:hAnsi="Times New Roman"/>
          <w:bCs/>
          <w:color w:val="000000" w:themeShade="80"/>
        </w:rPr>
        <w:t>ГОСТ 31818.11-2012.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24" w:right="0" w:firstLine="567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 xml:space="preserve">    • </w:t>
      </w:r>
      <w:r>
        <w:rPr>
          <w:rFonts w:eastAsia="Times New Roman" w:cs="Times New Roman" w:ascii="Times New Roman" w:hAnsi="Times New Roman"/>
          <w:bCs/>
          <w:color w:val="000000" w:themeShade="80"/>
        </w:rPr>
        <w:t>ГОСТ 31819.21-2012.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24" w:right="0" w:firstLine="567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 xml:space="preserve">    • </w:t>
      </w:r>
      <w:r>
        <w:rPr>
          <w:rFonts w:eastAsia="Times New Roman" w:cs="Times New Roman" w:ascii="Times New Roman" w:hAnsi="Times New Roman"/>
          <w:bCs/>
          <w:color w:val="000000" w:themeShade="80"/>
        </w:rPr>
        <w:t>ГОСТ 31819.23-2012.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24" w:right="0" w:firstLine="567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 xml:space="preserve">    • </w:t>
      </w:r>
      <w:r>
        <w:rPr>
          <w:rFonts w:eastAsia="Times New Roman" w:cs="Times New Roman" w:ascii="Times New Roman" w:hAnsi="Times New Roman"/>
          <w:bCs/>
          <w:color w:val="000000" w:themeShade="80"/>
        </w:rPr>
        <w:t>ГОСТ 32144-2013.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24" w:right="0" w:firstLine="567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 xml:space="preserve">    • </w:t>
      </w:r>
      <w:r>
        <w:rPr>
          <w:rFonts w:eastAsia="Times New Roman" w:cs="Times New Roman" w:ascii="Times New Roman" w:hAnsi="Times New Roman"/>
          <w:bCs/>
          <w:color w:val="000000" w:themeShade="80"/>
        </w:rPr>
        <w:t>ГОСТ 30804.4.30-2013.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24" w:right="0" w:firstLine="567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 xml:space="preserve">    • </w:t>
      </w:r>
      <w:r>
        <w:rPr>
          <w:rFonts w:eastAsia="Times New Roman" w:cs="Times New Roman" w:ascii="Times New Roman" w:hAnsi="Times New Roman"/>
          <w:bCs/>
          <w:color w:val="000000" w:themeShade="80"/>
        </w:rPr>
        <w:t>ГОСТ Р 58940-2020.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24" w:right="0" w:firstLine="567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 xml:space="preserve">    • </w:t>
      </w:r>
      <w:r>
        <w:rPr>
          <w:rFonts w:eastAsia="Times New Roman" w:cs="Times New Roman" w:ascii="Times New Roman" w:hAnsi="Times New Roman"/>
          <w:bCs/>
          <w:color w:val="000000" w:themeShade="80"/>
        </w:rPr>
        <w:t>Сертифицирован и внесен в Государственный реестр средств измерений РФ.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24" w:right="0" w:firstLine="567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 xml:space="preserve">    • </w:t>
      </w:r>
      <w:r>
        <w:rPr>
          <w:rFonts w:eastAsia="Times New Roman" w:cs="Times New Roman" w:ascii="Times New Roman" w:hAnsi="Times New Roman"/>
          <w:bCs/>
          <w:color w:val="000000" w:themeShade="80"/>
        </w:rPr>
        <w:t>Соответствует требования технического регламента Таможенного Союза.</w:t>
      </w:r>
    </w:p>
    <w:p>
      <w:pPr>
        <w:pStyle w:val="Normal"/>
        <w:widowControl/>
        <w:suppressAutoHyphens w:val="true"/>
        <w:bidi w:val="0"/>
        <w:spacing w:lineRule="auto" w:line="259" w:before="60" w:after="0"/>
        <w:ind w:left="-624" w:right="0" w:firstLine="567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>На счетчиках должны быть пломбы государственной поверки, с давностью не превышающей срок гарантийного хранения, но не более 2 лет (в соответствии с ПУЭ).</w:t>
      </w:r>
    </w:p>
    <w:p>
      <w:pPr>
        <w:pStyle w:val="Normal"/>
        <w:widowControl/>
        <w:suppressAutoHyphens w:val="true"/>
        <w:bidi w:val="0"/>
        <w:spacing w:lineRule="auto" w:line="259" w:before="60" w:after="0"/>
        <w:ind w:left="-567" w:right="0" w:firstLine="567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color w:val="000000" w:themeShade="80"/>
        </w:rPr>
        <w:t>Прибор учета электроэнергии должен быть обеспечен первичной поверкой при выпуске из производства.</w:t>
      </w:r>
    </w:p>
    <w:p>
      <w:pPr>
        <w:pStyle w:val="Normal"/>
        <w:spacing w:before="0" w:after="0"/>
        <w:ind w:left="-567" w:right="-284" w:hanging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ru-RU" w:eastAsia="en-US" w:bidi="ar-SA"/>
        </w:rPr>
        <w:t>3</w:t>
      </w:r>
      <w:r>
        <w:rPr>
          <w:rFonts w:cs="Times New Roman" w:ascii="Times New Roman" w:hAnsi="Times New Roman"/>
          <w:b/>
        </w:rPr>
        <w:t>.  Место и срок поставки товара:</w:t>
      </w:r>
      <w:r>
        <w:rPr>
          <w:rFonts w:cs="Times New Roman" w:ascii="Times New Roman" w:hAnsi="Times New Roman"/>
        </w:rPr>
        <w:t xml:space="preserve"> Краснодарский край, г. Краснодар, ул. Ставропольская 3А, режим работы Пон.-Чет.: с 8-00 ч. до 16-00 ч., Пят. с 8-00 ч. до 15-00 ч (время московское). </w:t>
      </w:r>
      <w:r>
        <w:rPr>
          <w:rFonts w:cs="Times New Roman" w:ascii="Times New Roman" w:hAnsi="Times New Roman"/>
          <w:b w:val="false"/>
          <w:bCs w:val="false"/>
          <w:shd w:fill="FFFFFF" w:val="clear"/>
        </w:rPr>
        <w:t>Срок поставки товара</w:t>
      </w:r>
      <w:r>
        <w:rPr>
          <w:rFonts w:cs="Times New Roman" w:ascii="Times New Roman" w:hAnsi="Times New Roman"/>
          <w:b/>
          <w:shd w:fill="FFFFFF" w:val="clear"/>
        </w:rPr>
        <w:t>:</w:t>
      </w:r>
      <w:r>
        <w:rPr>
          <w:rFonts w:cs="Times New Roman" w:ascii="Times New Roman" w:hAnsi="Times New Roman"/>
          <w:shd w:fill="FFFFFF" w:val="clear"/>
        </w:rPr>
        <w:t xml:space="preserve"> о</w:t>
      </w:r>
      <w:r>
        <w:rPr>
          <w:rFonts w:cs="Times New Roman" w:ascii="Times New Roman" w:hAnsi="Times New Roman"/>
        </w:rPr>
        <w:t>дной партией в течение 10 (Десяти) рабочих дней с момента заключения договора.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 Требования к качеству, безопасности поставляемого товара: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иметь паспорта и сертификаты соответствия.;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Требования к упаковке и маркировке поставляемого товара: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6.1. Гарантия качества товара - в соответствии с гарантийным сроком, установленным производителем. 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 </w:t>
      </w:r>
      <w:r>
        <w:rPr>
          <w:rFonts w:cs="Times New Roman" w:ascii="Times New Roman" w:hAnsi="Times New Roman"/>
          <w:b/>
          <w:bCs/>
        </w:rPr>
        <w:t>Характеристики надежности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• </w:t>
      </w:r>
      <w:r>
        <w:rPr>
          <w:rFonts w:cs="Times New Roman" w:ascii="Times New Roman" w:hAnsi="Times New Roman"/>
        </w:rPr>
        <w:t xml:space="preserve">Средняя наработка на отказ - </w:t>
      </w:r>
      <w:r>
        <w:rPr>
          <w:rFonts w:cs="Times New Roman" w:ascii="Times New Roman" w:hAnsi="Times New Roman"/>
        </w:rPr>
        <w:t xml:space="preserve">не менее  </w:t>
      </w:r>
      <w:r>
        <w:rPr>
          <w:rFonts w:cs="Times New Roman" w:ascii="Times New Roman" w:hAnsi="Times New Roman"/>
        </w:rPr>
        <w:t>400000 часов.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• </w:t>
      </w:r>
      <w:r>
        <w:rPr>
          <w:rFonts w:cs="Times New Roman" w:ascii="Times New Roman" w:hAnsi="Times New Roman"/>
        </w:rPr>
        <w:t xml:space="preserve">Межповерочный интервал - </w:t>
      </w:r>
      <w:r>
        <w:rPr>
          <w:rFonts w:cs="Times New Roman" w:ascii="Times New Roman" w:hAnsi="Times New Roman"/>
        </w:rPr>
        <w:t xml:space="preserve">не менее </w:t>
      </w:r>
      <w:r>
        <w:rPr>
          <w:rFonts w:cs="Times New Roman" w:ascii="Times New Roman" w:hAnsi="Times New Roman"/>
        </w:rPr>
        <w:t>16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• </w:t>
      </w:r>
      <w:r>
        <w:rPr>
          <w:rFonts w:cs="Times New Roman" w:ascii="Times New Roman" w:hAnsi="Times New Roman"/>
        </w:rPr>
        <w:t xml:space="preserve">Средний срок службы - </w:t>
      </w:r>
      <w:r>
        <w:rPr>
          <w:rFonts w:cs="Times New Roman" w:ascii="Times New Roman" w:hAnsi="Times New Roman"/>
        </w:rPr>
        <w:t xml:space="preserve">не менее </w:t>
      </w:r>
      <w:r>
        <w:rPr>
          <w:rFonts w:cs="Times New Roman" w:ascii="Times New Roman" w:hAnsi="Times New Roman"/>
        </w:rPr>
        <w:t>40 лет.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• </w:t>
      </w:r>
      <w:r>
        <w:rPr>
          <w:rFonts w:cs="Times New Roman" w:ascii="Times New Roman" w:hAnsi="Times New Roman"/>
        </w:rPr>
        <w:t xml:space="preserve">Гарантийный срок (срок хранения и срок эксплуатации суммарно) — </w:t>
      </w:r>
      <w:r>
        <w:rPr>
          <w:rFonts w:cs="Times New Roman" w:ascii="Times New Roman" w:hAnsi="Times New Roman"/>
        </w:rPr>
        <w:t xml:space="preserve">не менее 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  <w:shd w:fill="FFFFFF" w:val="clear"/>
        </w:rPr>
        <w:t> </w:t>
      </w:r>
      <w:r>
        <w:rPr>
          <w:rFonts w:cs="Times New Roman" w:ascii="Times New Roman" w:hAnsi="Times New Roman"/>
        </w:rPr>
        <w:t>лет.</w:t>
      </w:r>
    </w:p>
    <w:p>
      <w:pPr>
        <w:pStyle w:val="Normal"/>
        <w:widowControl/>
        <w:suppressAutoHyphens w:val="true"/>
        <w:bidi w:val="0"/>
        <w:spacing w:lineRule="auto" w:line="259" w:before="114" w:after="114"/>
        <w:ind w:left="-567" w:right="0" w:hanging="0"/>
        <w:jc w:val="left"/>
        <w:rPr>
          <w:b/>
          <w:b/>
          <w:bCs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link w:val="aa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link w:val="ac"/>
    <w:uiPriority w:val="99"/>
    <w:qFormat/>
    <w:rPr/>
  </w:style>
  <w:style w:type="character" w:styleId="Style10" w:customStyle="1">
    <w:name w:val="Текст сноски Знак"/>
    <w:link w:val="af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link w:val="af2"/>
    <w:uiPriority w:val="99"/>
    <w:qFormat/>
    <w:rPr>
      <w:sz w:val="20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4">
    <w:name w:val="Интернет-ссылка"/>
    <w:basedOn w:val="DefaultParagraphFont"/>
    <w:uiPriority w:val="99"/>
    <w:unhideWhenUsed/>
    <w:rPr>
      <w:color w:val="0000FF"/>
      <w:u w:val="single"/>
    </w:rPr>
  </w:style>
  <w:style w:type="character" w:styleId="52" w:customStyle="1">
    <w:name w:val="Основной текст (5)_"/>
    <w:basedOn w:val="DefaultParagraphFont"/>
    <w:link w:val="54"/>
    <w:qFormat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Style15" w:customStyle="1">
    <w:name w:val="Основной текст Знак"/>
    <w:basedOn w:val="DefaultParagraphFont"/>
    <w:link w:val="afa"/>
    <w:uiPriority w:val="99"/>
    <w:semiHidden/>
    <w:qFormat/>
    <w:rsid w:val="001301e8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4291e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fb"/>
    <w:uiPriority w:val="99"/>
    <w:semiHidden/>
    <w:unhideWhenUsed/>
    <w:rsid w:val="001301e8"/>
    <w:pPr>
      <w:spacing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d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Style26">
    <w:name w:val="Footnote Text"/>
    <w:basedOn w:val="Normal"/>
    <w:link w:val="af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link w:val="af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3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Productinfoitem" w:customStyle="1">
    <w:name w:val="productinfo__item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4" w:customStyle="1">
    <w:name w:val="Основной текст (5)"/>
    <w:basedOn w:val="Normal"/>
    <w:link w:val="53"/>
    <w:qFormat/>
    <w:pPr>
      <w:widowControl w:val="false"/>
      <w:shd w:val="clear" w:color="auto" w:fill="FFFFFF"/>
      <w:spacing w:lineRule="exact" w:line="317" w:before="0" w:after="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Docdata" w:customStyle="1">
    <w:name w:val="docdata"/>
    <w:basedOn w:val="Normal"/>
    <w:qFormat/>
    <w:rsid w:val="00cf16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cf16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1301e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LibreOffice/7.1.4.2$Windows_X86_64 LibreOffice_project/a529a4fab45b75fefc5b6226684193eb000654f6</Application>
  <AppVersion>15.0000</AppVersion>
  <Pages>6</Pages>
  <Words>2117</Words>
  <Characters>14400</Characters>
  <CharactersWithSpaces>17149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2021-07-21T11:31:00Z</dcterms:created>
  <dc:creator>Admin9</dc:creator>
  <dc:description/>
  <dc:language>ru-RU</dc:language>
  <cp:lastModifiedBy/>
  <dcterms:modified xsi:type="dcterms:W3CDTF">2025-05-26T10:11:20Z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