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040AF7E8" w:rsidR="00E921B7" w:rsidRDefault="00B8248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ИЗВЕЩЕНИЕ</w:t>
      </w:r>
    </w:p>
    <w:p w14:paraId="00000002" w14:textId="77777777" w:rsidR="00E921B7" w:rsidRDefault="00B8248D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 ОСУЩЕСТВЛЕНИИ КОНКУРЕНТНОЙ ЗАКУПКИ</w:t>
      </w:r>
    </w:p>
    <w:p w14:paraId="00000003" w14:textId="77777777" w:rsidR="00E921B7" w:rsidRDefault="00E921B7">
      <w:pPr>
        <w:spacing w:line="240" w:lineRule="auto"/>
        <w:rPr>
          <w:sz w:val="24"/>
          <w:szCs w:val="24"/>
        </w:rPr>
      </w:pPr>
    </w:p>
    <w:p w14:paraId="00000004" w14:textId="77777777" w:rsidR="00E921B7" w:rsidRDefault="00E921B7">
      <w:pPr>
        <w:spacing w:line="240" w:lineRule="auto"/>
        <w:rPr>
          <w:sz w:val="24"/>
          <w:szCs w:val="24"/>
        </w:rPr>
      </w:pPr>
    </w:p>
    <w:p w14:paraId="00000005" w14:textId="77777777" w:rsidR="00E921B7" w:rsidRDefault="00B8248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Способ закупки</w:t>
      </w:r>
      <w:r>
        <w:rPr>
          <w:sz w:val="24"/>
          <w:szCs w:val="24"/>
        </w:rPr>
        <w:t xml:space="preserve"> - запрос котировок в электронной форме</w:t>
      </w:r>
    </w:p>
    <w:p w14:paraId="00000006" w14:textId="77777777" w:rsidR="00E921B7" w:rsidRDefault="00E921B7">
      <w:pPr>
        <w:spacing w:line="240" w:lineRule="auto"/>
        <w:rPr>
          <w:sz w:val="24"/>
          <w:szCs w:val="24"/>
        </w:rPr>
      </w:pPr>
    </w:p>
    <w:p w14:paraId="00000007" w14:textId="77777777" w:rsidR="00E921B7" w:rsidRDefault="00E921B7">
      <w:pPr>
        <w:spacing w:line="240" w:lineRule="auto"/>
        <w:rPr>
          <w:sz w:val="24"/>
          <w:szCs w:val="24"/>
        </w:rPr>
      </w:pPr>
    </w:p>
    <w:p w14:paraId="00000008" w14:textId="77777777" w:rsidR="00E921B7" w:rsidRDefault="00B8248D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Наименование, место нахождения, почтовый адрес, адрес электронной почты, номер контактного телефона Заказчика </w:t>
      </w:r>
      <w:r>
        <w:rPr>
          <w:sz w:val="24"/>
          <w:szCs w:val="24"/>
        </w:rPr>
        <w:t xml:space="preserve">– Общество с ограниченной ответственностью «ГИДРОН», 163523 Архангельская область Приморский район дер. </w:t>
      </w:r>
      <w:proofErr w:type="spellStart"/>
      <w:r>
        <w:rPr>
          <w:sz w:val="24"/>
          <w:szCs w:val="24"/>
        </w:rPr>
        <w:t>Рикасиха</w:t>
      </w:r>
      <w:proofErr w:type="spellEnd"/>
      <w:r>
        <w:rPr>
          <w:sz w:val="24"/>
          <w:szCs w:val="24"/>
        </w:rPr>
        <w:t xml:space="preserve"> зд.58, ooogidron@gmail.com, +79522518402</w:t>
      </w:r>
    </w:p>
    <w:p w14:paraId="00000009" w14:textId="77777777" w:rsidR="00E921B7" w:rsidRDefault="00E921B7">
      <w:pPr>
        <w:spacing w:line="240" w:lineRule="auto"/>
        <w:jc w:val="both"/>
        <w:rPr>
          <w:sz w:val="24"/>
          <w:szCs w:val="24"/>
        </w:rPr>
      </w:pPr>
    </w:p>
    <w:p w14:paraId="0000000A" w14:textId="77777777" w:rsidR="00E921B7" w:rsidRDefault="00E921B7">
      <w:pPr>
        <w:spacing w:line="240" w:lineRule="auto"/>
        <w:rPr>
          <w:sz w:val="24"/>
          <w:szCs w:val="24"/>
        </w:rPr>
      </w:pPr>
    </w:p>
    <w:p w14:paraId="0000000B" w14:textId="77777777" w:rsidR="00E921B7" w:rsidRDefault="00B8248D">
      <w:pPr>
        <w:jc w:val="both"/>
        <w:rPr>
          <w:sz w:val="24"/>
          <w:szCs w:val="24"/>
        </w:rPr>
      </w:pPr>
      <w:bookmarkStart w:id="0" w:name="_heading=h.1fob9te" w:colFirst="0" w:colLast="0"/>
      <w:bookmarkEnd w:id="0"/>
      <w:r>
        <w:rPr>
          <w:b/>
          <w:sz w:val="24"/>
          <w:szCs w:val="24"/>
        </w:rPr>
        <w:t xml:space="preserve">Предмет договора с указанием количества объема выполняемых работ, а также краткое описание предмета </w:t>
      </w:r>
      <w:r>
        <w:rPr>
          <w:b/>
          <w:sz w:val="24"/>
          <w:szCs w:val="24"/>
        </w:rPr>
        <w:t xml:space="preserve">закупки -  </w:t>
      </w:r>
      <w:r>
        <w:rPr>
          <w:sz w:val="24"/>
          <w:szCs w:val="24"/>
        </w:rPr>
        <w:t xml:space="preserve">капитальный ремонт участка водопроводных сетей с кадастровым номером 29:16:191801:1178 в деревне </w:t>
      </w:r>
      <w:proofErr w:type="spellStart"/>
      <w:r>
        <w:rPr>
          <w:sz w:val="24"/>
          <w:szCs w:val="24"/>
        </w:rPr>
        <w:t>Рикасиха</w:t>
      </w:r>
      <w:proofErr w:type="spellEnd"/>
      <w:r>
        <w:rPr>
          <w:sz w:val="24"/>
          <w:szCs w:val="24"/>
        </w:rPr>
        <w:t xml:space="preserve"> Приморского района Архангельской области</w:t>
      </w:r>
    </w:p>
    <w:p w14:paraId="0000000C" w14:textId="77777777" w:rsidR="00E921B7" w:rsidRDefault="00E921B7">
      <w:pPr>
        <w:spacing w:line="240" w:lineRule="auto"/>
        <w:jc w:val="both"/>
        <w:rPr>
          <w:sz w:val="24"/>
          <w:szCs w:val="24"/>
        </w:rPr>
      </w:pPr>
    </w:p>
    <w:p w14:paraId="0000000D" w14:textId="77777777" w:rsidR="00E921B7" w:rsidRDefault="00B8248D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выполнения работ </w:t>
      </w:r>
      <w:r>
        <w:rPr>
          <w:sz w:val="24"/>
          <w:szCs w:val="24"/>
        </w:rPr>
        <w:t xml:space="preserve">– деревня </w:t>
      </w:r>
      <w:proofErr w:type="spellStart"/>
      <w:r>
        <w:rPr>
          <w:sz w:val="24"/>
          <w:szCs w:val="24"/>
        </w:rPr>
        <w:t>Рикасиха</w:t>
      </w:r>
      <w:proofErr w:type="spellEnd"/>
      <w:r>
        <w:rPr>
          <w:sz w:val="24"/>
          <w:szCs w:val="24"/>
        </w:rPr>
        <w:t xml:space="preserve"> Приморского района Архангельской области.</w:t>
      </w:r>
    </w:p>
    <w:p w14:paraId="0000000E" w14:textId="77777777" w:rsidR="00E921B7" w:rsidRDefault="00E921B7">
      <w:pPr>
        <w:spacing w:line="240" w:lineRule="auto"/>
        <w:rPr>
          <w:sz w:val="24"/>
          <w:szCs w:val="24"/>
        </w:rPr>
      </w:pPr>
    </w:p>
    <w:p w14:paraId="0000000F" w14:textId="77777777" w:rsidR="00E921B7" w:rsidRDefault="00E921B7">
      <w:pPr>
        <w:spacing w:line="240" w:lineRule="auto"/>
        <w:rPr>
          <w:sz w:val="24"/>
          <w:szCs w:val="24"/>
        </w:rPr>
      </w:pPr>
    </w:p>
    <w:p w14:paraId="00000010" w14:textId="77777777" w:rsidR="00E921B7" w:rsidRDefault="00B8248D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 xml:space="preserve">начальной (максимальной) цене договора </w:t>
      </w:r>
      <w:r>
        <w:rPr>
          <w:sz w:val="24"/>
          <w:szCs w:val="24"/>
        </w:rPr>
        <w:t>– 3 423 300 (три миллиона четыреста двадцать три тысячи триста) рублей 00 копеек.</w:t>
      </w:r>
    </w:p>
    <w:p w14:paraId="00000011" w14:textId="77777777" w:rsidR="00E921B7" w:rsidRDefault="00E921B7">
      <w:pPr>
        <w:spacing w:line="240" w:lineRule="auto"/>
        <w:rPr>
          <w:sz w:val="24"/>
          <w:szCs w:val="24"/>
        </w:rPr>
      </w:pPr>
    </w:p>
    <w:p w14:paraId="00000012" w14:textId="1A76CD69" w:rsidR="00E921B7" w:rsidRPr="00B8248D" w:rsidRDefault="00B8248D">
      <w:pPr>
        <w:spacing w:line="240" w:lineRule="auto"/>
        <w:jc w:val="both"/>
        <w:rPr>
          <w:sz w:val="24"/>
          <w:szCs w:val="24"/>
          <w:lang w:val="ru-RU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Порядок, дата начала, дата и время окончания срока подачи заявок на участие в закупке и порядок подведения итогов конкурентной закупки</w:t>
      </w:r>
      <w:r>
        <w:rPr>
          <w:sz w:val="24"/>
          <w:szCs w:val="24"/>
        </w:rPr>
        <w:t xml:space="preserve"> – заявки могут подаваться с 14 августа 2025 года на универсальной торговой площадке ЭТП РЕГИОН https://torgi.etp-region.ru до 10 часов (местного времени) </w:t>
      </w:r>
      <w:r>
        <w:rPr>
          <w:sz w:val="24"/>
          <w:szCs w:val="24"/>
          <w:lang w:val="ru-RU"/>
        </w:rPr>
        <w:t>22</w:t>
      </w:r>
      <w:r>
        <w:rPr>
          <w:sz w:val="24"/>
          <w:szCs w:val="24"/>
        </w:rPr>
        <w:t xml:space="preserve"> августа 2025 года. Итоги будут подводиться закупочной комиссией 22 августа 2025 года. Победителем </w:t>
      </w:r>
      <w:r>
        <w:rPr>
          <w:sz w:val="24"/>
          <w:szCs w:val="24"/>
        </w:rPr>
        <w:t>будет признан участник закупки, заявка которого соответствует требованиям, установленным настоящим извещением, и содержит наиболее низкую цену договора.</w:t>
      </w:r>
    </w:p>
    <w:p w14:paraId="00000013" w14:textId="77777777" w:rsidR="00E921B7" w:rsidRDefault="00E921B7">
      <w:pPr>
        <w:spacing w:line="240" w:lineRule="auto"/>
        <w:rPr>
          <w:sz w:val="24"/>
          <w:szCs w:val="24"/>
        </w:rPr>
      </w:pPr>
      <w:bookmarkStart w:id="2" w:name="_GoBack"/>
      <w:bookmarkEnd w:id="2"/>
    </w:p>
    <w:p w14:paraId="00000014" w14:textId="77777777" w:rsidR="00E921B7" w:rsidRDefault="00E921B7">
      <w:pPr>
        <w:spacing w:line="240" w:lineRule="auto"/>
        <w:rPr>
          <w:sz w:val="24"/>
          <w:szCs w:val="24"/>
        </w:rPr>
      </w:pPr>
    </w:p>
    <w:p w14:paraId="00000015" w14:textId="77777777" w:rsidR="00E921B7" w:rsidRDefault="00B8248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Требования к содержанию, оформлению и составу заявки на участие в закупке </w:t>
      </w:r>
      <w:r>
        <w:rPr>
          <w:sz w:val="24"/>
          <w:szCs w:val="24"/>
        </w:rPr>
        <w:t>- заявка на участие в закуп</w:t>
      </w:r>
      <w:r>
        <w:rPr>
          <w:sz w:val="24"/>
          <w:szCs w:val="24"/>
        </w:rPr>
        <w:t>ке должна содержать наименование, место нахождения, почтовый адрес, адрес электронной почты, номер контактного телефона участника закупки, предложение участника закупки о цене договора и согласие участника закупки на выполнение работ, указанных в настоящем</w:t>
      </w:r>
      <w:r>
        <w:rPr>
          <w:sz w:val="24"/>
          <w:szCs w:val="24"/>
        </w:rPr>
        <w:t xml:space="preserve"> извещении, на условиях, предусмотренных проектом договора.</w:t>
      </w:r>
      <w:proofErr w:type="gramEnd"/>
      <w:r>
        <w:rPr>
          <w:sz w:val="24"/>
          <w:szCs w:val="24"/>
        </w:rPr>
        <w:t xml:space="preserve"> Заявка на участие в закупке </w:t>
      </w:r>
      <w:proofErr w:type="gramStart"/>
      <w:r>
        <w:rPr>
          <w:sz w:val="24"/>
          <w:szCs w:val="24"/>
        </w:rPr>
        <w:t>должна</w:t>
      </w:r>
      <w:proofErr w:type="gramEnd"/>
      <w:r>
        <w:rPr>
          <w:sz w:val="24"/>
          <w:szCs w:val="24"/>
        </w:rPr>
        <w:t xml:space="preserve"> подана в электронной форме и подписана усиленной квалифицированной электронной подписью.</w:t>
      </w:r>
    </w:p>
    <w:p w14:paraId="00000016" w14:textId="77777777" w:rsidR="00E921B7" w:rsidRDefault="00E921B7">
      <w:pPr>
        <w:spacing w:line="240" w:lineRule="auto"/>
        <w:jc w:val="both"/>
        <w:rPr>
          <w:b/>
          <w:sz w:val="24"/>
          <w:szCs w:val="24"/>
        </w:rPr>
      </w:pPr>
    </w:p>
    <w:p w14:paraId="00000017" w14:textId="77777777" w:rsidR="00E921B7" w:rsidRDefault="00E921B7">
      <w:pPr>
        <w:spacing w:line="240" w:lineRule="auto"/>
        <w:rPr>
          <w:b/>
          <w:sz w:val="24"/>
          <w:szCs w:val="24"/>
        </w:rPr>
      </w:pPr>
    </w:p>
    <w:p w14:paraId="00000018" w14:textId="77777777" w:rsidR="00E921B7" w:rsidRDefault="00B8248D">
      <w:pPr>
        <w:spacing w:line="240" w:lineRule="auto"/>
        <w:jc w:val="both"/>
        <w:rPr>
          <w:sz w:val="24"/>
          <w:szCs w:val="24"/>
        </w:rPr>
      </w:pPr>
      <w:bookmarkStart w:id="3" w:name="_heading=h.30j0zll" w:colFirst="0" w:colLast="0"/>
      <w:bookmarkEnd w:id="3"/>
      <w:r>
        <w:rPr>
          <w:b/>
          <w:sz w:val="24"/>
          <w:szCs w:val="24"/>
        </w:rPr>
        <w:t>Адрес электронной площадки в информационно - телекоммуникационной сети</w:t>
      </w:r>
      <w:r>
        <w:rPr>
          <w:b/>
          <w:sz w:val="24"/>
          <w:szCs w:val="24"/>
        </w:rPr>
        <w:t xml:space="preserve"> “Интернет”</w:t>
      </w:r>
      <w:r>
        <w:rPr>
          <w:sz w:val="24"/>
          <w:szCs w:val="24"/>
        </w:rPr>
        <w:t xml:space="preserve"> - https://torgi.etp-region.ru</w:t>
      </w:r>
    </w:p>
    <w:p w14:paraId="00000019" w14:textId="77777777" w:rsidR="00E921B7" w:rsidRDefault="00E921B7">
      <w:pPr>
        <w:spacing w:line="240" w:lineRule="auto"/>
        <w:jc w:val="both"/>
        <w:rPr>
          <w:sz w:val="24"/>
          <w:szCs w:val="24"/>
        </w:rPr>
      </w:pPr>
      <w:bookmarkStart w:id="4" w:name="_heading=h.9cpop1fifjmd" w:colFirst="0" w:colLast="0"/>
      <w:bookmarkEnd w:id="4"/>
    </w:p>
    <w:p w14:paraId="0000001A" w14:textId="77777777" w:rsidR="00E921B7" w:rsidRDefault="00B8248D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Обязательные требования к участникам закупки</w:t>
      </w:r>
      <w:r>
        <w:rPr>
          <w:sz w:val="24"/>
          <w:szCs w:val="24"/>
        </w:rPr>
        <w:t xml:space="preserve"> – Участник закупки должен соответствовать требованиям законодательства Российской Федерации к </w:t>
      </w:r>
      <w:r>
        <w:rPr>
          <w:sz w:val="24"/>
          <w:szCs w:val="24"/>
        </w:rPr>
        <w:lastRenderedPageBreak/>
        <w:t>лицам, осуществляющим выполнение работ, которые являются предметом закупки</w:t>
      </w:r>
      <w:r>
        <w:rPr>
          <w:sz w:val="24"/>
          <w:szCs w:val="24"/>
        </w:rPr>
        <w:t xml:space="preserve">. Участник закупки не находится в процессе ликвидации и не признан по решению арбитражного суда несостоятельным (банкротом). На день подачи заявки деятельность участника закупки не приостановлена в порядке, предусмотренном Кодексом Российской Федерации об </w:t>
      </w:r>
      <w:r>
        <w:rPr>
          <w:sz w:val="24"/>
          <w:szCs w:val="24"/>
        </w:rPr>
        <w:t xml:space="preserve">административных правонарушениях. У участника закупки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25 процентов </w:t>
      </w:r>
      <w:r>
        <w:rPr>
          <w:sz w:val="24"/>
          <w:szCs w:val="24"/>
        </w:rPr>
        <w:t>от балансовой стоимости активов участника закупки по данным бухгалтерской отчетности за последний отчетный период. Сведения об участнике закупки отсутствуют в реестрах недобросовестных поставщиков, ведение которых предусмотрено Федеральным законом "О закуп</w:t>
      </w:r>
      <w:r>
        <w:rPr>
          <w:sz w:val="24"/>
          <w:szCs w:val="24"/>
        </w:rPr>
        <w:t>ках товаров, работ, услуг отдельными видами юридических лиц" и Федеральным законом “О контрактной системе в сфере закупок товаров, работ, услуг для обеспечения государственных и муниципальных нужд”.</w:t>
      </w:r>
    </w:p>
    <w:p w14:paraId="0000001B" w14:textId="77777777" w:rsidR="00E921B7" w:rsidRDefault="00E921B7">
      <w:pPr>
        <w:spacing w:line="240" w:lineRule="auto"/>
        <w:jc w:val="both"/>
        <w:rPr>
          <w:sz w:val="24"/>
          <w:szCs w:val="24"/>
        </w:rPr>
      </w:pPr>
    </w:p>
    <w:sectPr w:rsidR="00E921B7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21B7"/>
    <w:rsid w:val="00B8248D"/>
    <w:rsid w:val="00E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F45DD"/>
    <w:rPr>
      <w:color w:val="0000FF"/>
      <w:u w:val="single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F45DD"/>
    <w:rPr>
      <w:color w:val="0000FF"/>
      <w:u w:val="single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m/A+ddqDepD/AUU3OPGN7PYyA==">CgMxLjAyCWguMWZvYjl0ZTIIaC5namRneHMyCWguMzBqMHpsbDIOaC45Y3BvcDFmaWZqbWQ4AHIhMWpITHNLNHZ3bXZCaHAxZUhvRnBOX2R6d3hVSTd6NDg2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2751</Characters>
  <Application>Microsoft Office Word</Application>
  <DocSecurity>0</DocSecurity>
  <Lines>22</Lines>
  <Paragraphs>6</Paragraphs>
  <ScaleCrop>false</ScaleCrop>
  <Company>*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170183</cp:lastModifiedBy>
  <cp:revision>2</cp:revision>
  <dcterms:created xsi:type="dcterms:W3CDTF">2024-01-23T10:46:00Z</dcterms:created>
  <dcterms:modified xsi:type="dcterms:W3CDTF">2025-08-14T12:56:00Z</dcterms:modified>
</cp:coreProperties>
</file>