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numPr>
          <w:ilvl w:val="0"/>
          <w:numId w:val="0"/>
        </w:numPr>
        <w:jc w:val="right"/>
        <w:shd w:val="clear" w:color="auto" w:fill="auto"/>
        <w:rPr>
          <w:b/>
          <w:bCs/>
          <w:highlight w:val="none"/>
        </w:rPr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numPr>
          <w:ilvl w:val="0"/>
          <w:numId w:val="0"/>
        </w:numPr>
        <w:shd w:val="clear" w:color="auto" w:fill="auto"/>
        <w:tabs>
          <w:tab w:val="left" w:pos="720" w:leader="none"/>
        </w:tabs>
        <w:rPr>
          <w:bCs/>
          <w:highlight w:val="none"/>
        </w:rPr>
        <w:outlineLvl w:val="0"/>
      </w:pPr>
      <w:r>
        <w:rPr>
          <w:b/>
          <w:bCs/>
          <w:highlight w:val="none"/>
        </w:rPr>
        <w:tab/>
        <w:t xml:space="preserve">Номер закупки № </w:t>
      </w:r>
      <w:r>
        <w:rPr>
          <w:b/>
          <w:bCs/>
          <w:highlight w:val="none"/>
        </w:rPr>
        <w:t xml:space="preserve">2025.123688</w:t>
      </w:r>
      <w:r>
        <w:rPr>
          <w:b/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numPr>
          <w:ilvl w:val="0"/>
          <w:numId w:val="0"/>
        </w:numPr>
        <w:jc w:val="right"/>
        <w:spacing w:line="480" w:lineRule="auto"/>
        <w:shd w:val="clear" w:color="auto" w:fill="auto"/>
        <w:rPr>
          <w:b/>
          <w:sz w:val="28"/>
          <w:szCs w:val="28"/>
          <w:highlight w:val="none"/>
        </w:rPr>
        <w:outlineLvl w:val="0"/>
      </w:pPr>
      <w:r>
        <w:rPr>
          <w:bCs/>
          <w:highlight w:val="none"/>
        </w:rPr>
        <w:t xml:space="preserve">«УТВЕРЖДАЮ»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43"/>
        <w:numPr>
          <w:ilvl w:val="0"/>
          <w:numId w:val="0"/>
        </w:numPr>
        <w:jc w:val="right"/>
        <w:shd w:val="clear" w:color="auto" w:fill="auto"/>
        <w:rPr>
          <w:b/>
          <w:bCs/>
          <w:highlight w:val="none"/>
        </w:rPr>
        <w:outlineLvl w:val="0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  <w:t xml:space="preserve">ГОСУДАРСТВЕННОЕ АВТОНОМНОЕ УЧРЕЖДЕНИЕ ЗДРАВООХРАНЕНИЯ "ИРИКЛИНСКАЯ РАЙОННАЯ БОЛЬНИЦА"</w:t>
      </w:r>
      <w:r>
        <w:rPr>
          <w:b/>
          <w:sz w:val="28"/>
          <w:szCs w:val="28"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shd w:val="clear" w:color="auto" w:fill="auto"/>
        <w:rPr>
          <w:b/>
          <w:bCs/>
          <w:highlight w:val="none"/>
        </w:rPr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shd w:val="clear" w:color="auto" w:fill="auto"/>
        <w:rPr>
          <w:b/>
          <w:bCs/>
          <w:highlight w:val="none"/>
        </w:rPr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shd w:val="clear" w:color="auto" w:fill="auto"/>
        <w:rPr>
          <w:b/>
          <w:bCs/>
          <w:highlight w:val="none"/>
        </w:rPr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shd w:val="clear" w:color="auto" w:fill="auto"/>
        <w:rPr>
          <w:b/>
          <w:bCs/>
          <w:highlight w:val="none"/>
        </w:rPr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shd w:val="clear" w:color="auto" w:fill="auto"/>
        <w:rPr>
          <w:b/>
          <w:bCs/>
          <w:highlight w:val="none"/>
        </w:rPr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shd w:val="clear" w:color="auto" w:fill="auto"/>
        <w:rPr>
          <w:b/>
          <w:bCs/>
          <w:highlight w:val="none"/>
        </w:rPr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shd w:val="clear" w:color="auto" w:fill="auto"/>
        <w:rPr>
          <w:b/>
          <w:bCs/>
          <w:highlight w:val="none"/>
        </w:rPr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shd w:val="clear" w:color="auto" w:fill="auto"/>
        <w:rPr>
          <w:b/>
          <w:bCs/>
          <w:highlight w:val="none"/>
        </w:rPr>
        <w:outlineLvl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3"/>
        <w:jc w:val="center"/>
        <w:shd w:val="clear" w:color="auto" w:fill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ДОКУМЕНТАЦИЯ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43"/>
        <w:jc w:val="center"/>
        <w:shd w:val="clear" w:color="auto" w:fill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Аукцион в электронной форме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43"/>
        <w:jc w:val="center"/>
        <w:shd w:val="clear" w:color="auto" w:fill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43"/>
        <w:jc w:val="center"/>
        <w:shd w:val="clear" w:color="auto" w:fill="auto"/>
        <w:rPr>
          <w:highlight w:val="none"/>
        </w:rPr>
      </w:pPr>
      <w:r>
        <w:rPr>
          <w:b/>
          <w:sz w:val="28"/>
          <w:szCs w:val="28"/>
          <w:highlight w:val="none"/>
        </w:rPr>
        <w:t xml:space="preserve">Объект закупки: </w:t>
      </w:r>
      <w:r>
        <w:rPr>
          <w:b/>
          <w:sz w:val="28"/>
          <w:szCs w:val="28"/>
          <w:highlight w:val="none"/>
        </w:rPr>
        <w:t xml:space="preserve">Поставка автошин</w:t>
      </w:r>
      <w:r>
        <w:rPr>
          <w:b/>
          <w:sz w:val="28"/>
          <w:szCs w:val="28"/>
          <w:highlight w:val="none"/>
        </w:rPr>
        <w:t xml:space="preserve">     </w:t>
      </w:r>
      <w:r>
        <w:rPr>
          <w:highlight w:val="none"/>
        </w:rPr>
      </w:r>
    </w:p>
    <w:p>
      <w:pPr>
        <w:pStyle w:val="843"/>
        <w:jc w:val="righ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jc w:val="righ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jc w:val="righ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jc w:val="right"/>
        <w:shd w:val="clear" w:color="auto" w:fill="auto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ind w:left="0" w:right="0" w:firstLine="709"/>
        <w:jc w:val="right"/>
        <w:shd w:val="clear" w:color="auto" w:fill="auto"/>
        <w:tabs>
          <w:tab w:val="left" w:pos="709" w:leader="none"/>
        </w:tabs>
        <w:rPr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ind w:left="0" w:right="0" w:firstLine="709"/>
        <w:jc w:val="right"/>
        <w:shd w:val="clear" w:color="auto" w:fill="auto"/>
        <w:tabs>
          <w:tab w:val="left" w:pos="709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0" w:right="0" w:firstLine="709"/>
        <w:jc w:val="right"/>
        <w:shd w:val="clear" w:color="auto" w:fill="auto"/>
        <w:tabs>
          <w:tab w:val="left" w:pos="709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0" w:right="0" w:firstLine="709"/>
        <w:jc w:val="right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shd w:val="clear" w:color="auto" w:fill="auto"/>
        <w:tabs>
          <w:tab w:val="left" w:pos="709" w:leader="none"/>
        </w:tabs>
        <w:rPr>
          <w:bCs/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</w:p>
    <w:p>
      <w:pPr>
        <w:pStyle w:val="843"/>
        <w:ind w:left="-284" w:right="0" w:firstLine="0"/>
        <w:jc w:val="both"/>
        <w:shd w:val="clear" w:color="auto" w:fill="auto"/>
        <w:tabs>
          <w:tab w:val="left" w:pos="360" w:leader="none"/>
        </w:tabs>
        <w:rPr>
          <w:b/>
          <w:bCs/>
          <w:iCs/>
          <w:highlight w:val="none"/>
        </w:rPr>
      </w:pPr>
      <w:r>
        <w:rPr>
          <w:highlight w:val="none"/>
        </w:rPr>
      </w:r>
      <w:bookmarkStart w:id="0" w:name="_Ref119427269"/>
      <w:r>
        <w:rPr>
          <w:rFonts w:cs="Times New Roman"/>
          <w:highlight w:val="none"/>
        </w:rPr>
        <w:t xml:space="preserve">        </w:t>
      </w:r>
      <w:r>
        <w:rPr>
          <w:rFonts w:cs="Arial"/>
          <w:highlight w:val="none"/>
        </w:rPr>
        <w:t xml:space="preserve">Настоящая документация об аукционе в электронной форме подготовлена в соответствии с Федер</w:t>
      </w:r>
      <w:r>
        <w:rPr>
          <w:rFonts w:cs="Arial"/>
          <w:highlight w:val="none"/>
        </w:rPr>
        <w:t xml:space="preserve">альным законом от 18 июля 2011 года № 223-ФЗ «О закупках товаров, работ, услуг отдельными видами юридических лиц», типовым положением о закупке товаров, работ, услуг отдельными видами юридических лиц и разработанным на его основе Положением о закупке товар</w:t>
      </w:r>
      <w:r>
        <w:rPr>
          <w:rFonts w:cs="Arial"/>
          <w:highlight w:val="none"/>
        </w:rPr>
        <w:t xml:space="preserve">ов, работ, услуг Заказчика (далее по тексту – Положение о закупке), а также иным законодательством, регулирующим закупочную деятельность. В части иных правоотношений, не урегулированных настоящей документацией, в том числе в части иных правил подготовки и </w:t>
      </w:r>
      <w:r>
        <w:rPr>
          <w:rFonts w:cs="Arial"/>
          <w:highlight w:val="none"/>
        </w:rPr>
        <w:t xml:space="preserve">проведения закупки, не указанных в настоящей документации, необходимо руководствоваться типовым положением о закупке товаров, работ, услуг отдельными видами юридических лиц и разработанным на его основе Положением о закупке товаров, работ, услуг Заказчика.</w:t>
      </w:r>
      <w:r>
        <w:rPr>
          <w:b/>
          <w:bCs/>
          <w:iCs/>
          <w:highlight w:val="none"/>
        </w:rPr>
      </w:r>
      <w:r>
        <w:rPr>
          <w:b/>
          <w:bCs/>
          <w:i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keepNext/>
        <w:shd w:val="clear" w:color="auto" w:fill="auto"/>
        <w:rPr>
          <w:b/>
          <w:bCs/>
          <w:iCs/>
          <w:highlight w:val="none"/>
        </w:rPr>
        <w:outlineLvl w:val="0"/>
      </w:pPr>
      <w:r>
        <w:rPr>
          <w:b/>
          <w:bCs/>
          <w:iCs/>
          <w:highlight w:val="none"/>
        </w:rPr>
      </w:r>
      <w:r>
        <w:rPr>
          <w:b/>
          <w:bCs/>
          <w:iCs/>
          <w:highlight w:val="none"/>
        </w:rPr>
      </w:r>
      <w:r>
        <w:rPr>
          <w:b/>
          <w:bCs/>
          <w:i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keepNext/>
        <w:shd w:val="clear" w:color="auto" w:fill="auto"/>
        <w:rPr>
          <w:b/>
          <w:iCs/>
          <w:highlight w:val="none"/>
        </w:rPr>
        <w:outlineLvl w:val="0"/>
      </w:pPr>
      <w:r>
        <w:rPr>
          <w:b/>
          <w:iCs/>
          <w:highlight w:val="none"/>
        </w:rPr>
        <w:t xml:space="preserve">РАЗДЕЛ </w:t>
      </w:r>
      <w:r>
        <w:rPr>
          <w:b/>
          <w:iCs/>
          <w:highlight w:val="none"/>
          <w:lang w:val="en-US"/>
        </w:rPr>
        <w:t xml:space="preserve">I</w:t>
      </w:r>
      <w:r>
        <w:rPr>
          <w:b/>
          <w:iCs/>
          <w:highlight w:val="none"/>
        </w:rPr>
        <w:t xml:space="preserve">. </w:t>
      </w:r>
      <w:r>
        <w:rPr>
          <w:b/>
          <w:iCs/>
          <w:highlight w:val="none"/>
        </w:rPr>
      </w:r>
      <w:r>
        <w:rPr>
          <w:b/>
          <w:i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keepNext/>
        <w:shd w:val="clear" w:color="auto" w:fill="auto"/>
        <w:rPr>
          <w:b/>
          <w:iCs/>
          <w:highlight w:val="none"/>
        </w:rPr>
        <w:outlineLvl w:val="0"/>
      </w:pPr>
      <w:r>
        <w:rPr>
          <w:b/>
          <w:iCs/>
          <w:highlight w:val="none"/>
        </w:rPr>
      </w:r>
      <w:r>
        <w:rPr>
          <w:b/>
          <w:iCs/>
          <w:highlight w:val="none"/>
        </w:rPr>
      </w:r>
      <w:r>
        <w:rPr>
          <w:b/>
          <w:iCs/>
          <w:highlight w:val="none"/>
        </w:rPr>
      </w:r>
    </w:p>
    <w:p>
      <w:pPr>
        <w:pStyle w:val="843"/>
        <w:numPr>
          <w:ilvl w:val="0"/>
          <w:numId w:val="0"/>
        </w:numPr>
        <w:jc w:val="center"/>
        <w:keepNext/>
        <w:shd w:val="clear" w:color="auto" w:fill="auto"/>
        <w:rPr>
          <w:b/>
          <w:sz w:val="20"/>
          <w:highlight w:val="none"/>
        </w:rPr>
        <w:outlineLvl w:val="0"/>
      </w:pPr>
      <w:r>
        <w:rPr>
          <w:highlight w:val="none"/>
        </w:rPr>
        <w:t xml:space="preserve">ИНФОРМАЦИОННАЯ КАРТА</w:t>
      </w:r>
      <w:bookmarkEnd w:id="0"/>
      <w:r>
        <w:rPr>
          <w:b/>
          <w:sz w:val="20"/>
          <w:highlight w:val="none"/>
        </w:rPr>
      </w:r>
      <w:r>
        <w:rPr>
          <w:b/>
          <w:sz w:val="20"/>
          <w:highlight w:val="none"/>
        </w:rPr>
      </w:r>
    </w:p>
    <w:tbl>
      <w:tblPr>
        <w:tblW w:w="0" w:type="auto"/>
        <w:tblInd w:w="-32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2677"/>
        <w:gridCol w:w="6978"/>
      </w:tblGrid>
      <w:tr>
        <w:tblPrEx/>
        <w:trPr/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tabs>
                <w:tab w:val="left" w:pos="708" w:leader="none"/>
              </w:tabs>
              <w:rPr>
                <w:b/>
                <w:sz w:val="20"/>
                <w:highlight w:val="none"/>
              </w:rPr>
            </w:pPr>
            <w:r>
              <w:rPr>
                <w:b/>
                <w:sz w:val="20"/>
                <w:highlight w:val="none"/>
              </w:rPr>
              <w:t xml:space="preserve">№ </w:t>
            </w:r>
            <w:r>
              <w:rPr>
                <w:b/>
                <w:sz w:val="20"/>
                <w:highlight w:val="none"/>
              </w:rPr>
            </w:r>
            <w:r>
              <w:rPr>
                <w:b/>
                <w:sz w:val="20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08" w:leader="none"/>
              </w:tabs>
              <w:rPr>
                <w:highlight w:val="none"/>
              </w:rPr>
            </w:pPr>
            <w:r>
              <w:rPr>
                <w:b/>
                <w:sz w:val="20"/>
                <w:highlight w:val="none"/>
              </w:rPr>
              <w:t xml:space="preserve">п/п</w:t>
            </w:r>
            <w:r>
              <w:rPr>
                <w:highlight w:val="none"/>
              </w:rPr>
            </w:r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tabs>
                <w:tab w:val="left" w:pos="708" w:leader="none"/>
              </w:tabs>
              <w:rPr>
                <w:highlight w:val="none"/>
              </w:rPr>
            </w:pPr>
            <w:r>
              <w:rPr>
                <w:b/>
                <w:sz w:val="20"/>
                <w:highlight w:val="none"/>
              </w:rPr>
              <w:t xml:space="preserve">Наименование пункта</w:t>
            </w:r>
            <w:r>
              <w:rPr>
                <w:highlight w:val="none"/>
              </w:rPr>
            </w:r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tabs>
                <w:tab w:val="left" w:pos="708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highlight w:val="none"/>
              </w:rPr>
              <w:t xml:space="preserve">Информация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highlight w:val="none"/>
              </w:rPr>
              <w:t xml:space="preserve">Наименование </w:t>
            </w:r>
            <w:r>
              <w:rPr>
                <w:rFonts w:eastAsia="Calibri"/>
                <w:highlight w:val="none"/>
              </w:rPr>
              <w:t xml:space="preserve">Заказчика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  <w:t xml:space="preserve">ГОСУДАРСТВЕННОЕ АВТОНОМНОЕ УЧРЕЖДЕНИЕ ЗДРАВООХРАНЕНИЯ "ИРИКЛИНСКАЯ РАЙОННАЯ БОЛЬНИЦА"</w:t>
            </w: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rFonts w:eastAsia="Calibri"/>
                <w:b/>
                <w:highlight w:val="none"/>
              </w:rPr>
            </w:pPr>
            <w:r>
              <w:rPr>
                <w:rFonts w:eastAsia="Calibri"/>
                <w:b/>
                <w:highlight w:val="none"/>
              </w:rPr>
            </w:r>
            <w:r>
              <w:rPr>
                <w:rFonts w:eastAsia="Calibri"/>
                <w:b/>
                <w:highlight w:val="none"/>
              </w:rPr>
            </w:r>
            <w:r>
              <w:rPr>
                <w:rFonts w:eastAsia="Calibri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highlight w:val="none"/>
              </w:rPr>
              <w:suppressLineNumbers/>
            </w:pPr>
            <w:r>
              <w:rPr>
                <w:b/>
                <w:highlight w:val="none"/>
                <w:u w:val="single"/>
              </w:rPr>
              <w:t xml:space="preserve">Наименование</w:t>
            </w:r>
            <w:r>
              <w:rPr>
                <w:highlight w:val="none"/>
                <w:u w:val="single"/>
              </w:rPr>
              <w:t xml:space="preserve"> Организатора закупки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Государственное казенное учреждение Оренбургской области               «Центр организации закупок»</w:t>
            </w:r>
            <w:r>
              <w:rPr>
                <w:highlight w:val="none"/>
              </w:rPr>
            </w:r>
          </w:p>
        </w:tc>
      </w:tr>
      <w:tr>
        <w:tblPrEx/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highlight w:val="no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hd w:val="clear" w:color="auto" w:fill="auto"/>
              <w:rPr>
                <w:highlight w:val="none"/>
              </w:rPr>
              <w:suppressLineNumbers/>
            </w:pPr>
            <w:r>
              <w:rPr>
                <w:b/>
                <w:highlight w:val="none"/>
              </w:rPr>
              <w:t xml:space="preserve">Наименование</w:t>
            </w:r>
            <w:r>
              <w:rPr>
                <w:highlight w:val="none"/>
              </w:rPr>
              <w:t xml:space="preserve"> Оператора электронной торговой площадки</w:t>
            </w:r>
            <w:r>
              <w:rPr>
                <w:b/>
                <w:highlight w:val="none"/>
              </w:rPr>
              <w:t xml:space="preserve"> Адрес</w:t>
            </w:r>
            <w:r>
              <w:rPr>
                <w:highlight w:val="none"/>
              </w:rPr>
              <w:t xml:space="preserve"> электронной торговой площадки в сети «Интернет»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ЭЛЕКТРОННАЯ ТОРГОВАЯ ПЛОЩАДКА РЕГИОН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keepLines/>
              <w:keepNext/>
              <w:shd w:val="clear" w:color="auto" w:fill="auto"/>
              <w:rPr>
                <w:highlight w:val="none"/>
              </w:rPr>
              <w:suppressLineNumbers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http://etp-region.ru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Количество </w:t>
            </w:r>
            <w:r>
              <w:rPr>
                <w:highlight w:val="none"/>
              </w:rPr>
              <w:t xml:space="preserve">поставляемого товара, объем выполняемых работ, оказываемых услуг, требования к качеству, техническим характеристикам товара, работы, услуги, к их безопасности, к функциональн</w:t>
            </w:r>
            <w:r>
              <w:rPr>
                <w:highlight w:val="none"/>
              </w:rPr>
              <w:t xml:space="preserve">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 Заказчика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В соответствии с Техническим заданием, прилагаемым к настоящей документации.</w:t>
            </w:r>
            <w:r>
              <w:rPr>
                <w:highlight w:val="non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5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Место, условия и сроки (периоды) поставки</w:t>
            </w:r>
            <w:r>
              <w:rPr>
                <w:rFonts w:eastAsia="Calibri"/>
                <w:highlight w:val="none"/>
              </w:rPr>
              <w:t xml:space="preserve"> товара, выполнения работ, оказания услуг;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Место: </w:t>
            </w:r>
            <w:r>
              <w:rPr>
                <w:rFonts w:eastAsia="Calibri"/>
                <w:b/>
                <w:bCs/>
                <w:highlight w:val="none"/>
              </w:rPr>
              <w:t xml:space="preserve">Оренбургская обл., п. Новоорск, ул. Булдакова, д.2, литера Е</w:t>
            </w:r>
            <w:r>
              <w:rPr>
                <w:rFonts w:eastAsia="Calibri"/>
                <w:b/>
                <w:bCs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Сроки: в соответствии с договором. </w:t>
            </w:r>
            <w:r>
              <w:rPr>
                <w:highlight w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Условия: в соответствии с договором.</w:t>
            </w:r>
            <w:r>
              <w:rPr>
                <w:highlight w:val="none"/>
              </w:rPr>
            </w:r>
          </w:p>
        </w:tc>
      </w:tr>
      <w:tr>
        <w:tblPrEx/>
        <w:trPr>
          <w:trHeight w:val="19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Начальная (максимальная) цена</w:t>
            </w:r>
            <w:r>
              <w:rPr>
                <w:rFonts w:eastAsia="Calibri"/>
                <w:highlight w:val="none"/>
              </w:rPr>
              <w:t xml:space="preserve"> договора (</w:t>
            </w:r>
            <w:r>
              <w:rPr>
                <w:rFonts w:eastAsia="Calibri"/>
                <w:highlight w:val="none"/>
                <w:lang w:eastAsia="en-US"/>
              </w:rPr>
              <w:t xml:space="preserve">единицы каждого товара, работы, услуги, являющихся предметом закупки</w:t>
            </w:r>
            <w:r>
              <w:rPr>
                <w:rFonts w:eastAsia="Calibri"/>
                <w:highlight w:val="none"/>
              </w:rPr>
              <w:t xml:space="preserve">).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rFonts w:eastAsia="Calibri"/>
                <w:b/>
                <w:bCs/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</w:r>
            <w:r>
              <w:rPr>
                <w:rFonts w:eastAsia="Calibri"/>
                <w:b/>
                <w:bCs/>
                <w:highlight w:val="none"/>
              </w:rPr>
              <w:t xml:space="preserve">473 448,00</w:t>
            </w:r>
            <w:r>
              <w:rPr>
                <w:rFonts w:eastAsia="Calibri"/>
                <w:b/>
                <w:bCs/>
                <w:highlight w:val="none"/>
              </w:rPr>
            </w:r>
            <w:r>
              <w:rPr>
                <w:rFonts w:eastAsia="Calibri"/>
                <w:b/>
                <w:bCs/>
                <w:highlight w:val="none"/>
              </w:rPr>
              <w:t xml:space="preserve"> руб.</w:t>
            </w:r>
            <w:r>
              <w:rPr>
                <w:rFonts w:eastAsia="Calibri"/>
                <w:b/>
                <w:bCs/>
                <w:highlight w:val="none"/>
                <w:lang w:eastAsia="en-US"/>
              </w:rPr>
            </w:r>
            <w:r>
              <w:rPr>
                <w:rFonts w:eastAsia="Calibri"/>
                <w:b/>
                <w:bCs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b/>
                <w:bCs/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  <w:lang w:eastAsia="en-US"/>
              </w:rPr>
            </w:r>
            <w:r>
              <w:rPr>
                <w:rFonts w:eastAsia="Calibri"/>
                <w:b/>
                <w:bCs/>
                <w:highlight w:val="none"/>
                <w:lang w:eastAsia="en-US"/>
              </w:rPr>
            </w:r>
            <w:r>
              <w:rPr>
                <w:rFonts w:eastAsia="Calibri"/>
                <w:b/>
                <w:bCs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Сведения о начальной (максимальной) цене единицы каждого товара, работы, услуги, являющихся предметом закупки, указаны в разделе </w:t>
            </w:r>
            <w:r>
              <w:rPr>
                <w:rFonts w:eastAsia="Calibri"/>
                <w:highlight w:val="none"/>
                <w:lang w:val="en-US" w:eastAsia="en-US"/>
              </w:rPr>
              <w:t xml:space="preserve">III</w:t>
            </w:r>
            <w:r>
              <w:rPr>
                <w:rFonts w:eastAsia="Calibri"/>
                <w:highlight w:val="none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7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Сведения о валюте</w:t>
            </w:r>
            <w:r>
              <w:rPr>
                <w:highlight w:val="none"/>
              </w:rPr>
              <w:t xml:space="preserve">, используемой для формирования цены договора и расчетов с поставщиками (исполнителями, подрядчиками).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Российский рубль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Форма, сроки и порядок оплаты</w:t>
            </w:r>
            <w:r>
              <w:rPr>
                <w:rFonts w:eastAsia="Calibri"/>
                <w:highlight w:val="none"/>
              </w:rPr>
              <w:t xml:space="preserve"> товара, работ, услуг;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В соответствии с проектом договора, прилагаемым к настоящей документации.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9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Порядок формирования цены</w:t>
            </w:r>
            <w:r>
              <w:rPr>
                <w:rFonts w:eastAsia="Calibri"/>
                <w:highlight w:val="none"/>
              </w:rPr>
              <w:t xml:space="preserve"> договора (цены лота) (с учетом расходов на перевозку, страхование, уплату таможенных пошлин, налогов и других обязательных платежей);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В цену договора должны быть вк</w:t>
            </w:r>
            <w:r>
              <w:rPr>
                <w:rFonts w:eastAsia="Calibri"/>
                <w:highlight w:val="none"/>
              </w:rPr>
              <w:t xml:space="preserve">лючены стоимость товара, работы, услуги, расходы на доставку, страхование, уплату налогов, акцизов, сборов и другие обязательные платежи, а также иные расходы, которые могут возникнуть у поставщика (исполнителя, подрядчика) при выполнении условий договора.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Порядок, место, дата начала и дата и время окончания срока подачи заявок</w:t>
            </w:r>
            <w:r>
              <w:rPr>
                <w:rFonts w:eastAsia="Calibri"/>
                <w:highlight w:val="none"/>
              </w:rPr>
              <w:t xml:space="preserve">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widowControl w:val="off"/>
              <w:rPr>
                <w:b/>
                <w:highlight w:val="none"/>
              </w:rPr>
            </w:pPr>
            <w:r>
              <w:rPr>
                <w:highlight w:val="none"/>
                <w:u w:val="single"/>
              </w:rPr>
              <w:t xml:space="preserve">Заявки на участие в аукционе в электронной форме подаются через ЭТП по адресу, указанному в п.3 Информационной карты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widowControl w:val="off"/>
              <w:rPr>
                <w:rFonts w:eastAsia="Calibri"/>
                <w:highlight w:val="none"/>
              </w:rPr>
            </w:pPr>
            <w:r>
              <w:rPr>
                <w:b/>
                <w:highlight w:val="none"/>
              </w:rPr>
              <w:t xml:space="preserve">Дата начала подачи: </w:t>
            </w:r>
            <w:r>
              <w:rPr>
                <w:highlight w:val="none"/>
              </w:rPr>
              <w:t xml:space="preserve">дата размещения извещения о проведении аукциона в электронной форме в Единой информационной системе.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widowControl w:val="off"/>
              <w:rPr>
                <w:b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Участник вправе подать заявку на участие в аукционе в любое время с момента размещения извещения о его проведении в Единой информационной системе и на ЭТП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Дата и время окончания подачи заявок: </w:t>
            </w:r>
            <w:r>
              <w:rPr>
                <w:b/>
                <w:highlight w:val="none"/>
              </w:rPr>
              <w:t xml:space="preserve">«</w:t>
            </w:r>
            <w:r>
              <w:rPr>
                <w:b/>
                <w:highlight w:val="none"/>
              </w:rPr>
              <w:t xml:space="preserve">15</w:t>
            </w:r>
            <w:r>
              <w:rPr>
                <w:b/>
                <w:highlight w:val="none"/>
              </w:rPr>
              <w:t xml:space="preserve">» сентября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2025г</w:t>
            </w:r>
            <w:r>
              <w:rPr>
                <w:rFonts w:eastAsia="Calibri"/>
                <w:b/>
                <w:highlight w:val="none"/>
              </w:rPr>
              <w:t xml:space="preserve">.</w:t>
            </w:r>
            <w:r>
              <w:rPr>
                <w:rFonts w:eastAsia="Calibri"/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bCs/>
                <w:highlight w:val="none"/>
              </w:rPr>
            </w:pPr>
            <w:r>
              <w:rPr>
                <w:b/>
                <w:highlight w:val="none"/>
              </w:rPr>
              <w:t xml:space="preserve">в 10  часов 00  минут (по местному времени).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widowControl w:val="off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Порядок подачи заявки на участие в аукционе в электронной форме определяется регламентом оператора электронной торговой площадки, на которой проводится аукцион в электронной форме.</w:t>
            </w:r>
            <w:r>
              <w:rPr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Участнику закупки для участия необходимо получить аккредитацию на электронной площадке в порядке, установленном оператором электронной площадки. Обмен между участником аукциона</w:t>
            </w:r>
            <w:r>
              <w:rPr>
                <w:highlight w:val="none"/>
              </w:rPr>
              <w:t xml:space="preserve"> в электронной форме, Заказчиком и оператором электронной площадки информацией, связанной с получением аккредитации на электронной площадке, осуществлением аукциона в электронной форме, осуществляется на электронной площадке в форме электронных документов.</w:t>
            </w:r>
            <w:r>
              <w:rPr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Участник вправе подать только одну заявку на участие в процедуре. </w:t>
            </w:r>
            <w:r>
              <w:rPr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Участник закупки, подавший заявку на участие в аукционе в электронной форме, вправе изменить или отозвать ее в любое время до истечения срока подачи заявок на участие, посредством функционала ЭТП.</w:t>
            </w:r>
            <w:r>
              <w:rPr>
                <w:highlight w:val="none"/>
              </w:rPr>
            </w:r>
          </w:p>
        </w:tc>
      </w:tr>
      <w:tr>
        <w:tblPrEx/>
        <w:trPr>
          <w:trHeight w:val="3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Формы, порядок </w:t>
            </w:r>
            <w:r>
              <w:rPr>
                <w:rFonts w:eastAsia="Calibri"/>
                <w:highlight w:val="none"/>
              </w:rPr>
              <w:t xml:space="preserve">предоставления участникам закупки </w:t>
            </w:r>
            <w:r>
              <w:rPr>
                <w:rFonts w:eastAsia="Calibri"/>
                <w:b/>
                <w:bCs/>
                <w:highlight w:val="none"/>
              </w:rPr>
              <w:t xml:space="preserve">разъяснений</w:t>
            </w:r>
            <w:r>
              <w:rPr>
                <w:rFonts w:eastAsia="Calibri"/>
                <w:highlight w:val="none"/>
              </w:rPr>
              <w:t xml:space="preserve"> положений   документации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Любой участник закупки вправе направить Заказчику посредством электронной площадки запрос о даче разъяснений положений извещения и (или) документации о закупке. В течение трех рабочих дней со дня поступления указанног</w:t>
            </w:r>
            <w:r>
              <w:rPr>
                <w:rFonts w:eastAsia="Calibri"/>
                <w:highlight w:val="none"/>
              </w:rPr>
              <w:t xml:space="preserve">о запроса Заказчик размещает разъяснение положений документации о конкурентной закупке в единой информационной системе с указанием предмета запроса, но без указания участника закупки, от которого поступил указанный запрос, если запрос поступил к Заказчику.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Разъяснения положений извещения и (или) документации о закупке не должны изменять предмет закупки и существенные условия проекта договора.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Дата и время </w:t>
            </w:r>
            <w:r>
              <w:rPr>
                <w:rFonts w:eastAsia="Calibri"/>
                <w:bCs/>
                <w:highlight w:val="none"/>
              </w:rPr>
              <w:t xml:space="preserve">окончания срока предоставления участникам закупки разъяснений положений документации о закупке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  <w:shd w:val="clear" w:color="ffffff" w:themeColor="background1" w:fill="ffffff" w:themeFill="background1"/>
              </w:rPr>
              <w:t xml:space="preserve">«</w:t>
            </w:r>
            <w:r>
              <w:rPr>
                <w:rFonts w:eastAsia="Calibri"/>
                <w:b/>
                <w:bCs/>
                <w:highlight w:val="none"/>
                <w:shd w:val="clear" w:color="ffffff" w:themeColor="background1" w:fill="ffffff" w:themeFill="background1"/>
              </w:rPr>
              <w:t xml:space="preserve">12</w:t>
            </w:r>
            <w:r>
              <w:rPr>
                <w:rFonts w:eastAsia="Calibri"/>
                <w:b/>
                <w:bCs/>
                <w:highlight w:val="none"/>
                <w:shd w:val="clear" w:color="ffffff" w:themeColor="background1" w:fill="ffffff" w:themeFill="background1"/>
              </w:rPr>
              <w:t xml:space="preserve">» 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сентября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2025г</w:t>
            </w:r>
            <w:r>
              <w:rPr>
                <w:rFonts w:eastAsia="Calibri"/>
                <w:b/>
                <w:highlight w:val="none"/>
              </w:rPr>
              <w:t xml:space="preserve">.</w:t>
            </w:r>
            <w:r>
              <w:rPr>
                <w:rFonts w:eastAsia="Calibri"/>
                <w:b/>
                <w:highlight w:val="none"/>
              </w:rPr>
              <w:t xml:space="preserve"> </w:t>
            </w:r>
            <w:r>
              <w:rPr>
                <w:rFonts w:eastAsia="Calibri"/>
                <w:highlight w:val="none"/>
              </w:rPr>
              <w:t xml:space="preserve">23 часов 59 минут (поместному времени) </w:t>
            </w:r>
            <w:r>
              <w:rPr>
                <w:highlight w:val="none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rFonts w:eastAsia="Calibri"/>
                <w:b/>
                <w:bCs/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12</w:t>
            </w:r>
            <w:r>
              <w:rPr>
                <w:rFonts w:eastAsia="Calibri"/>
                <w:b/>
                <w:bCs/>
                <w:highlight w:val="none"/>
              </w:rPr>
            </w:r>
            <w:r>
              <w:rPr>
                <w:rFonts w:eastAsia="Calibri"/>
                <w:b/>
                <w:bCs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b/>
                <w:bCs/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</w:r>
            <w:r>
              <w:rPr>
                <w:rFonts w:eastAsia="Calibri"/>
                <w:b/>
                <w:bCs/>
                <w:highlight w:val="none"/>
              </w:rPr>
            </w:r>
            <w:r>
              <w:rPr>
                <w:rFonts w:eastAsia="Calibri"/>
                <w:b/>
                <w:b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Дата</w:t>
            </w:r>
            <w:r>
              <w:rPr>
                <w:rFonts w:eastAsia="Calibri"/>
                <w:b/>
                <w:highlight w:val="none"/>
              </w:rPr>
              <w:t xml:space="preserve"> окончания </w:t>
            </w:r>
            <w:r>
              <w:rPr>
                <w:rFonts w:eastAsia="Calibri"/>
                <w:highlight w:val="none"/>
              </w:rPr>
              <w:t xml:space="preserve">рассмотрения первых частей заявок</w:t>
            </w:r>
            <w:r>
              <w:rPr>
                <w:rFonts w:eastAsia="Calibri"/>
                <w:b/>
                <w:highlight w:val="none"/>
              </w:rPr>
              <w:t xml:space="preserve"> 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rFonts w:eastAsia="Calibri"/>
                <w:b/>
                <w:highlight w:val="none"/>
              </w:rPr>
            </w:pPr>
            <w:r>
              <w:rPr>
                <w:rFonts w:eastAsia="Calibri"/>
                <w:b/>
                <w:highlight w:val="none"/>
              </w:rPr>
              <w:t xml:space="preserve">«</w:t>
            </w:r>
            <w:r>
              <w:rPr>
                <w:rFonts w:eastAsia="Calibri"/>
                <w:b/>
                <w:highlight w:val="none"/>
              </w:rPr>
              <w:t xml:space="preserve">17</w:t>
            </w:r>
            <w:r>
              <w:rPr>
                <w:rFonts w:eastAsia="Calibri"/>
                <w:b/>
                <w:highlight w:val="none"/>
              </w:rPr>
              <w:t xml:space="preserve">» 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сентября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2025г</w:t>
            </w:r>
            <w:r>
              <w:rPr>
                <w:rFonts w:eastAsia="Calibri"/>
                <w:b/>
                <w:highlight w:val="none"/>
              </w:rPr>
              <w:t xml:space="preserve">.</w:t>
            </w:r>
            <w:r>
              <w:rPr>
                <w:rFonts w:eastAsia="Calibri"/>
                <w:b/>
                <w:highlight w:val="none"/>
              </w:rPr>
              <w:t xml:space="preserve"> </w:t>
            </w:r>
            <w:r>
              <w:rPr>
                <w:rFonts w:eastAsia="Calibri"/>
                <w:b/>
                <w:highlight w:val="none"/>
              </w:rPr>
            </w:r>
            <w:r>
              <w:rPr>
                <w:rFonts w:eastAsia="Calibri"/>
                <w:b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rFonts w:eastAsia="Calibri"/>
                <w:b/>
                <w:highlight w:val="none"/>
              </w:rPr>
            </w:pPr>
            <w:r>
              <w:rPr>
                <w:rFonts w:eastAsia="Calibri"/>
                <w:b/>
                <w:highlight w:val="none"/>
              </w:rPr>
            </w:r>
            <w:r>
              <w:rPr>
                <w:rFonts w:eastAsia="Calibri"/>
                <w:b/>
                <w:highlight w:val="none"/>
              </w:rPr>
            </w:r>
            <w:r>
              <w:rPr>
                <w:rFonts w:eastAsia="Calibri"/>
                <w:b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rFonts w:eastAsia="Calibri"/>
                <w:b/>
                <w:highlight w:val="none"/>
              </w:rPr>
            </w:pPr>
            <w:r>
              <w:rPr>
                <w:rFonts w:eastAsia="Calibri"/>
                <w:b/>
                <w:highlight w:val="none"/>
              </w:rPr>
            </w:r>
            <w:r>
              <w:rPr>
                <w:rFonts w:eastAsia="Calibri"/>
                <w:b/>
                <w:highlight w:val="none"/>
              </w:rPr>
            </w:r>
            <w:r>
              <w:rPr>
                <w:rFonts w:eastAsia="Calibri"/>
                <w:b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Дата проведения </w:t>
            </w:r>
            <w:r>
              <w:rPr>
                <w:rFonts w:eastAsia="Calibri"/>
                <w:bCs/>
                <w:highlight w:val="none"/>
              </w:rPr>
              <w:t xml:space="preserve">аукциона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«</w:t>
            </w:r>
            <w:r>
              <w:rPr>
                <w:b/>
                <w:highlight w:val="none"/>
              </w:rPr>
              <w:t xml:space="preserve">18</w:t>
            </w:r>
            <w:r>
              <w:rPr>
                <w:b/>
                <w:highlight w:val="none"/>
              </w:rPr>
              <w:t xml:space="preserve">» 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сентября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2025г</w:t>
            </w:r>
            <w:r>
              <w:rPr>
                <w:rFonts w:eastAsia="Calibri"/>
                <w:b/>
                <w:highlight w:val="none"/>
              </w:rPr>
              <w:t xml:space="preserve">.</w:t>
            </w:r>
            <w:r>
              <w:rPr>
                <w:rFonts w:eastAsia="Calibri"/>
                <w:b/>
                <w:highlight w:val="none"/>
              </w:rPr>
              <w:t xml:space="preserve"> </w:t>
            </w:r>
            <w:r>
              <w:rPr>
                <w:rFonts w:eastAsia="Calibri"/>
                <w:highlight w:val="none"/>
              </w:rPr>
              <w:t xml:space="preserve">Время начала проведения аукциона устанавливается оператором ЭТП.</w:t>
            </w:r>
            <w:r>
              <w:rPr>
                <w:highlight w:val="non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Срок</w:t>
            </w:r>
            <w:r>
              <w:rPr>
                <w:rFonts w:eastAsia="Calibri"/>
                <w:bCs/>
                <w:highlight w:val="none"/>
              </w:rPr>
              <w:t xml:space="preserve"> направления оператором ЭТП вторых частей заявок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В течение часа после размещения в ЕИС протокола сопоставления ценовых предложений.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Дата рассмотрения </w:t>
            </w:r>
            <w:r>
              <w:rPr>
                <w:highlight w:val="none"/>
              </w:rPr>
              <w:t xml:space="preserve">вторых частей заявок и подведения итогов закупки</w:t>
            </w:r>
            <w:r>
              <w:rPr>
                <w:rFonts w:eastAsia="Calibri"/>
                <w:b/>
                <w:highlight w:val="none"/>
              </w:rPr>
              <w:t xml:space="preserve">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rFonts w:eastAsia="Calibri"/>
                <w:b/>
                <w:color w:val="ff0000"/>
                <w:highlight w:val="none"/>
              </w:rPr>
            </w:pPr>
            <w:r>
              <w:rPr>
                <w:rFonts w:eastAsia="Calibri"/>
                <w:b/>
                <w:highlight w:val="none"/>
                <w:shd w:val="clear" w:color="ffffff" w:themeColor="background1" w:fill="ffffff" w:themeFill="background1"/>
              </w:rPr>
              <w:t xml:space="preserve">«</w:t>
            </w:r>
            <w:r>
              <w:rPr>
                <w:rFonts w:eastAsia="Calibri"/>
                <w:b/>
                <w:highlight w:val="none"/>
                <w:shd w:val="clear" w:color="ffffff" w:themeColor="background1" w:fill="ffffff" w:themeFill="background1"/>
              </w:rPr>
              <w:t xml:space="preserve">22</w:t>
            </w:r>
            <w:r>
              <w:rPr>
                <w:rFonts w:eastAsia="Calibri"/>
                <w:b/>
                <w:highlight w:val="none"/>
                <w:shd w:val="clear" w:color="ffffff" w:themeColor="background1" w:fill="ffffff" w:themeFill="background1"/>
              </w:rPr>
              <w:t xml:space="preserve">» 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сентября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2025г</w:t>
            </w:r>
            <w:r>
              <w:rPr>
                <w:rFonts w:eastAsia="Calibri"/>
                <w:b/>
                <w:highlight w:val="none"/>
              </w:rPr>
              <w:t xml:space="preserve">. </w:t>
            </w:r>
            <w:r>
              <w:rPr>
                <w:rFonts w:eastAsia="Calibri"/>
                <w:b/>
                <w:color w:val="ff0000"/>
                <w:highlight w:val="none"/>
              </w:rPr>
            </w:r>
            <w:r>
              <w:rPr>
                <w:rFonts w:eastAsia="Calibri"/>
                <w:b/>
                <w:color w:val="ff0000"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rFonts w:eastAsia="Calibri"/>
                <w:b/>
                <w:color w:val="ff0000"/>
                <w:highlight w:val="none"/>
              </w:rPr>
            </w:pPr>
            <w:r>
              <w:rPr>
                <w:rFonts w:eastAsia="Calibri"/>
                <w:b/>
                <w:color w:val="ff0000"/>
                <w:highlight w:val="none"/>
              </w:rPr>
            </w:r>
            <w:r>
              <w:rPr>
                <w:rFonts w:eastAsia="Calibri"/>
                <w:b/>
                <w:color w:val="ff0000"/>
                <w:highlight w:val="none"/>
              </w:rPr>
            </w:r>
            <w:r>
              <w:rPr>
                <w:rFonts w:eastAsia="Calibri"/>
                <w:b/>
                <w:color w:val="ff0000"/>
                <w:highlight w:val="none"/>
              </w:rPr>
            </w:r>
          </w:p>
        </w:tc>
      </w:tr>
      <w:tr>
        <w:tblPrEx/>
        <w:trPr>
          <w:trHeight w:val="3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  <w:color w:val="ff0000"/>
                <w:highlight w:val="yellow"/>
              </w:rPr>
            </w:pP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highlight w:val="none"/>
              </w:rPr>
              <w:t xml:space="preserve">Порядок </w:t>
            </w:r>
            <w:r>
              <w:rPr>
                <w:rFonts w:eastAsia="Calibri"/>
                <w:highlight w:val="none"/>
              </w:rPr>
              <w:t xml:space="preserve">подведения итогов аукциона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993" w:leader="none"/>
              </w:tabs>
              <w:rPr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</w:t>
            </w:r>
            <w:r>
              <w:rPr>
                <w:rFonts w:eastAsia="Calibri"/>
                <w:highlight w:val="none"/>
              </w:rPr>
              <w:t xml:space="preserve">и сведений из протокола сопоставления ценовых предложений</w:t>
            </w:r>
            <w:r>
              <w:rPr>
                <w:rFonts w:eastAsia="Calibri"/>
                <w:highlight w:val="none"/>
                <w:lang w:eastAsia="en-US"/>
              </w:rPr>
              <w:t xml:space="preserve"> комиссия присваивает каждой такой заявке порядковый номер в порядке уменьшения степени выгодности </w:t>
            </w:r>
            <w:bookmarkStart w:id="1" w:name="_Hlk519216363"/>
            <w:r>
              <w:rPr>
                <w:rFonts w:eastAsia="Calibri"/>
                <w:highlight w:val="none"/>
                <w:lang w:eastAsia="en-US"/>
              </w:rPr>
              <w:t xml:space="preserve">предложенных соответствующими участниками аукциона в электронной форме ценовых предложений</w:t>
            </w:r>
            <w:bookmarkEnd w:id="1"/>
            <w:r>
              <w:rPr>
                <w:rFonts w:eastAsia="Calibri"/>
                <w:highlight w:val="none"/>
                <w:lang w:eastAsia="en-US"/>
              </w:rPr>
              <w:t xml:space="preserve">. Заявке на участие в аукционе в электронной форме, в</w:t>
            </w:r>
            <w:r>
              <w:rPr>
                <w:rFonts w:eastAsia="Calibri"/>
                <w:highlight w:val="none"/>
                <w:lang w:eastAsia="en-US"/>
              </w:rPr>
              <w:t xml:space="preserve"> которой содержится наименьшее ценовое предложение, присваивается первый номер. В случае,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Порядок проведения аукциона, </w:t>
            </w:r>
            <w:r>
              <w:rPr>
                <w:rFonts w:eastAsia="Calibri"/>
                <w:bCs/>
                <w:highlight w:val="none"/>
              </w:rPr>
              <w:t xml:space="preserve">в том числе «шаг аукциона»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Аукцион проводится путем снижения общей начальной (максимальной) цены товара, указанной в извещении о проведении аукциона и в п. 6 Информационной карты.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В процессе аукциона его участники подают предложения о начальной (максимальной) цене договора, предусматривающие снижение текущего минимального предложения о начальной (максимальной) цене договора на произвольную величину в пределах "шага аукциона".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"Шаг аукциона" устанавливается в размере от 0,5 процента до 5 процентов от начальной (максимальной) цены договора, указанной в извещении о проведении аукциона и в п. 6 Информационной карты.</w:t>
            </w:r>
            <w:r>
              <w:rPr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Победителем аукциона в электронной форме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color w:val="ff0000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В случае если при проведении аукциона в электронной форме цена договора снижена до нуля, аукцион проводится на право заключить договор. </w:t>
            </w:r>
            <w:r>
              <w:rPr>
                <w:rFonts w:eastAsia="Calibri"/>
                <w:color w:val="ff0000"/>
                <w:highlight w:val="none"/>
              </w:rPr>
            </w:r>
            <w:r>
              <w:rPr>
                <w:rFonts w:eastAsia="Calibri"/>
                <w:color w:val="ff0000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color w:val="ff0000"/>
                <w:highlight w:val="none"/>
              </w:rPr>
            </w:pPr>
            <w:r>
              <w:rPr>
                <w:rFonts w:eastAsia="Calibri"/>
                <w:color w:val="ff0000"/>
                <w:highlight w:val="none"/>
              </w:rPr>
            </w:r>
            <w:r>
              <w:rPr>
                <w:rFonts w:eastAsia="Calibri"/>
                <w:color w:val="ff0000"/>
                <w:highlight w:val="none"/>
              </w:rPr>
            </w:r>
            <w:r>
              <w:rPr>
                <w:rFonts w:eastAsia="Calibri"/>
                <w:color w:val="ff000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rFonts w:eastAsia="Calibri"/>
                <w:b/>
                <w:bCs/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Требования </w:t>
            </w:r>
            <w:r>
              <w:rPr>
                <w:rFonts w:eastAsia="Calibri"/>
                <w:b/>
                <w:bCs/>
                <w:highlight w:val="none"/>
              </w:rPr>
            </w:r>
            <w:r>
              <w:rPr>
                <w:rFonts w:eastAsia="Calibri"/>
                <w:b/>
                <w:bCs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к участникам закупки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Участником закупки яв</w:t>
            </w:r>
            <w:r>
              <w:rPr>
                <w:rFonts w:eastAsia="Calibri"/>
                <w:highlight w:val="none"/>
              </w:rPr>
              <w:t xml:space="preserve">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</w:t>
            </w:r>
            <w:r>
              <w:rPr>
                <w:rFonts w:eastAsia="Calibri"/>
                <w:highlight w:val="none"/>
              </w:rPr>
              <w:t xml:space="preserve">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</w:t>
            </w:r>
            <w:r>
              <w:rPr>
                <w:rFonts w:eastAsia="Calibri"/>
                <w:highlight w:val="none"/>
              </w:rPr>
              <w:t xml:space="preserve">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</w:t>
            </w:r>
            <w:r>
              <w:rPr>
                <w:rFonts w:eastAsia="Calibri"/>
                <w:highlight w:val="none"/>
              </w:rPr>
              <w:t xml:space="preserve">м законом от 14 июля 2022 года № 255-ФЗ «О контроле за деятельностью лиц, находящихся под иностранным влиянием». В случае участия юридического или физического лица в составе коллективного участника закупки, такое лицо не вправе участвовать в той же закупке</w:t>
            </w:r>
            <w:r>
              <w:rPr>
                <w:highlight w:val="none"/>
              </w:rPr>
              <w:t xml:space="preserve"> в отдельной заявке на участие от своего лица или в составе другого коллективного участника закупки.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 участникам аукциона предъявляются следующие</w:t>
            </w:r>
            <w:r>
              <w:rPr>
                <w:rFonts w:eastAsia="Calibri"/>
                <w:b/>
                <w:highlight w:val="none"/>
              </w:rPr>
              <w:t xml:space="preserve"> требования </w:t>
            </w:r>
            <w:r>
              <w:rPr>
                <w:highlight w:val="none"/>
              </w:rPr>
              <w:t xml:space="preserve">на дату подачи заявки на участие в закупке</w:t>
            </w:r>
            <w:r>
              <w:rPr>
                <w:rFonts w:eastAsia="Calibri"/>
                <w:highlight w:val="none"/>
              </w:rPr>
              <w:t xml:space="preserve">: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pacing w:before="240" w:after="240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1)</w:t>
              <w:tab/>
              <w:t xml:space="preserve">Соответствие участника закупок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  <w:r>
              <w:rPr>
                <w:rFonts w:eastAsia="Calibri"/>
                <w:highlight w:val="none"/>
                <w:lang w:eastAsia="zh-CN"/>
              </w:rPr>
              <w:t xml:space="preserve"> (в случае, если в соответствии с законодательством Российской Федерации установлены такие требования (например, наличие лицензии, наличие аккредитации, наличие допуска саморегулируемой организации и т. д.)</w:t>
            </w:r>
            <w:r>
              <w:rPr>
                <w:rFonts w:eastAsia="Calibri"/>
                <w:highlight w:val="none"/>
              </w:rPr>
              <w:t xml:space="preserve"> </w:t>
            </w:r>
            <w:r>
              <w:rPr>
                <w:rFonts w:eastAsia="Calibri"/>
                <w:i/>
                <w:highlight w:val="none"/>
              </w:rPr>
              <w:t xml:space="preserve">(применяется в случае, если в соответствии с пунктом 16.1 настоящей документации участнику закупки в составе заявки необходимо предоставить документ </w:t>
            </w:r>
            <w:r>
              <w:rPr>
                <w:rFonts w:eastAsia="Calibri"/>
                <w:i/>
                <w:highlight w:val="none"/>
                <w:lang w:eastAsia="zh-CN"/>
              </w:rPr>
              <w:t xml:space="preserve">(копию документа), подтверждающего соответствие участника закупки таким требованиям)</w:t>
            </w:r>
            <w:r>
              <w:rPr>
                <w:rFonts w:eastAsia="Calibri"/>
                <w:highlight w:val="none"/>
                <w:lang w:eastAsia="zh-CN"/>
              </w:rPr>
              <w:t xml:space="preserve"> 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pacing w:before="240" w:after="240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pacing w:before="240" w:after="240"/>
              <w:shd w:val="clear" w:color="auto" w:fill="auto"/>
              <w:rPr>
                <w:rFonts w:eastAsia="Times New Roman"/>
                <w:highlight w:val="none"/>
              </w:rPr>
            </w:pPr>
            <w:r>
              <w:rPr>
                <w:highlight w:val="none"/>
              </w:rPr>
              <w:t xml:space="preserve">Отсутствие участника закупки в перечне юридических лиц, в отношении которых применяются специальные экономические меры, утвержденного постановлением Правительства РФ от 11 мая 2022 г. № 851 «О мерах по реализации Указа Президента Российской Фед</w:t>
            </w:r>
            <w:r>
              <w:rPr>
                <w:highlight w:val="none"/>
              </w:rPr>
              <w:t xml:space="preserve">ерации от 3 мая 2022 г. № 252». Основание: Указ Президента Российской Федерации от 3 мая 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организаций».</w:t>
            </w:r>
            <w:r>
              <w:rPr>
                <w:rFonts w:eastAsia="Times New Roman"/>
                <w:highlight w:val="none"/>
                <w:lang w:eastAsia="zh-CN"/>
              </w:rPr>
            </w:r>
            <w:r>
              <w:rPr>
                <w:rFonts w:eastAsia="Times New Roman"/>
                <w:highlight w:val="none"/>
              </w:rPr>
            </w:r>
          </w:p>
          <w:p>
            <w:pPr>
              <w:pStyle w:val="843"/>
              <w:jc w:val="both"/>
              <w:spacing w:before="240" w:after="240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Times New Roman"/>
                <w:highlight w:val="none"/>
                <w:lang w:eastAsia="zh-CN"/>
              </w:rPr>
              <w:t xml:space="preserve"> </w:t>
            </w:r>
            <w:r>
              <w:rPr>
                <w:rFonts w:eastAsia="Calibri"/>
                <w:highlight w:val="none"/>
              </w:rPr>
              <w:t xml:space="preserve">2)</w:t>
              <w:tab/>
              <w:t xml:space="preserve"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3)</w:t>
              <w:tab/>
              <w:t xml:space="preserve">Неприостановление деятельности участника закупки в порядке, предусмотренном Кодексом Российской Федерации об административных правонарушениях.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4)</w:t>
              <w:tab/>
              <w:t xml:space="preserve">Отсутствие у участника закупки недоимки по налогам, сборам, задолженности по иным обязательным платеж</w:t>
            </w:r>
            <w:r>
              <w:rPr>
                <w:rFonts w:eastAsia="Calibri"/>
                <w:highlight w:val="none"/>
              </w:rPr>
              <w:t xml:space="preserve">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</w:t>
            </w:r>
            <w:r>
              <w:rPr>
                <w:rFonts w:eastAsia="Calibri"/>
                <w:highlight w:val="none"/>
              </w:rPr>
              <w:t xml:space="preserve">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</w:t>
            </w:r>
            <w:r>
              <w:rPr>
                <w:rFonts w:eastAsia="Calibri"/>
                <w:highlight w:val="none"/>
              </w:rPr>
              <w:t xml:space="preserve">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такой зак</w:t>
            </w:r>
            <w:r>
              <w:rPr>
                <w:rFonts w:eastAsia="Calibri"/>
                <w:highlight w:val="none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5)</w:t>
              <w:tab/>
              <w:t xml:space="preserve">Отсутствие у участника закупки – физического лица, зарегистрированного в качестве индивидуального предпринимателя, либо у р</w:t>
            </w:r>
            <w:r>
              <w:rPr>
                <w:rFonts w:eastAsia="Calibri"/>
                <w:highlight w:val="none"/>
              </w:rPr>
              <w:t xml:space="preserve">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непогашенной или неснятой судимости за преступления в сфере экономики и</w:t>
            </w:r>
            <w:r>
              <w:rPr>
                <w:rFonts w:eastAsia="Calibri"/>
                <w:highlight w:val="none"/>
              </w:rPr>
              <w:t xml:space="preserve">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</w:t>
            </w:r>
            <w:r>
              <w:rPr>
                <w:rFonts w:eastAsia="Calibri"/>
                <w:highlight w:val="none"/>
              </w:rPr>
              <w:t xml:space="preserve">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дисквалификации. 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6)</w:t>
              <w:tab/>
              <w:t xml:space="preserve">Отсутствие фактов привлечения в течение двух лет до момента по</w:t>
            </w:r>
            <w:r>
              <w:rPr>
                <w:rFonts w:eastAsia="Calibri"/>
                <w:highlight w:val="none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7)</w:t>
              <w:tab/>
              <w:t xml:space="preserve">У</w:t>
            </w:r>
            <w:r>
              <w:rPr>
                <w:rFonts w:eastAsia="Calibri"/>
                <w:highlight w:val="none"/>
              </w:rPr>
              <w:t xml:space="preserve">частник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</w:t>
            </w:r>
            <w:r>
              <w:rPr>
                <w:rFonts w:eastAsia="Calibri"/>
                <w:highlight w:val="none"/>
              </w:rPr>
              <w:t xml:space="preserve">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8)</w:t>
              <w:tab/>
              <w:t xml:space="preserve">Отсутствие между участником закупки и заказчиком конфлик</w:t>
            </w:r>
            <w:r>
              <w:rPr>
                <w:rFonts w:eastAsia="Calibri"/>
                <w:highlight w:val="none"/>
              </w:rPr>
              <w:t xml:space="preserve">та интересов, под которым понимаются обстоятельства,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или нисходящей линии (отец, мать, д</w:t>
            </w:r>
            <w:r>
              <w:rPr>
                <w:rFonts w:eastAsia="Calibri"/>
                <w:highlight w:val="none"/>
              </w:rPr>
              <w:t xml:space="preserve">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а) физическим лицом (в том числе зарегистрированным в качестве индивидуального предпринимателя), являющимся участником закупки;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б)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являющейся участником закупки;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strike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в) единоличным исполнительным органом, членом коллегиального исполнительного органа, членом коллегиального органа управлени</w:t>
            </w:r>
            <w:r>
              <w:rPr>
                <w:rFonts w:eastAsia="Calibri"/>
                <w:highlight w:val="none"/>
              </w:rPr>
              <w:t xml:space="preserve">я, выгодоприобретателем корпоративного юридического лица, являющегося участником закупки. Выгодоприобретателем является физическое лицо, которое владеет напрямую или косвенно (через юридическое лицо или через несколько юридических лиц) более чем десятью пр</w:t>
            </w:r>
            <w:r>
              <w:rPr>
                <w:rFonts w:eastAsia="Calibri"/>
                <w:highlight w:val="none"/>
              </w:rPr>
              <w:t xml:space="preserve">оцентами голосующих акций хозяйственного общества либо владеет напрямую или косвенно (через юридическое лицо или через несколько юридических лиц)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  <w:strike/>
                <w:highlight w:val="none"/>
              </w:rPr>
            </w:r>
            <w:r>
              <w:rPr>
                <w:rFonts w:eastAsia="Calibri"/>
                <w:strike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strike/>
                <w:highlight w:val="none"/>
              </w:rPr>
            </w:pPr>
            <w:r>
              <w:rPr>
                <w:rFonts w:eastAsia="Calibri"/>
                <w:strike/>
                <w:highlight w:val="none"/>
              </w:rPr>
            </w:r>
            <w:r>
              <w:rPr>
                <w:rFonts w:eastAsia="Calibri"/>
                <w:strike/>
                <w:highlight w:val="none"/>
              </w:rPr>
            </w:r>
            <w:r>
              <w:rPr>
                <w:rFonts w:eastAsia="Calibri"/>
                <w:strike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720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9) Отсутствие сведений об участнике закупки в реестре недобросовестных поставщиков, предусмотренном ст</w:t>
            </w:r>
            <w:r>
              <w:rPr>
                <w:rFonts w:eastAsia="Calibri"/>
                <w:highlight w:val="none"/>
              </w:rPr>
              <w:t xml:space="preserve">. 5 Федерального закона № 223-ФЗ и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10)</w:t>
            </w:r>
            <w:r>
              <w:rPr>
                <w:highlight w:val="none"/>
              </w:rPr>
              <w:t xml:space="preserve"> Обладание участниками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  <w:b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11)</w:t>
            </w:r>
            <w:r>
              <w:rPr>
                <w:highlight w:val="none"/>
              </w:rPr>
              <w:t xml:space="preserve">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eastAsia="Calibri"/>
                <w:b/>
                <w:highlight w:val="none"/>
              </w:rPr>
            </w:r>
            <w:r>
              <w:rPr>
                <w:rFonts w:eastAsia="Calibri"/>
                <w:b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highlight w:val="none"/>
              </w:rPr>
              <w:t xml:space="preserve">12) Дополнительные требования к участникам закупки: не установлены. 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15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</w:t>
            </w:r>
            <w:r>
              <w:rPr>
                <w:b/>
                <w:highlight w:val="none"/>
              </w:rPr>
              <w:t xml:space="preserve">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Участник закупки описывает предлагаемые товары в соответствии с требованиями к форме и оформлению, установленные в настоящей документации. 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Участник закупочной процедуры представляет в Первой части заявки (по </w:t>
            </w:r>
            <w:r>
              <w:rPr>
                <w:rFonts w:eastAsia="Calibri"/>
                <w:highlight w:val="none"/>
              </w:rPr>
              <w:t xml:space="preserve">рекомендуемой </w:t>
            </w:r>
            <w:r>
              <w:rPr>
                <w:rFonts w:eastAsia="Calibri"/>
                <w:highlight w:val="none"/>
              </w:rPr>
              <w:t xml:space="preserve">форме Приложения №1 к Документации) описание товара </w:t>
            </w:r>
            <w:r>
              <w:rPr>
                <w:rFonts w:eastAsia="Calibri"/>
                <w:bCs/>
                <w:highlight w:val="none"/>
              </w:rPr>
              <w:t xml:space="preserve">в случае поставки товара, а также  в случае выполнения работ, оказания услуг при наличии в составе документации о закупке отдельного перечня т</w:t>
            </w:r>
            <w:r>
              <w:rPr>
                <w:rFonts w:eastAsia="Calibri"/>
                <w:bCs/>
                <w:highlight w:val="none"/>
              </w:rPr>
              <w:t xml:space="preserve">оваров, поставляемых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 (материалов).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Такое описание должно содержать указание (декларирование) участником закупки в заявке на участие в закупке  наименования страны происхождения поставляемых товаров.</w:t>
            </w:r>
            <w:r>
              <w:rPr>
                <w:rFonts w:eastAsia="Calibri"/>
                <w:color w:val="000000"/>
                <w:highlight w:val="none"/>
              </w:rPr>
            </w:r>
            <w:r>
              <w:rPr>
                <w:rFonts w:eastAsia="Calibri"/>
                <w:color w:val="000000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color w:val="000000"/>
                <w:highlight w:val="none"/>
              </w:rPr>
            </w:pPr>
            <w:r>
              <w:rPr>
                <w:rFonts w:eastAsia="Calibri"/>
                <w:color w:val="000000"/>
                <w:highlight w:val="none"/>
              </w:rPr>
              <w:t xml:space="preserve">При описании объекта закупки участник может не указывать технические характеристики и конкретные показатели товара </w:t>
            </w:r>
            <w:r>
              <w:rPr>
                <w:rFonts w:eastAsia="Calibri"/>
                <w:bCs/>
                <w:color w:val="000000"/>
                <w:highlight w:val="none"/>
                <w:u w:val="single"/>
              </w:rPr>
              <w:t xml:space="preserve">(</w:t>
            </w:r>
            <w:r>
              <w:rPr>
                <w:rFonts w:eastAsia="Calibri"/>
                <w:bCs/>
                <w:color w:val="000000"/>
                <w:highlight w:val="none"/>
              </w:rPr>
              <w:t xml:space="preserve">в т.ч. товара поставляемого при оказании услуг, выполнении работ)</w:t>
            </w:r>
            <w:r>
              <w:rPr>
                <w:rFonts w:eastAsia="Calibri"/>
                <w:color w:val="000000"/>
                <w:highlight w:val="none"/>
              </w:rPr>
              <w:t xml:space="preserve">, если в Техническом Задании и (или) иных документах есть указания на товарные знаки* и участник предлагает такой товарный знак.</w:t>
            </w:r>
            <w:r>
              <w:rPr>
                <w:bCs/>
                <w:sz w:val="20"/>
                <w:szCs w:val="20"/>
                <w:highlight w:val="none"/>
                <w:u w:val="single"/>
              </w:rPr>
              <w:t xml:space="preserve"> </w:t>
            </w:r>
            <w:r>
              <w:rPr>
                <w:rFonts w:eastAsia="Calibri"/>
                <w:color w:val="000000"/>
                <w:highlight w:val="none"/>
              </w:rPr>
            </w:r>
            <w:r>
              <w:rPr>
                <w:rFonts w:eastAsia="Calibri"/>
                <w:color w:val="000000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i/>
                <w:color w:val="000000"/>
                <w:highlight w:val="none"/>
              </w:rPr>
            </w:pPr>
            <w:r>
              <w:rPr>
                <w:rFonts w:eastAsia="Calibri"/>
                <w:color w:val="000000"/>
                <w:highlight w:val="none"/>
              </w:rPr>
      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</w:t>
            </w:r>
            <w:r>
              <w:rPr>
                <w:rFonts w:eastAsia="Calibri"/>
                <w:color w:val="000000"/>
                <w:highlight w:val="none"/>
              </w:rPr>
              <w:t xml:space="preserve">ускать разночтения или двусмысленное толкование: недопустимо использовать в предложении фразы, знаки и символы «должно», «не должно», «могут», «может», «не более», «не менее», «или», «должен», «более», «менее», «не выше», «не ниже», «выше», «ниже», «  ≥ »,</w:t>
            </w:r>
            <w:r>
              <w:rPr>
                <w:rFonts w:eastAsia="Calibri"/>
                <w:color w:val="000000"/>
                <w:highlight w:val="none"/>
              </w:rPr>
              <w:t xml:space="preserve">  « ≤ », « &gt; », « &lt; », «свыше», «требуются», такие значения характеристик будут рассматриваться как не конкретные, участник должен указать точное значение параметра товара, за исключением случаев, если заказчиком в извещении установлены иные требования.   </w:t>
            </w:r>
            <w:r>
              <w:rPr>
                <w:rFonts w:eastAsia="Calibri"/>
                <w:i/>
                <w:color w:val="000000"/>
                <w:highlight w:val="none"/>
              </w:rPr>
            </w:r>
            <w:r>
              <w:rPr>
                <w:rFonts w:eastAsia="Calibri"/>
                <w:i/>
                <w:color w:val="000000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Times New Roman"/>
                <w:color w:val="000000"/>
                <w:highlight w:val="none"/>
              </w:rPr>
            </w:pPr>
            <w:r>
              <w:rPr>
                <w:rFonts w:eastAsia="Calibri"/>
                <w:i/>
                <w:color w:val="000000"/>
                <w:highlight w:val="none"/>
              </w:rPr>
              <w:t xml:space="preserve">* а также знак обслуживания, фирменное наименование, модель, артикул, партийный номер и т.д.</w:t>
            </w:r>
            <w:r>
              <w:rPr>
                <w:rFonts w:eastAsia="Times New Roman"/>
                <w:color w:val="000000"/>
                <w:highlight w:val="none"/>
              </w:rPr>
            </w:r>
            <w:r>
              <w:rPr>
                <w:rFonts w:eastAsia="Times New Roman"/>
                <w:color w:val="000000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 xml:space="preserve">      </w:t>
            </w:r>
            <w:r>
              <w:rPr>
                <w:rFonts w:eastAsia="Calibri"/>
                <w:color w:val="000000"/>
                <w:highlight w:val="none"/>
              </w:rPr>
              <w:t xml:space="preserve">Инструкция по заполнению заявки содержится в приложении № 1 к настоящей документации.</w:t>
            </w:r>
            <w:r>
              <w:rPr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Требования к содержанию, форме, оформлению и составу заявки на участие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</w:r>
            <w:bookmarkStart w:id="2" w:name="_Ref372619662"/>
            <w:r>
              <w:rPr>
                <w:rFonts w:eastAsia="Calibri"/>
                <w:color w:val="000000"/>
                <w:highlight w:val="none"/>
                <w:lang w:eastAsia="zh-CN"/>
              </w:rPr>
              <w:t xml:space="preserve">Заявка подается в соответствии с требованиями к содержанию,</w:t>
            </w:r>
            <w:r>
              <w:rPr>
                <w:rFonts w:eastAsia="Calibri"/>
                <w:b/>
                <w:bCs/>
                <w:highlight w:val="none"/>
              </w:rPr>
              <w:t xml:space="preserve"> </w:t>
            </w:r>
            <w:r>
              <w:rPr>
                <w:rFonts w:eastAsia="Calibri"/>
                <w:bCs/>
                <w:highlight w:val="none"/>
              </w:rPr>
              <w:t xml:space="preserve">форме, оформлению и составу</w:t>
            </w:r>
            <w:r>
              <w:rPr>
                <w:rFonts w:eastAsia="Calibri"/>
                <w:color w:val="000000"/>
                <w:highlight w:val="none"/>
                <w:lang w:eastAsia="zh-CN"/>
              </w:rPr>
              <w:t xml:space="preserve"> предусмотренными настоящей документацией </w:t>
            </w:r>
            <w:r>
              <w:rPr>
                <w:rFonts w:eastAsia="Calibri"/>
                <w:color w:val="000000"/>
                <w:highlight w:val="none"/>
                <w:lang w:eastAsia="zh-CN"/>
              </w:rPr>
              <w:t xml:space="preserve">и  в соответствии с регламентом ЭТП. При не соответствии заявки требованиям к  форме заявки, комиссия вправе признать заявку соответствующей требованиям предусмотренными настоящей документацией, только в случае соответствии заявки требованиям к содержанию </w:t>
            </w:r>
            <w:r>
              <w:rPr>
                <w:rFonts w:eastAsia="Calibri"/>
                <w:bCs/>
                <w:highlight w:val="none"/>
              </w:rPr>
              <w:t xml:space="preserve">и составу заявки, установленным настоящей документации.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683"/>
              <w:jc w:val="both"/>
              <w:shd w:val="clear" w:color="auto" w:fill="auto"/>
              <w:rPr>
                <w:rFonts w:eastAsia="Calibri"/>
                <w:bCs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Подачей заявки на участие в закупке, участник закупки выражает согласие на поставку товара, выполнение работы, оказание услуги </w:t>
            </w:r>
            <w:r>
              <w:rPr>
                <w:highlight w:val="none"/>
              </w:rPr>
              <w:t xml:space="preserve">на условиях, предусмотренных извещением об осуществлении закупки и </w:t>
            </w:r>
            <w:r>
              <w:rPr>
                <w:rFonts w:eastAsia="Calibri"/>
                <w:highlight w:val="none"/>
                <w:lang w:eastAsia="en-US"/>
              </w:rPr>
              <w:t xml:space="preserve">настоящей документацией</w:t>
            </w:r>
            <w:r>
              <w:rPr>
                <w:highlight w:val="none"/>
              </w:rPr>
              <w:t xml:space="preserve">,</w:t>
            </w:r>
            <w:r>
              <w:rPr>
                <w:rFonts w:eastAsia="Calibri"/>
                <w:highlight w:val="none"/>
                <w:lang w:eastAsia="en-US"/>
              </w:rPr>
              <w:t xml:space="preserve"> в том числе согласие со всеми условиями исполнения договора,</w:t>
            </w:r>
            <w:r>
              <w:rPr>
                <w:highlight w:val="none"/>
              </w:rPr>
              <w:t xml:space="preserve"> а также в соответствии с заявкой такого участника закупки на участие в закупке</w:t>
            </w:r>
            <w:r>
              <w:rPr>
                <w:rFonts w:eastAsia="Calibri"/>
                <w:highlight w:val="none"/>
                <w:lang w:eastAsia="zh-CN"/>
              </w:rPr>
              <w:t xml:space="preserve">.</w:t>
            </w:r>
            <w:r>
              <w:rPr>
                <w:rFonts w:eastAsia="Calibri"/>
                <w:bCs/>
                <w:highlight w:val="none"/>
                <w:lang w:eastAsia="zh-CN"/>
              </w:rPr>
            </w:r>
            <w:r>
              <w:rPr>
                <w:rFonts w:eastAsia="Calibri"/>
                <w:bCs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b/>
                <w:highlight w:val="none"/>
              </w:rPr>
            </w:pPr>
            <w:r>
              <w:rPr>
                <w:rFonts w:eastAsia="Calibri"/>
                <w:bCs/>
                <w:highlight w:val="none"/>
                <w:lang w:eastAsia="zh-CN"/>
              </w:rPr>
              <w:t xml:space="preserve">Заявка на участие в аукционе в электронной форме </w:t>
            </w:r>
            <w:r>
              <w:rPr>
                <w:rFonts w:eastAsia="Calibri"/>
                <w:bCs/>
                <w:color w:val="000000"/>
                <w:highlight w:val="none"/>
                <w:shd w:val="clear" w:color="auto" w:fill="ffffff"/>
                <w:lang w:eastAsia="zh-CN"/>
              </w:rPr>
              <w:t xml:space="preserve">должна содержать: </w:t>
            </w:r>
            <w:r>
              <w:rPr>
                <w:rFonts w:eastAsia="Calibri"/>
                <w:b/>
                <w:highlight w:val="none"/>
                <w:lang w:val="ru-RU" w:eastAsia="zh-CN"/>
              </w:rPr>
            </w:r>
            <w:r>
              <w:rPr>
                <w:rFonts w:eastAsia="Calibri"/>
                <w:b/>
                <w:highlight w:val="none"/>
              </w:rPr>
            </w:r>
          </w:p>
          <w:p>
            <w:pPr>
              <w:pStyle w:val="925"/>
              <w:numPr>
                <w:ilvl w:val="0"/>
                <w:numId w:val="5"/>
              </w:numPr>
              <w:jc w:val="both"/>
              <w:shd w:val="clear" w:color="auto" w:fill="auto"/>
              <w:rPr>
                <w:rFonts w:eastAsia="Calibri"/>
                <w:b/>
                <w:highlight w:val="none"/>
              </w:rPr>
            </w:pPr>
            <w:r>
              <w:rPr>
                <w:rFonts w:eastAsia="Calibri"/>
                <w:b/>
                <w:highlight w:val="none"/>
                <w:lang w:val="ru-RU" w:eastAsia="zh-CN"/>
              </w:rPr>
              <w:t xml:space="preserve">Первую часть, которая должна содержать </w:t>
            </w:r>
            <w:r>
              <w:rPr>
                <w:rFonts w:eastAsia="Calibri"/>
                <w:highlight w:val="none"/>
                <w:lang w:val="ru-RU" w:eastAsia="zh-CN"/>
              </w:rPr>
              <w:t xml:space="preserve">предложение участника закупки в отношении предмета закупки </w:t>
            </w:r>
            <w:r>
              <w:rPr>
                <w:rFonts w:eastAsia="Calibri"/>
                <w:b/>
                <w:highlight w:val="none"/>
                <w:lang w:val="ru-RU" w:eastAsia="zh-CN"/>
              </w:rPr>
              <w:t xml:space="preserve"> (рекомендуемая форма, состав, содержание и требование к её оформлению указаны</w:t>
            </w:r>
            <w:r>
              <w:rPr>
                <w:rFonts w:eastAsia="Calibri"/>
                <w:highlight w:val="none"/>
                <w:lang w:val="ru-RU" w:eastAsia="zh-CN"/>
              </w:rPr>
              <w:t xml:space="preserve"> в Приложения №1 к Документации). </w:t>
            </w:r>
            <w:r>
              <w:rPr>
                <w:rFonts w:eastAsia="Calibri"/>
                <w:b/>
                <w:highlight w:val="none"/>
                <w:lang w:val="ru-RU" w:eastAsia="en-US"/>
              </w:rPr>
            </w:r>
            <w:r>
              <w:rPr>
                <w:rFonts w:eastAsia="Calibri"/>
                <w:b/>
                <w:highlight w:val="none"/>
              </w:rPr>
            </w:r>
          </w:p>
          <w:p>
            <w:pPr>
              <w:pStyle w:val="925"/>
              <w:ind w:left="0" w:right="0" w:firstLine="0"/>
              <w:jc w:val="both"/>
              <w:shd w:val="clear" w:color="auto" w:fill="auto"/>
              <w:tabs>
                <w:tab w:val="left" w:pos="2396" w:leader="none"/>
              </w:tabs>
              <w:rPr>
                <w:rFonts w:eastAsia="Calibri"/>
                <w:b/>
                <w:highlight w:val="none"/>
              </w:rPr>
            </w:pPr>
            <w:r>
              <w:rPr>
                <w:rFonts w:eastAsia="Calibri"/>
                <w:b/>
                <w:highlight w:val="none"/>
                <w:lang w:val="ru-RU" w:eastAsia="en-US"/>
              </w:rPr>
            </w:r>
            <w:r>
              <w:rPr>
                <w:rFonts w:eastAsia="Calibri"/>
                <w:b/>
                <w:highlight w:val="none"/>
                <w:lang w:val="ru-RU" w:eastAsia="en-US"/>
              </w:rPr>
            </w:r>
            <w:r>
              <w:rPr>
                <w:rFonts w:eastAsia="Calibri"/>
                <w:b/>
                <w:highlight w:val="none"/>
              </w:rPr>
            </w:r>
          </w:p>
          <w:p>
            <w:pPr>
              <w:pStyle w:val="843"/>
              <w:ind w:left="0" w:right="0" w:firstLine="201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b/>
                <w:highlight w:val="none"/>
                <w:lang w:eastAsia="zh-CN"/>
              </w:rPr>
              <w:t xml:space="preserve">2) Вторую часть</w:t>
            </w:r>
            <w:r>
              <w:rPr>
                <w:rFonts w:eastAsia="Calibri"/>
                <w:highlight w:val="none"/>
                <w:lang w:eastAsia="zh-CN"/>
              </w:rPr>
              <w:t xml:space="preserve">, включающую в себя: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1) наименование, фирменное наименование (при наличии), адрес юридического лица в пределах места нахождения юридического лица;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 закупки является индивидуальный предприниматель;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4) идентификационный номер налогоплательщика (при наличии) учредителей, членов коллегиального исполнительного органа, лица, исполняющего </w:t>
            </w:r>
            <w:r>
              <w:rPr>
                <w:rFonts w:eastAsia="Calibri"/>
                <w:highlight w:val="none"/>
                <w:lang w:eastAsia="en-US"/>
              </w:rPr>
              <w:t xml:space="preserve">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5) копии документов, подтверждающих соотв</w:t>
            </w:r>
            <w:r>
              <w:rPr>
                <w:rFonts w:eastAsia="Calibri"/>
                <w:highlight w:val="none"/>
                <w:lang w:eastAsia="en-US"/>
              </w:rPr>
              <w:t xml:space="preserve">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предусмотренного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 \l "Par18"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color w:val="0000ff"/>
                <w:highlight w:val="none"/>
                <w:lang w:eastAsia="en-US"/>
              </w:rPr>
              <w:t xml:space="preserve">подпунктом "е" подпункта 8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 пункта 16 настоящей документации;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319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Наименование и перечень данных документов указываются в п. 16.1., п.16.3, п.16.4 настоящей документации.  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6)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</w:t>
            </w:r>
            <w:r>
              <w:rPr>
                <w:rFonts w:eastAsia="Calibri"/>
                <w:highlight w:val="none"/>
                <w:lang w:eastAsia="en-US"/>
              </w:rPr>
              <w:t xml:space="preserve">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 о конкурентной закупке), обеспечения исполнения д</w:t>
            </w:r>
            <w:r>
              <w:rPr>
                <w:rFonts w:eastAsia="Calibri"/>
                <w:highlight w:val="none"/>
                <w:lang w:eastAsia="en-US"/>
              </w:rPr>
              <w:t xml:space="preserve">оговора (если требование об обеспечении исполнения договора установлено заказчиком в извещении об осуществлении такой закупки, документации о конкурентной закупке) является крупной сделкой (непредставление решения не является основанием отклонения заявки);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7 информация и документы об обеспечении заявки на участие в закупке, если соответствующее требование предусмотрено извещением об осуществлении такой закупки, документацией о конкурентной закупке: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независимая гарантия или ее</w:t>
            </w:r>
            <w:r>
              <w:rPr>
                <w:rFonts w:eastAsia="Calibri"/>
                <w:highlight w:val="none"/>
                <w:lang w:eastAsia="en-US"/>
              </w:rPr>
              <w:t xml:space="preserve"> копия, либо безотзывная банковская гарантия или ее копия, если в качестве обеспечения заявки на участие в закупке участником такой закупки предоставляется независимая или безотзывная банковская гарантия, соответствующая требованиям, установленным в п. 17 </w:t>
            </w:r>
            <w:r>
              <w:rPr>
                <w:rFonts w:eastAsia="Calibri"/>
                <w:highlight w:val="none"/>
                <w:lang w:eastAsia="zh-CN"/>
              </w:rPr>
              <w:t xml:space="preserve"> настоящей документации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8 декларация, подтверждающая на дату подачи заявки на участие в закупке: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а) непроведение ликвидации участника закупки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б) неприостановление деятельности участника закупки в порядке, установленном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"consultantplus://offline/ref=224DA882DFB7DD89826BF54A7706B6F19570CAFA77E2E597A5ED6C920BA39FCA69111143AEAA8C0E9A9992C08DF7D4E7A23EE05D5Di1C5F"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color w:val="0000ff"/>
                <w:highlight w:val="none"/>
                <w:lang w:eastAsia="en-US"/>
              </w:rPr>
              <w:t xml:space="preserve">Кодексом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 Российской Федерации об административных правонарушениях;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в) отсутствие у у</w:t>
            </w:r>
            <w:r>
              <w:rPr>
                <w:rFonts w:eastAsia="Calibri"/>
                <w:highlight w:val="none"/>
                <w:lang w:eastAsia="en-US"/>
              </w:rPr>
              <w:t xml:space="preserve">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"consultantplus://offline/ref=224DA882DFB7DD89826BF54A7706B6F19570CDFC77EEE597A5ED6C920BA39FCA69111145A6AC85519F8C839881F6CAF9A426FC5F5F16i1CBF"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color w:val="0000ff"/>
                <w:highlight w:val="none"/>
                <w:lang w:eastAsia="en-US"/>
              </w:rPr>
              <w:t xml:space="preserve">законодательством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 Российской Федерации о налогах и сборах, которые реструк</w:t>
            </w:r>
            <w:r>
              <w:rPr>
                <w:rFonts w:eastAsia="Calibri"/>
                <w:highlight w:val="none"/>
                <w:lang w:eastAsia="en-US"/>
              </w:rPr>
              <w:t xml:space="preserve">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"consultantplus://offline/ref=224DA882DFB7DD89826BF54A7706B6F19570CDFC77EEE597A5ED6C920BA39FCA69111147AEA883519F8C839881F6CAF9A426FC5F5F16i1CBF"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color w:val="0000ff"/>
                <w:highlight w:val="none"/>
                <w:lang w:eastAsia="en-US"/>
              </w:rPr>
              <w:t xml:space="preserve">законодательством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 Российской Фед</w:t>
            </w:r>
            <w:r>
              <w:rPr>
                <w:rFonts w:eastAsia="Calibri"/>
                <w:highlight w:val="none"/>
                <w:lang w:eastAsia="en-US"/>
              </w:rPr>
              <w:t xml:space="preserve">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</w:t>
            </w:r>
            <w:r>
              <w:rPr>
                <w:rFonts w:eastAsia="Calibri"/>
                <w:highlight w:val="none"/>
                <w:lang w:eastAsia="en-US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г)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</w:t>
            </w:r>
            <w:r>
              <w:rPr>
                <w:rFonts w:eastAsia="Calibri"/>
                <w:highlight w:val="none"/>
                <w:lang w:eastAsia="en-US"/>
              </w:rPr>
              <w:t xml:space="preserve">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"consultantplus://offline/ref=224DA882DFB7DD89826BF54A7706B6F19570CEFF73E6E597A5ED6C920BA39FCA69111147AFA98F53CCD6939CC8A2C7E6A43EE25B41161A29i6C0F"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highlight w:val="none"/>
                <w:lang w:eastAsia="en-US"/>
              </w:rPr>
              <w:t xml:space="preserve">статьями 289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,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"consultantplus://offline/ref=224DA882DFB7DD89826BF54A7706B6F19570CEFF73E6E597A5ED6C920BA39FCA69111144AFAD83519F8C839881F6CAF9A426FC5F5F16i1CBF"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highlight w:val="none"/>
                <w:lang w:eastAsia="en-US"/>
              </w:rPr>
              <w:t xml:space="preserve">290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,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"consultantplus://offline/ref=224DA882DFB7DD89826BF54A7706B6F19570CEFF73E6E597A5ED6C920BA39FCA69111144AFAF85519F8C839881F6CAF9A426FC5F5F16i1CBF"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highlight w:val="none"/>
                <w:lang w:eastAsia="en-US"/>
              </w:rPr>
              <w:t xml:space="preserve">291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,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"consultantplus://offline/ref=224DA882DFB7DD89826BF54A7706B6F19570CEFF73E6E597A5ED6C920BA39FCA69111144AFA081519F8C839881F6CAF9A426FC5F5F16i1CBF"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highlight w:val="none"/>
                <w:lang w:eastAsia="en-US"/>
              </w:rPr>
              <w:t xml:space="preserve">291.1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eastAsia="Calibri"/>
                <w:highlight w:val="none"/>
                <w:lang w:eastAsia="en-US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д) отсутствие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"consultantplus://offline/ref=224DA882DFB7DD89826BF54A7706B6F19570CAFA77E2E597A5ED6C920BA39FCA69111144A9AA87519F8C839881F6CAF9A426FC5F5F16i1CBF"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color w:val="0000ff"/>
                <w:highlight w:val="none"/>
                <w:lang w:eastAsia="en-US"/>
              </w:rPr>
              <w:t xml:space="preserve">статьей 19.28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 Кодекса Российской Федерации об административных правонарушениях;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</w:r>
            <w:bookmarkEnd w:id="2"/>
            <w:r>
              <w:rPr>
                <w:rFonts w:eastAsia="Calibri"/>
                <w:highlight w:val="none"/>
                <w:lang w:eastAsia="en-US"/>
              </w:rPr>
              <w:t xml:space="preserve">е) соответствие участника закупки указанным в документации о закупке требованиям законодательства Российской Федерации к лицам, осуществляющим поставку то</w:t>
            </w:r>
            <w:r>
              <w:rPr>
                <w:rFonts w:eastAsia="Calibri"/>
                <w:highlight w:val="none"/>
                <w:lang w:eastAsia="en-US"/>
              </w:rPr>
              <w:t xml:space="preserve">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  указанные в п.16.1 настоящей документации, содержатся в открытых</w:t>
            </w:r>
            <w:r>
              <w:rPr>
                <w:rFonts w:eastAsia="Calibri"/>
                <w:highlight w:val="none"/>
                <w:lang w:eastAsia="en-US"/>
              </w:rPr>
              <w:t xml:space="preserve">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документы);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319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9) Копии документов, подтверждающих соответствие товара, работы или услуги требованиям, устано</w:t>
            </w:r>
            <w:r>
              <w:rPr>
                <w:rFonts w:eastAsia="Calibri"/>
                <w:highlight w:val="none"/>
                <w:lang w:eastAsia="zh-CN"/>
              </w:rPr>
              <w:t xml:space="preserve">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услуге). Перечень таких документов указан в п. 16.2 настоящей документации. 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319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10) </w:t>
            </w:r>
            <w:r>
              <w:rPr>
                <w:highlight w:val="none"/>
              </w:rPr>
              <w:t xml:space="preserve">информация и документы,</w:t>
            </w:r>
            <w:r>
              <w:rPr>
                <w:rFonts w:eastAsia="Calibri"/>
                <w:highlight w:val="none"/>
              </w:rPr>
              <w:t xml:space="preserve"> которые подтверждают страну происхождения товара </w:t>
            </w:r>
            <w:r>
              <w:rPr>
                <w:highlight w:val="none"/>
              </w:rPr>
              <w:t xml:space="preserve">в случае, если в изве</w:t>
            </w:r>
            <w:r>
              <w:rPr>
                <w:highlight w:val="none"/>
              </w:rPr>
              <w:t xml:space="preserve">щении о закупке и (или) в п.22 настоящей документации установлены и применяются 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Наименование и перечень данной информации и документов указаны в п. 22.1 настоящей документации.  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contextualSpacing/>
              <w:ind w:left="0" w:right="0" w:firstLine="540"/>
              <w:jc w:val="both"/>
              <w:spacing w:before="0" w:after="0"/>
              <w:shd w:val="clear" w:color="auto" w:fill="auto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Times New Roman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В случае указания во второй части заявки на участие в электронном аукционе ценового предложения, о</w:t>
            </w:r>
            <w:r>
              <w:rPr>
                <w:rFonts w:eastAsia="Calibri"/>
                <w:highlight w:val="none"/>
                <w:lang w:eastAsia="zh-CN"/>
              </w:rPr>
              <w:t xml:space="preserve">тличного от ценового предложения, указанного участником закупки посредством программно-аппаратных средств электронной площадки, оценка заявки осуществляется по ценовому предложению, указанному посредством программно-аппаратных средств электронной площадки.</w:t>
            </w:r>
            <w:r>
              <w:rPr>
                <w:rFonts w:eastAsia="Times New Roman"/>
                <w:highlight w:val="none"/>
                <w:lang w:eastAsia="zh-CN"/>
              </w:rPr>
            </w:r>
            <w:r>
              <w:rPr>
                <w:rFonts w:eastAsia="Times New Roman"/>
                <w:highlight w:val="none"/>
              </w:rPr>
            </w:r>
          </w:p>
          <w:p>
            <w:pPr>
              <w:pStyle w:val="843"/>
              <w:ind w:left="0" w:right="0" w:firstLine="201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Times New Roman"/>
                <w:highlight w:val="none"/>
                <w:lang w:eastAsia="zh-CN"/>
              </w:rPr>
              <w:t xml:space="preserve">    </w:t>
            </w:r>
            <w:r>
              <w:rPr>
                <w:rFonts w:eastAsia="Calibri"/>
                <w:highlight w:val="none"/>
                <w:lang w:eastAsia="zh-CN"/>
              </w:rPr>
              <w:t xml:space="preserve">Декларация, предусмотренная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"consultantplus://offline/ref=B5199C083043C5A68AD2121A7B6DF8F9B6A4096697AC60CB4E484921E8ADDB178464FBD20F4C38B52AF81BBB05BA96868E5D314CB1s9n6F"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highlight w:val="none"/>
                <w:lang w:eastAsia="zh-CN"/>
              </w:rPr>
              <w:t xml:space="preserve">подпунктом 8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zh-CN"/>
              </w:rPr>
              <w:t xml:space="preserve"> пункта 16 настоящей документации, представляется в составе заявки участником закупки по форме Приложения  №2 к Документации или с использованием программно-аппаратных средств электронной площадки. 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201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201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Для группы (нескольких лиц) лиц, выступающих на стороне одного участника закупки: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201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- Документ, подтверждающий объединен</w:t>
            </w:r>
            <w:r>
              <w:rPr>
                <w:rFonts w:eastAsia="Calibri"/>
                <w:highlight w:val="none"/>
                <w:lang w:eastAsia="zh-CN"/>
              </w:rPr>
              <w:t xml:space="preserve">ие лиц, выступающих на стороне одного участника закупки в группу, и право конкретного участника закупки участвовать в процедуре закупки от имени группы лиц, в том числе подавать заявку, вносить обеспечение заявки, договора, подписывать протоколы, договор; 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- Документы и сведения в соответствии с п.16 Информационной карты участника закупки, которому от имени группы лиц поручено подать заявку.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201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Cs/>
                <w:highlight w:val="none"/>
              </w:rPr>
              <w:t xml:space="preserve">16.1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Перече</w:t>
            </w:r>
            <w:r>
              <w:rPr>
                <w:rFonts w:eastAsia="Calibri"/>
                <w:highlight w:val="none"/>
                <w:lang w:eastAsia="en-US"/>
              </w:rPr>
              <w:t xml:space="preserve">нь копий документов, подтверждающих соответствие участника аукциона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закупки.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Если в соответствии с законодательством Российской Федерации указанные документы, подтверждающие такое соответствие  содержатся в открытых и общедоступных </w:t>
            </w:r>
            <w:r>
              <w:rPr>
                <w:rFonts w:eastAsia="Calibri"/>
                <w:highlight w:val="none"/>
                <w:lang w:eastAsia="en-US"/>
              </w:rPr>
              <w:t xml:space="preserve">государственных реестрах, размещенных в информационно-телекоммуникационной сети "Интернет" участник закупки вправе указать адрес сайта или страницы сайта в информационно-телекоммуникационной сети "Интернет", на которых размещены эти информация и документы.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b/>
                <w:highlight w:val="non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</w:rPr>
            </w:r>
          </w:p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Cs/>
                <w:highlight w:val="none"/>
              </w:rPr>
              <w:t xml:space="preserve">16.2.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Перечень документов (копий документов), подт</w:t>
            </w:r>
            <w:r>
              <w:rPr>
                <w:rFonts w:eastAsia="Calibri"/>
                <w:highlight w:val="none"/>
                <w:lang w:eastAsia="zh-CN"/>
              </w:rPr>
              <w:t xml:space="preserve">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</w:t>
            </w:r>
            <w:r>
              <w:rPr>
                <w:highlight w:val="none"/>
              </w:rPr>
              <w:t xml:space="preserve">(с учетом п.10, п.13 </w:t>
            </w:r>
            <w:r>
              <w:rPr>
                <w:b/>
                <w:highlight w:val="none"/>
              </w:rPr>
              <w:t xml:space="preserve">Инструкции по заполнению заявки на участие в закупке</w:t>
            </w:r>
            <w:r>
              <w:rPr>
                <w:highlight w:val="none"/>
              </w:rPr>
              <w:t xml:space="preserve">  настоящей документации)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b/>
                <w:highlight w:val="non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</w:rPr>
            </w:r>
          </w:p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Cs/>
                <w:highlight w:val="none"/>
              </w:rPr>
              <w:t xml:space="preserve">16.3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Перечень документов (копий документов), подтверждающих н</w:t>
            </w:r>
            <w:r>
              <w:rPr>
                <w:highlight w:val="none"/>
              </w:rPr>
              <w:t xml:space="preserve">аличие финансовых, материальных средств, а также иных возможностей (ресурсов), необходимых для обеспечения надлежащего и качественного исполнения договора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b/>
                <w:highlight w:val="non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Cs/>
                <w:highlight w:val="none"/>
              </w:rPr>
              <w:t xml:space="preserve">16.4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rFonts w:eastAsia="Calibri"/>
                <w:bCs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Перечень документов (копий документов), подтверждающих </w:t>
            </w:r>
            <w:r>
              <w:rPr>
                <w:highlight w:val="none"/>
              </w:rPr>
              <w:t xml:space="preserve">положительную деловую репутацию выполнения работ или оказания услуг</w:t>
            </w:r>
            <w:r>
              <w:rPr>
                <w:rFonts w:eastAsia="Calibri"/>
                <w:bCs/>
                <w:highlight w:val="none"/>
              </w:rPr>
            </w:r>
            <w:r>
              <w:rPr>
                <w:rFonts w:eastAsia="Calibri"/>
                <w:bCs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rFonts w:eastAsia="Calibri"/>
                <w:bCs/>
                <w:highlight w:val="none"/>
              </w:rPr>
            </w:pPr>
            <w:r>
              <w:rPr>
                <w:rFonts w:eastAsia="Calibri"/>
                <w:bCs/>
                <w:highlight w:val="none"/>
              </w:rPr>
            </w:r>
            <w:r>
              <w:rPr>
                <w:rFonts w:eastAsia="Calibri"/>
                <w:bCs/>
                <w:highlight w:val="none"/>
              </w:rPr>
            </w:r>
            <w:r>
              <w:rPr>
                <w:rFonts w:eastAsia="Calibri"/>
                <w:b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b/>
                <w:highlight w:val="non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Cs/>
                <w:highlight w:val="none"/>
              </w:rPr>
              <w:t xml:space="preserve">16.5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Перечень документов (копий документов), подтверждающих </w:t>
            </w:r>
            <w:r>
              <w:rPr>
                <w:highlight w:val="none"/>
              </w:rPr>
              <w:t xml:space="preserve">наличие опыта выполнения работ или оказания услуг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Не требуется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17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Размер обеспечения заявки на участие</w:t>
            </w:r>
            <w:r>
              <w:rPr>
                <w:rFonts w:eastAsia="Calibri"/>
                <w:bCs/>
                <w:highlight w:val="none"/>
              </w:rPr>
              <w:t xml:space="preserve"> в закупке, срок и порядок его предоставления участником закупки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Не требуется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  <w:lang w:eastAsia="zh-CN"/>
              </w:rPr>
              <w:t xml:space="preserve">Размер обеспечения исполнения договора</w:t>
            </w:r>
            <w:r>
              <w:rPr>
                <w:highlight w:val="none"/>
                <w:lang w:eastAsia="zh-CN"/>
              </w:rPr>
              <w:t xml:space="preserve">, срок и порядок его предоставления, срок и порядок его возврата, основное обязательство, исполнение которого обеспечивается и срок его исполнения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b/>
                <w:highlight w:val="non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</w:p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rFonts w:eastAsia="Calibri"/>
                <w:b/>
                <w:color w:val="000000"/>
                <w:highlight w:val="none"/>
              </w:rPr>
            </w:pP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</w:p>
          <w:p>
            <w:pPr>
              <w:pStyle w:val="843"/>
              <w:contextualSpacing/>
              <w:jc w:val="both"/>
              <w:spacing w:before="0" w:after="0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</w:p>
          <w:p>
            <w:pPr>
              <w:pStyle w:val="843"/>
              <w:contextualSpacing/>
              <w:ind w:left="0" w:right="0" w:firstLine="540"/>
              <w:jc w:val="both"/>
              <w:spacing w:before="0" w:after="0"/>
              <w:shd w:val="clear" w:color="auto" w:fill="auto"/>
              <w:tabs>
                <w:tab w:val="left" w:pos="142" w:leader="none"/>
                <w:tab w:val="left" w:pos="993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19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  <w:lang w:eastAsia="zh-CN"/>
              </w:rPr>
              <w:t xml:space="preserve">Применение антидемпинговых мер </w:t>
            </w:r>
            <w:r>
              <w:rPr>
                <w:highlight w:val="none"/>
                <w:lang w:eastAsia="zh-CN"/>
              </w:rPr>
              <w:t xml:space="preserve">(при наличии требования об обеспечении исполнения договора)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1)</w:t>
              <w:tab/>
              <w:t xml:space="preserve">Если при проведении закупки начальная (максимальная) цена договора составляет более чем пятнадцать миллионов</w:t>
            </w:r>
            <w:r>
              <w:rPr>
                <w:b/>
                <w:highlight w:val="none"/>
              </w:rPr>
              <w:t xml:space="preserve">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</w:t>
            </w:r>
            <w:r>
              <w:rPr>
                <w:b/>
                <w:highlight w:val="none"/>
              </w:rPr>
              <w:t xml:space="preserve"> и более процентов ниже начальной суммы цен указанных единиц,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извещен</w:t>
            </w:r>
            <w:r>
              <w:rPr>
                <w:b/>
                <w:highlight w:val="none"/>
              </w:rPr>
              <w:t xml:space="preserve">ии об осуществлении закупки (приглашении принять участие в определении поставщика (исполнителя, подрядчика), но не менее чем десять процентов от начальной (максимальной) цены договора и не менее размера аванса (если договором предусмотрена выплата аванса).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2)</w:t>
              <w:tab/>
              <w:t xml:space="preserve">Если при проведении закупки начальная (максимальная) цена договора составляет пятнадцать миллионов рублей и менее и участником закупки, с которым заключается договор, предложена цена договора, которая </w:t>
            </w:r>
            <w:r>
              <w:rPr>
                <w:b/>
                <w:highlight w:val="none"/>
              </w:rPr>
              <w:t xml:space="preserve">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 и более процентов ниже начальной суммы цен указанных единиц, договор заключается только после </w:t>
            </w:r>
            <w:r>
              <w:rPr>
                <w:b/>
                <w:highlight w:val="none"/>
              </w:rPr>
              <w:t xml:space="preserve">предоставления таким участником обеспечения исполнения договора в размере, указанном в подпункте 1) настоящего пункта документации, или информации, подтверждающей добросовестность такого участника в соответствии с подпунктом 3) настоящего пункта документац</w:t>
            </w:r>
            <w:r>
              <w:rPr>
                <w:b/>
                <w:highlight w:val="none"/>
              </w:rPr>
              <w:t xml:space="preserve">ии, с одновременным предоставлением таким участником обеспечения исполнения договора в размере обеспечения исполнения договора, указанном в извещении об осуществлении закупки, (приглашении принять участие в определении поставщика (исполнителя, подрядчика).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3)</w:t>
              <w:tab/>
              <w:t xml:space="preserve">К инф</w:t>
            </w:r>
            <w:r>
              <w:rPr>
                <w:b/>
                <w:highlight w:val="none"/>
              </w:rPr>
              <w:t xml:space="preserve">ормации, подтверждающей добросовестность участника закупки, относится информация, содержащаяся в реестре контрактов, предусмотренном статьей 103 Федерального закона № 44-ФЗ или в реестре договоров, предусмотренном частью 3 статьи 4.1 Федерального закона № </w:t>
            </w:r>
            <w:r>
              <w:rPr>
                <w:b/>
                <w:highlight w:val="none"/>
              </w:rPr>
              <w:t xml:space="preserve">223-ФЗ и подтверждающая исполнение таким участником в течение трех лет до даты подачи заявки на участие в закупке трех контрактов (договоров) (с учетом правопреемства), исполненных без применения к такому участнику неустоек (штрафов, пеней). При этом цена </w:t>
            </w:r>
            <w:r>
              <w:rPr>
                <w:b/>
                <w:highlight w:val="none"/>
              </w:rPr>
              <w:t xml:space="preserve">одного из таких контрактов (договоров) должна составлять не менее чем двадцать процентов начальной (максимальной) цены договора, указанной в извещении об осуществлении закупки (приглашении принять участие в определении поставщика (исполнителя, подрядчика).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4)</w:t>
              <w:tab/>
              <w:t xml:space="preserve">Информация, предусмотренная подпунктом 3) настоящего пункта документации, предоставляется участником закупки при направлении Заказчику подписанного проекта договора. Пр</w:t>
            </w:r>
            <w:r>
              <w:rPr>
                <w:b/>
                <w:highlight w:val="none"/>
              </w:rPr>
              <w:t xml:space="preserve">и невыполнении таким участником, признанным победителем, данного требования или признании Заказчиком информации, предусмотренной указанным пунктом, недостоверной договор с таким участником не заключается и он признается уклонившимся от заключения договора.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5)</w:t>
              <w:tab/>
              <w:t xml:space="preserve">Положения об антидемпинговых мерах, предусмотренные настоящим пунктом документа</w:t>
            </w:r>
            <w:r>
              <w:rPr>
                <w:b/>
                <w:highlight w:val="none"/>
              </w:rPr>
              <w:t xml:space="preserve">ции не применяются в случае, если при осуществлении закупок лекарственных препаратов,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</w:t>
            </w:r>
            <w:r>
              <w:rPr>
                <w:b/>
                <w:highlight w:val="none"/>
              </w:rPr>
              <w:t xml:space="preserve">ючается договор, предложена цена всех закупаемых лекарственных препаратов,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цены.</w:t>
            </w:r>
            <w:r>
              <w:rPr>
                <w:highlight w:val="none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20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  <w:lang w:eastAsia="zh-CN"/>
              </w:rPr>
              <w:t xml:space="preserve">Реквизиты счета для внесения денежных средств в качестве обеспечения заявки на участие в закупке в виде залога денежных средств (пункт применяется в случае, если в п. 17 настоящей Документации установлен размер обеспечения заявки)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  <w:t xml:space="preserve">Дл</w:t>
            </w:r>
            <w:r>
              <w:rPr>
                <w:rFonts w:eastAsia="Calibri"/>
                <w:highlight w:val="none"/>
                <w:lang w:eastAsia="zh-CN"/>
              </w:rPr>
              <w:t xml:space="preserve">я подачи заявок на участие в закупке необходимо перечислить денежные средства в размере обеспечения заявки на виртуальный счёт участника, открытый на площадке в соответствии с регламентом работы электронной площадки, указанной в п.3 настоящей документации.</w:t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  <w:lang w:eastAsia="zh-CN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rFonts w:eastAsia="Calibri"/>
                <w:b/>
                <w:bCs/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  <w:lang w:eastAsia="zh-CN"/>
              </w:rPr>
            </w:r>
            <w:r>
              <w:rPr>
                <w:rFonts w:eastAsia="Calibri"/>
                <w:b/>
                <w:bCs/>
                <w:highlight w:val="none"/>
                <w:lang w:eastAsia="zh-CN"/>
              </w:rPr>
            </w:r>
            <w:r>
              <w:rPr>
                <w:rFonts w:eastAsia="Calibri"/>
                <w:b/>
                <w:b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b/>
                <w:highlight w:val="none"/>
              </w:rPr>
            </w:pPr>
            <w:r>
              <w:rPr>
                <w:b/>
                <w:highlight w:val="none"/>
                <w:lang w:eastAsia="zh-CN"/>
              </w:rPr>
              <w:t xml:space="preserve">Реквизиты счета для внесения денежных средств в случаях: </w:t>
            </w:r>
            <w:r>
              <w:rPr>
                <w:b/>
                <w:highlight w:val="none"/>
                <w:lang w:eastAsia="zh-CN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b/>
                <w:highlight w:val="none"/>
              </w:rPr>
            </w:pPr>
            <w:r>
              <w:rPr>
                <w:b/>
                <w:highlight w:val="none"/>
                <w:lang w:eastAsia="zh-CN"/>
              </w:rPr>
              <w:t xml:space="preserve">- обеспечения исполнения договора в виде залога денежных средств </w:t>
            </w:r>
            <w:r>
              <w:rPr>
                <w:b/>
                <w:highlight w:val="none"/>
                <w:lang w:eastAsia="zh-CN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b/>
                <w:highlight w:val="none"/>
              </w:rPr>
            </w:pPr>
            <w:r>
              <w:rPr>
                <w:b/>
                <w:highlight w:val="none"/>
                <w:lang w:eastAsia="zh-CN"/>
              </w:rPr>
              <w:t xml:space="preserve">- для перечисления денежных средств  в размере предложенной этим участником цены за право заключения договора, в случае, если при проведении аукциона цена договора снижена до нуля и аукцион проводился на право заключить договор  </w:t>
            </w:r>
            <w:r>
              <w:rPr>
                <w:b/>
                <w:highlight w:val="none"/>
                <w:lang w:eastAsia="zh-CN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  <w:lang w:eastAsia="zh-CN"/>
              </w:rPr>
              <w:t xml:space="preserve">- для перечисления денежных средств внесенных в качестве обеспечения заявок, в случае уклонения участника от заключения договора или отказа участника закупки заключить договор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b/>
                <w:highlight w:val="non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none"/>
                <w:lang w:eastAsia="zh-CN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21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b/>
                <w:highlight w:val="none"/>
                <w:lang w:eastAsia="zh-CN"/>
              </w:rPr>
              <w:t xml:space="preserve">Сведения о праве Заказчика отказаться</w:t>
            </w:r>
            <w:r>
              <w:rPr>
                <w:highlight w:val="none"/>
                <w:lang w:eastAsia="zh-CN"/>
              </w:rPr>
              <w:t xml:space="preserve"> от проведения закупки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993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Заказчик вправе отменить конкурентную закупку до наступления даты и вре</w:t>
            </w:r>
            <w:r>
              <w:rPr>
                <w:rFonts w:eastAsia="Calibri"/>
                <w:highlight w:val="none"/>
                <w:lang w:eastAsia="en-US"/>
              </w:rPr>
              <w:t xml:space="preserve">мени окончания срока подачи заявок на участие в закупке.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"consultantplus://offline/ref=BEC4DD38C456FD53600624892A7ED1CAF1C29495884BF9B1114DFA0B47D8AD8A21C7AAEC92D689C5s4s0N"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rFonts w:eastAsia="Calibri"/>
                <w:highlight w:val="none"/>
                <w:lang w:eastAsia="en-US"/>
              </w:rPr>
              <w:t xml:space="preserve">непреодолимой силы</w:t>
            </w:r>
            <w:r>
              <w:rPr>
                <w:highlight w:val="none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 в соответствии с гражданским законодательством Российской Федерации.</w:t>
            </w:r>
            <w:r>
              <w:rPr>
                <w:rFonts w:eastAsia="Calibri"/>
                <w:highlight w:val="none"/>
                <w:lang w:eastAsia="zh-CN"/>
              </w:rPr>
              <w:t xml:space="preserve"> 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tabs>
                <w:tab w:val="left" w:pos="142" w:leader="none"/>
                <w:tab w:val="left" w:pos="993" w:leader="none"/>
              </w:tabs>
              <w:rPr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Решение об отмене закупки размещается в единой информационной системе в день принятия этого решения. </w:t>
            </w:r>
            <w:r>
              <w:rPr>
                <w:rFonts w:eastAsia="Calibri"/>
                <w:highlight w:val="none"/>
                <w:lang w:eastAsia="zh-CN"/>
              </w:rPr>
              <w:t xml:space="preserve">В случае отмены закупки зая</w:t>
            </w:r>
            <w:r>
              <w:rPr>
                <w:rFonts w:eastAsia="Calibri"/>
                <w:highlight w:val="none"/>
                <w:lang w:eastAsia="zh-CN"/>
              </w:rPr>
              <w:t xml:space="preserve">вки на участие в закупке, поданные участниками закупки, не возвращаются. При этом Заказчик не несет ответственности перед участниками закупки, в том числе по возмещению затрат, связанных с подготовкой и подачей соответствующих заявок на участие в закупке. </w:t>
            </w:r>
            <w:r>
              <w:rPr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22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Сведения о </w:t>
            </w:r>
            <w:r>
              <w:rPr>
                <w:highlight w:val="none"/>
              </w:rPr>
              <w:t xml:space="preserve">запрете, ограничении </w:t>
            </w:r>
            <w:r>
              <w:rPr>
                <w:rFonts w:eastAsia="Calibri"/>
                <w:highlight w:val="none"/>
              </w:rPr>
              <w:t xml:space="preserve">закупок товаров</w:t>
            </w:r>
            <w:r>
              <w:rPr>
                <w:highlight w:val="none"/>
              </w:rPr>
              <w:t xml:space="preserve">, </w:t>
            </w:r>
            <w:r>
              <w:rPr>
                <w:rFonts w:eastAsia="Calibri"/>
                <w:highlight w:val="none"/>
              </w:rPr>
              <w:t xml:space="preserve">(в том числе поставляемых при выполнении закупаемых работ, оказании закупаемых услуг), происходящих из </w:t>
            </w:r>
            <w:r>
              <w:rPr>
                <w:rFonts w:eastAsia="Calibri"/>
                <w:highlight w:val="none"/>
              </w:rPr>
              <w:t xml:space="preserve">иностранных государств, работ, услуг, соответственно выполняемых, оказываемых иностранными лицами, сведения о преимуществе в отношении товаров российского происхождения (в том числе поставляемых при выполнении закупаемых работ, оказании закупаемых услуг), </w:t>
            </w:r>
            <w:r>
              <w:rPr>
                <w:rFonts w:eastAsia="Calibri"/>
                <w:highlight w:val="none"/>
                <w:lang w:eastAsia="en-US"/>
              </w:rPr>
              <w:t xml:space="preserve">в разделе </w:t>
            </w:r>
            <w:r>
              <w:rPr>
                <w:rFonts w:eastAsia="Calibri"/>
                <w:highlight w:val="none"/>
                <w:lang w:val="en-US" w:eastAsia="en-US"/>
              </w:rPr>
              <w:t xml:space="preserve">V</w:t>
            </w:r>
            <w:r>
              <w:rPr>
                <w:rFonts w:eastAsia="Calibri"/>
                <w:highlight w:val="none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22.1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auto"/>
              <w:rPr>
                <w:i/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  <w:t xml:space="preserve">информация и документы, определенные в соответствии с пунктом 2 части 2 статьи 3.1-4 Федерального закона № 223-ФЗ и пунктом 3 постановления Правительства Российской Федерац</w:t>
            </w:r>
            <w:r>
              <w:rPr>
                <w:highlight w:val="none"/>
              </w:rPr>
              <w:t xml:space="preserve">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- </w:t>
            </w:r>
            <w:r>
              <w:rPr>
                <w:sz w:val="20"/>
                <w:szCs w:val="20"/>
                <w:highlight w:val="none"/>
              </w:rPr>
              <w:t xml:space="preserve">ПП РФ № 1875</w:t>
            </w:r>
            <w:r>
              <w:rPr>
                <w:highlight w:val="none"/>
              </w:rPr>
              <w:t xml:space="preserve">), подтверждающие </w:t>
            </w:r>
            <w:r>
              <w:rPr>
                <w:rFonts w:ascii="PT Serif" w:hAnsi="PT Serif" w:cs="PT Serif"/>
                <w:color w:val="22272f"/>
                <w:sz w:val="23"/>
                <w:szCs w:val="23"/>
                <w:highlight w:val="none"/>
                <w:shd w:val="clear" w:color="auto" w:fill="ffffff"/>
              </w:rPr>
              <w:t xml:space="preserve">страну происхождения товара</w:t>
            </w:r>
            <w:r>
              <w:rPr>
                <w:b/>
                <w:highlight w:val="none"/>
              </w:rPr>
              <w:t xml:space="preserve">:*</w:t>
            </w:r>
            <w:r>
              <w:rPr>
                <w:i/>
                <w:sz w:val="20"/>
                <w:szCs w:val="20"/>
                <w:highlight w:val="none"/>
              </w:rPr>
            </w:r>
            <w:r>
              <w:rPr>
                <w:i/>
                <w:sz w:val="20"/>
                <w:szCs w:val="20"/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i/>
                <w:color w:val="ff0000"/>
                <w:sz w:val="20"/>
                <w:szCs w:val="20"/>
                <w:highlight w:val="none"/>
              </w:rPr>
            </w:pPr>
            <w:r>
              <w:rPr>
                <w:i/>
                <w:sz w:val="20"/>
                <w:szCs w:val="20"/>
                <w:highlight w:val="none"/>
              </w:rPr>
              <w:t xml:space="preserve">*(данный пункт подлежит применению только в случае, если в извещении о закупке и (или) в разделе </w:t>
            </w:r>
            <w:r>
              <w:rPr>
                <w:i/>
                <w:sz w:val="20"/>
                <w:szCs w:val="20"/>
                <w:highlight w:val="none"/>
                <w:lang w:val="en-US"/>
              </w:rPr>
              <w:t xml:space="preserve">V</w:t>
            </w:r>
            <w:r>
              <w:rPr>
                <w:i/>
                <w:sz w:val="20"/>
                <w:szCs w:val="20"/>
                <w:highlight w:val="none"/>
              </w:rPr>
              <w:t xml:space="preserve"> настоящей документации</w:t>
            </w:r>
            <w:r>
              <w:rPr>
                <w:b/>
                <w:bCs/>
                <w:i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i/>
                <w:sz w:val="20"/>
                <w:szCs w:val="20"/>
                <w:highlight w:val="none"/>
              </w:rPr>
              <w:t xml:space="preserve">содержится информация об установлении и применении  ограничений и (или) запретов</w:t>
            </w:r>
            <w:r>
              <w:rPr>
                <w:i/>
                <w:sz w:val="20"/>
                <w:szCs w:val="20"/>
                <w:highlight w:val="none"/>
              </w:rPr>
              <w:t xml:space="preserve"> допуска иностранных товаров и услуг, и (или) </w:t>
            </w:r>
            <w:r>
              <w:rPr>
                <w:b/>
                <w:i/>
                <w:sz w:val="20"/>
                <w:szCs w:val="20"/>
                <w:highlight w:val="none"/>
              </w:rPr>
              <w:t xml:space="preserve">преимуществ</w:t>
            </w:r>
            <w:r>
              <w:rPr>
                <w:i/>
                <w:sz w:val="20"/>
                <w:szCs w:val="20"/>
                <w:highlight w:val="none"/>
              </w:rPr>
              <w:t xml:space="preserve"> товарам российского происхождения (</w:t>
            </w:r>
            <w:r>
              <w:rPr>
                <w:rFonts w:ascii="PT Serif" w:hAnsi="PT Serif" w:cs="PT Serif"/>
                <w:i/>
                <w:color w:val="22272f"/>
                <w:sz w:val="20"/>
                <w:szCs w:val="20"/>
                <w:highlight w:val="none"/>
                <w:shd w:val="clear" w:color="auto" w:fill="ffffff"/>
              </w:rPr>
              <w:t xml:space="preserve">в том числе поставляемых при выполнении закупаемых работ, оказании закупаемых услуг)</w:t>
            </w:r>
            <w:r>
              <w:rPr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i/>
                <w:color w:val="ff0000"/>
                <w:sz w:val="20"/>
                <w:szCs w:val="20"/>
                <w:highlight w:val="none"/>
              </w:rPr>
            </w:r>
          </w:p>
          <w:p>
            <w:pPr>
              <w:pStyle w:val="843"/>
              <w:ind w:left="0" w:right="0" w:firstLine="567"/>
              <w:jc w:val="both"/>
              <w:shd w:val="clear" w:color="auto" w:fill="auto"/>
              <w:rPr>
                <w:i/>
                <w:color w:val="ff0000"/>
                <w:sz w:val="20"/>
                <w:szCs w:val="20"/>
                <w:highlight w:val="none"/>
              </w:rPr>
            </w:pPr>
            <w:r>
              <w:rPr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i/>
                <w:color w:val="ff0000"/>
                <w:sz w:val="20"/>
                <w:szCs w:val="20"/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rFonts w:eastAsia="Calibri"/>
                <w:b/>
                <w:bCs/>
                <w:i/>
                <w:color w:val="ff0000"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  <w:highlight w:val="none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numPr>
                <w:ilvl w:val="0"/>
                <w:numId w:val="0"/>
              </w:numPr>
              <w:ind w:left="0" w:right="0" w:firstLine="567"/>
              <w:jc w:val="both"/>
              <w:shd w:val="clear" w:color="auto" w:fill="auto"/>
              <w:rPr>
                <w:b/>
                <w:bCs/>
                <w:highlight w:val="none"/>
              </w:rPr>
              <w:outlineLvl w:val="2"/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 xml:space="preserve">а) Для подтверждения страны происхождения тех товаров, по которым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в извещении о закупке и (или) 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 xml:space="preserve">в разделе 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  <w:lang w:val="en-US"/>
              </w:rPr>
              <w:t xml:space="preserve">V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 xml:space="preserve"> настоящей документации установлен и применяется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ЗАПРЕТ</w:t>
            </w:r>
            <w:r>
              <w:rPr>
                <w:b/>
                <w:bCs/>
                <w:color w:val="ff0000"/>
                <w:sz w:val="28"/>
                <w:szCs w:val="28"/>
                <w:highlight w:val="none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 xml:space="preserve">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tbl>
            <w:tblPr>
              <w:tblW w:w="505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379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center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b/>
                      <w:bCs/>
                      <w:highlight w:val="none"/>
                    </w:rPr>
                    <w:t xml:space="preserve">Продукция,                     включенная                               в объект закупки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b/>
                      <w:bCs/>
                      <w:highlight w:val="none"/>
                    </w:rPr>
                    <w:t xml:space="preserve">Информация и документы, подтверждающие страну происхождения товара</w:t>
                  </w:r>
                  <w:r>
                    <w:rPr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ПРОМЫШЛЕННЫЕ ТОВАРЫ из позиций 1–145 приложения № 1 к  ПП РФ № 1875      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(подп. 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"/document/99/1310667825/ZAP2IKG3N7/"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а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 и 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"/document/99/1310667825/ZAP2INK3N8/"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б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 п. 3 ПП РФ № 1875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both"/>
                    <w:spacing w:before="300" w:after="0"/>
                    <w:shd w:val="clear" w:color="auto" w:fill="auto"/>
                    <w:widowControl w:val="off"/>
                    <w:rPr>
                      <w:highlight w:val="none"/>
                    </w:rPr>
                  </w:pPr>
                  <w:r>
                    <w:rPr>
                      <w:b/>
                      <w:i/>
                      <w:highlight w:val="none"/>
                    </w:rPr>
                    <w:t xml:space="preserve"> </w:t>
                  </w:r>
                  <w:r>
                    <w:rPr>
                      <w:b/>
                      <w:i/>
                      <w:highlight w:val="none"/>
                    </w:rPr>
                    <w:t xml:space="preserve">Для товаров из Российской Федерации: 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shd w:val="clear" w:color="auto" w:fill="auto"/>
                    <w:widowControl w:val="off"/>
                    <w:rPr>
                      <w:b/>
                      <w:bCs/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b/>
                      <w:bCs/>
                      <w:highlight w:val="none"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rPr>
                      <w:highlight w:val="none"/>
                    </w:rPr>
                    <w:t xml:space="preserve">, предусмотренного статьей 17.1 Федерального закона "О промышленной политике в Российской Федерации", содержащей в том числе:</w:t>
                  </w:r>
                  <w:r>
                    <w:rPr>
                      <w:b/>
                      <w:bCs/>
                      <w:highlight w:val="none"/>
                    </w:rPr>
                  </w:r>
                  <w:r>
                    <w:rPr>
                      <w:b/>
                      <w:bCs/>
                      <w:highlight w:val="none"/>
                    </w:rPr>
                  </w:r>
                </w:p>
                <w:p>
                  <w:pPr>
                    <w:pStyle w:val="926"/>
                    <w:ind w:left="0" w:right="0" w:firstLine="540"/>
                    <w:jc w:val="both"/>
                    <w:spacing w:before="0" w:after="0" w:line="288" w:lineRule="atLeast"/>
                    <w:shd w:val="clear" w:color="auto" w:fill="auto"/>
                    <w:rPr>
                      <w:b/>
                      <w:i/>
                      <w:highlight w:val="none"/>
                    </w:rPr>
                  </w:pPr>
                  <w:r>
                    <w:rPr>
                      <w:b/>
                      <w:bCs/>
                      <w:highlight w:val="none"/>
                    </w:rPr>
                    <w:t xml:space="preserve">- информацию о совокупном количестве баллов</w:t>
                  </w:r>
                  <w:r>
                    <w:rPr>
                      <w:highlight w:val="none"/>
                    </w:rPr>
                    <w:t xml:space="preserve"> за выполнение (освоение) на территории Российско</w:t>
                  </w:r>
                  <w:r>
                    <w:rPr>
                      <w:highlight w:val="none"/>
                    </w:rPr>
                    <w:t xml:space="preserve">й Федерации соответствующих операций (условий), которое составляет или превышает значение, определенное постановлением Правительства Российской Федерации от 17 июля 2015 г. N 719 для целей осуществления закупок                                              </w:t>
                  </w:r>
                  <w:r>
                    <w:rPr>
                      <w:b/>
                      <w:i/>
                      <w:highlight w:val="none"/>
                    </w:rPr>
                  </w:r>
                  <w:r>
                    <w:rPr>
                      <w:b/>
                      <w:i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shd w:val="clear" w:color="auto" w:fill="auto"/>
                    <w:widowControl w:val="off"/>
                    <w:rPr>
                      <w:b/>
                      <w:highlight w:val="none"/>
                    </w:rPr>
                  </w:pPr>
                  <w:r>
                    <w:rPr>
                      <w:b/>
                      <w:i/>
                      <w:highlight w:val="none"/>
                    </w:rPr>
                    <w:t xml:space="preserve">Для товаров из </w:t>
                  </w:r>
                  <w:r>
                    <w:rPr>
                      <w:b/>
                      <w:bCs/>
                      <w:i/>
                      <w:highlight w:val="none"/>
                    </w:rPr>
                    <w:t xml:space="preserve">государств - членов Евразийского экономического союза,</w:t>
                  </w:r>
                  <w:r>
                    <w:rPr>
                      <w:i/>
                      <w:highlight w:val="none"/>
                    </w:rPr>
                    <w:t xml:space="preserve"> </w:t>
                  </w:r>
                  <w:r>
                    <w:rPr>
                      <w:b/>
                      <w:bCs/>
                      <w:i/>
                      <w:highlight w:val="none"/>
                    </w:rPr>
                    <w:t xml:space="preserve">за исключением Российской Федерации:</w:t>
                  </w:r>
                  <w:r>
                    <w:rPr>
                      <w:b/>
                      <w:highlight w:val="none"/>
                    </w:rPr>
                  </w:r>
                  <w:r>
                    <w:rPr>
                      <w:b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shd w:val="clear" w:color="auto" w:fill="auto"/>
                    <w:widowControl w:val="off"/>
                    <w:rPr>
                      <w:b/>
                      <w:bCs/>
                      <w:highlight w:val="none"/>
                    </w:rPr>
                  </w:pPr>
                  <w:r>
                    <w:rPr>
                      <w:b/>
                      <w:highlight w:val="none"/>
                    </w:rPr>
                    <w:t xml:space="preserve">Н</w:t>
                  </w:r>
                  <w:r>
                    <w:rPr>
                      <w:b/>
                      <w:bCs/>
                      <w:highlight w:val="none"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rPr>
                      <w:highlight w:val="none"/>
                    </w:rP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  <w:highlight w:val="none"/>
                    </w:rPr>
                  </w:r>
                  <w:r>
                    <w:rPr>
                      <w:b/>
                      <w:bCs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shd w:val="clear" w:color="auto" w:fill="auto"/>
                    <w:widowControl w:val="off"/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b/>
                      <w:bCs/>
                      <w:highlight w:val="none"/>
                    </w:rPr>
                    <w:t xml:space="preserve">информацию о совокупном количестве баллов</w:t>
                  </w:r>
                  <w:r>
                    <w:rPr>
                      <w:highlight w:val="none"/>
                    </w:rP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  <w:highlight w:val="none"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  <w:highlight w:val="none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  <w:highlight w:val="none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  <w:highlight w:val="none"/>
                    </w:rPr>
                    <w:t xml:space="preserve">)</w:t>
                  </w: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  <w:highlight w:val="none"/>
                    </w:rPr>
                  </w:r>
                </w:p>
                <w:p>
                  <w:pPr>
                    <w:ind w:left="0" w:right="0" w:firstLine="540"/>
                    <w:jc w:val="both"/>
                    <w:spacing w:before="240" w:after="0"/>
                    <w:shd w:val="clear" w:color="auto" w:fill="auto"/>
                    <w:widowControl w:val="off"/>
                    <w:rPr>
                      <w:b/>
                      <w:bCs/>
                      <w:i/>
                      <w:strike/>
                      <w:sz w:val="24"/>
                      <w:szCs w:val="24"/>
                      <w:highlight w:val="none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П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ри осуществлении закупок товаров из числа медицинской одежды, включенной в коды 14.12.11, 14.12.21, 14.12.30.131, 14.12.30.132, 14.12.30.160 по Общероссийскому классификатору продукции по видам экономической деятельности ОК 034-2014 (КПЕС 2008), одежды спе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ц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иальной для поддержания физической формы, включенной в код 14.12.30.170 по Общероссийскому классификатору продукции по видам экономической деятельности ОК 034-2014 (КПЕС 2008), специальных хирургических одноразовых стерильных изделий из нетканых материалов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для защиты пациента и медицинского персонала, включенных в код 14.19.32.120 по Общероссийскому классификатору продукции по видам экономической деятельности ОК 034-2014 (КПЕС 2008) по 31 августа 2025 г.  включительно, документом, подтверждающим происхождени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е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 таких товаров из государств - членов Евразийского экономического союза, в том числе из Российской Федерации, также является сертификат о происхождении товара, выданный уполномоченным органом (организацией) государства - члена Евразийского экономического с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</w:t>
                  </w:r>
                  <w:r>
                    <w:rPr>
                      <w:b/>
                      <w:bCs/>
                      <w:i/>
                      <w:strike/>
                      <w:sz w:val="24"/>
                      <w:szCs w:val="24"/>
                      <w:highlight w:val="none"/>
                    </w:rPr>
                  </w:r>
                  <w:r>
                    <w:rPr>
                      <w:b/>
                      <w:bCs/>
                      <w:i/>
                      <w:strike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67"/>
                    <w:shd w:val="clear" w:color="auto" w:fill="auto"/>
                    <w:rPr>
                      <w:strike/>
                      <w:sz w:val="20"/>
                      <w:szCs w:val="20"/>
                      <w:highlight w:val="none"/>
                    </w:rPr>
                  </w:pPr>
                  <w:r>
                    <w:rPr>
                      <w:strike/>
                      <w:sz w:val="20"/>
                      <w:szCs w:val="20"/>
                      <w:highlight w:val="none"/>
                    </w:rPr>
                  </w:r>
                  <w:r>
                    <w:rPr>
                      <w:strike/>
                      <w:sz w:val="20"/>
                      <w:szCs w:val="20"/>
                      <w:highlight w:val="none"/>
                    </w:rPr>
                  </w:r>
                  <w:r>
                    <w:rPr>
                      <w:strike/>
                      <w:sz w:val="20"/>
                      <w:szCs w:val="20"/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ПРОГРАММНОЕ ОБЕСПЕЧЕНИЕ (позиция146 перечня № 1)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подп. 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"/document/99/1310667825/ZAP2C0K3FS/"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г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»–«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"/document/99/1310667825/ZAP1T6K3IA/"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ж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 п. 3 ПП РФ № 1875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для программного обеспечения из Российской Федерации - </w:t>
                  </w:r>
                  <w:r>
                    <w:rPr>
                      <w:b/>
                      <w:bCs/>
                      <w:highlight w:val="none"/>
                    </w:rPr>
                    <w:t xml:space="preserve">порядковый номер реестровой записи из единого реестра российских программ</w:t>
                  </w:r>
                  <w:r>
                    <w:rPr>
                      <w:highlight w:val="none"/>
                    </w:rPr>
                    <w:t xml:space="preserve"> для электронных вычислительных машин и баз данных ;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67"/>
                    <w:jc w:val="both"/>
                    <w:shd w:val="clear" w:color="auto" w:fill="auto"/>
                    <w:rPr>
                      <w:i/>
                      <w:sz w:val="20"/>
                      <w:szCs w:val="20"/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для программного обеспечения из государств - членов Евразийского экономического союза, за исключением Российской Федерации, - </w:t>
                  </w:r>
                  <w:r>
                    <w:rPr>
                      <w:b/>
                      <w:bCs/>
                      <w:highlight w:val="none"/>
                    </w:rPr>
                    <w:t xml:space="preserve"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</w:t>
                  </w:r>
                  <w:r>
                    <w:rPr>
                      <w:highlight w:val="none"/>
                    </w:rPr>
                    <w:t xml:space="preserve">, за исключением Российской Федерации; </w:t>
                  </w:r>
                  <w:r>
                    <w:rPr>
                      <w:i/>
                      <w:sz w:val="20"/>
                      <w:szCs w:val="20"/>
                      <w:highlight w:val="none"/>
                    </w:rPr>
                  </w:r>
                  <w:r>
                    <w:rPr>
                      <w:i/>
                      <w:sz w:val="20"/>
                      <w:szCs w:val="20"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67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i/>
                      <w:sz w:val="20"/>
                      <w:szCs w:val="20"/>
                      <w:highlight w:val="none"/>
                    </w:rPr>
                    <w:t xml:space="preserve">Участник закупки вправе не предоставить указанную информацию только в случае, если в извещении об осуществлении закупки (в описании объекта закупки) отсутствует описание поставляемого (используемого) программного обеспечения</w:t>
                  </w:r>
                  <w:r>
                    <w:rPr>
                      <w:i/>
                      <w:color w:val="000000"/>
                      <w:sz w:val="20"/>
                      <w:szCs w:val="20"/>
                      <w:highlight w:val="none"/>
                    </w:rPr>
                    <w:t xml:space="preserve">, а также в случае указания заказчиком в описании объекта закупки конкретного программного обеспечения без возможности поставки  эквивалента.</w:t>
                  </w:r>
                  <w:r>
                    <w:rPr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Товары из стран ЕАЭС, не указанные в позициях 1–146 перечня № 1                        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"/document/99/1310667825/ZAP2DAI3LJ/"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подп. «з»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 п. 3 ПП РФ № 1875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432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наименование страны происхождения товара </w:t>
                  </w:r>
                  <w:r>
                    <w:rPr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Иностранный товар, кроме стран ЕАЭС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"/document/99/1310667825/ZAP2DAI3LJ/"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подп. «з»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 п. 3 ПП РФ № 1875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432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наименование страны происхождения товара, </w:t>
                  </w:r>
                  <w:r>
                    <w:rPr>
                      <w:i/>
                      <w:highlight w:val="none"/>
                    </w:rPr>
                    <w:t xml:space="preserve">кроме случаев, перечисленных в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"/document/99/1310667825/ZAP20BQ3DS/"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i/>
                      <w:color w:val="0000ff"/>
                      <w:highlight w:val="none"/>
                      <w:u w:val="single"/>
                    </w:rPr>
                    <w:t xml:space="preserve">пункте 3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i/>
                      <w:highlight w:val="none"/>
                    </w:rPr>
                    <w:t xml:space="preserve"> Постановления № 1875, при которых предусмотрены иные информация и документы, подтверждающие происхождение товара из ЕАЭС</w:t>
                  </w:r>
                  <w:r>
                    <w:rPr>
                      <w:highlight w:val="none"/>
                    </w:rPr>
                  </w:r>
                </w:p>
              </w:tc>
            </w:tr>
          </w:tbl>
          <w:p>
            <w:pPr>
              <w:pStyle w:val="843"/>
              <w:jc w:val="both"/>
              <w:shd w:val="clear" w:color="auto" w:fill="auto"/>
              <w:rPr>
                <w:highlight w:val="none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3"/>
              <w:ind w:left="0" w:right="0" w:firstLine="567"/>
              <w:jc w:val="both"/>
              <w:shd w:val="clear" w:color="auto" w:fill="auto"/>
              <w:tabs>
                <w:tab w:val="left" w:pos="1020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color w:val="000000"/>
                <w:highlight w:val="none"/>
              </w:rPr>
              <w:t xml:space="preserve">б) Для подтверждения страны происхождения тех товаров, по которым </w:t>
            </w:r>
            <w:r>
              <w:rPr>
                <w:b/>
                <w:highlight w:val="none"/>
              </w:rPr>
              <w:t xml:space="preserve">в извещении о закупке и (или)</w:t>
            </w:r>
            <w:r>
              <w:rPr>
                <w:highlight w:val="none"/>
              </w:rPr>
              <w:t xml:space="preserve"> </w:t>
            </w:r>
            <w:r>
              <w:rPr>
                <w:b/>
                <w:bCs/>
                <w:color w:val="000000"/>
                <w:highlight w:val="none"/>
              </w:rPr>
              <w:t xml:space="preserve">в разделе </w:t>
            </w:r>
            <w:r>
              <w:rPr>
                <w:b/>
                <w:bCs/>
                <w:color w:val="000000"/>
                <w:highlight w:val="none"/>
                <w:lang w:val="en-US"/>
              </w:rPr>
              <w:t xml:space="preserve">V</w:t>
            </w:r>
            <w:r>
              <w:rPr>
                <w:b/>
                <w:bCs/>
                <w:color w:val="000000"/>
                <w:highlight w:val="none"/>
              </w:rPr>
              <w:t xml:space="preserve"> настоящей документации </w:t>
            </w:r>
            <w:r>
              <w:rPr>
                <w:b/>
                <w:color w:val="000000"/>
                <w:highlight w:val="none"/>
              </w:rPr>
              <w:t xml:space="preserve">устано</w:t>
            </w:r>
            <w:r>
              <w:rPr>
                <w:b/>
                <w:color w:val="000000"/>
                <w:highlight w:val="none"/>
              </w:rPr>
              <w:t xml:space="preserve">влено и применяется ОГРАНИЧЕНИЕ 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tbl>
            <w:tblPr>
              <w:tblW w:w="490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4080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b/>
                      <w:bCs/>
                      <w:highlight w:val="none"/>
                    </w:rPr>
                    <w:t xml:space="preserve">Продукция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b/>
                      <w:bCs/>
                      <w:highlight w:val="none"/>
                    </w:rPr>
                    <w:t xml:space="preserve">Информация и документы, подтверждающие страну происхождения товара</w:t>
                  </w:r>
                  <w:r>
                    <w:rPr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-151" w:firstLine="0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ПРОМЫШЛЕННЫЕ ТОВАРЫ,                          В Т.Ч. РАДИЭЛЕКТРОННАЯ ПРОДУКЦИЯ  И МЕДИЦИНСКИЕ ИЗДЕЛИЯ  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-151" w:firstLine="0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(товары из позиций 1–399 приложения № 2 ПП РФ № 1875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(подп. 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"/document/99/1310667825/ZAP2IKG3N7/"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а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 и 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"/document/99/1310667825/ZAP2INK3N8/"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б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 п. 3 ПП РФ № 1875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подп. 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"/document/99/1310667825/ZAP31EM3NU/"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б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 «в» и 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"/document/99/1310667825/ZAP31EM3NU/"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г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 п. 10 ПП РФ № 1875)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shd w:val="clear" w:color="auto" w:fill="auto"/>
                    <w:widowControl w:val="off"/>
                    <w:rPr>
                      <w:b/>
                      <w:bCs/>
                      <w:highlight w:val="none"/>
                    </w:rPr>
                  </w:pPr>
                  <w:r>
                    <w:rPr>
                      <w:b/>
                      <w:i/>
                      <w:highlight w:val="none"/>
                    </w:rPr>
                    <w:t xml:space="preserve">Для товаров из Российской Федерации: </w:t>
                  </w:r>
                  <w:r>
                    <w:rPr>
                      <w:b/>
                      <w:bCs/>
                      <w:highlight w:val="none"/>
                    </w:rPr>
                  </w:r>
                  <w:r>
                    <w:rPr>
                      <w:b/>
                      <w:bCs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shd w:val="clear" w:color="auto" w:fill="auto"/>
                    <w:widowControl w:val="off"/>
                    <w:rPr>
                      <w:highlight w:val="none"/>
                    </w:rPr>
                  </w:pPr>
                  <w:r>
                    <w:rPr>
                      <w:b/>
                      <w:bCs/>
                      <w:highlight w:val="none"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rPr>
                      <w:highlight w:val="none"/>
                    </w:rPr>
                    <w:t xml:space="preserve">, предусмотренного статьей 17.1 Федерального закона «О промышленной политике в Российской Федерации», содержащей в том числе: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hd w:val="clear" w:color="auto" w:fill="auto"/>
                    <w:widowControl w:val="off"/>
                    <w:rPr>
                      <w:b/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- </w:t>
                  </w:r>
                  <w:r>
                    <w:rPr>
                      <w:b/>
                      <w:bCs/>
                      <w:highlight w:val="none"/>
                    </w:rPr>
                    <w:t xml:space="preserve">информацию об уровне радиоэлектронной продукции</w:t>
                  </w:r>
                  <w:r>
                    <w:rPr>
                      <w:highlight w:val="none"/>
                    </w:rPr>
                    <w:t xml:space="preserve"> (для товара, являю</w:t>
                  </w:r>
                  <w:r>
                    <w:rPr>
                      <w:highlight w:val="none"/>
                    </w:rPr>
                    <w:t xml:space="preserve">щегося в соответствии с постановлением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highlight w:val="none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"https://garant.orb.ru/" \l "/document/411197447/entry/2195"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highlight w:val="none"/>
                      <w:shd w:val="clear" w:color="auto" w:fill="ffffff"/>
                    </w:rPr>
                    <w:t xml:space="preserve">позициях 195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highlight w:val="none"/>
                      <w:shd w:val="clear" w:color="auto" w:fill="ffffff"/>
                    </w:rPr>
                    <w:t xml:space="preserve">,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"https://garant.orb.ru/" \l "/document/411197447/entry/2197"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highlight w:val="none"/>
                      <w:shd w:val="clear" w:color="auto" w:fill="ffffff"/>
                    </w:rPr>
                    <w:t xml:space="preserve">197 - 199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highlight w:val="none"/>
                      <w:shd w:val="clear" w:color="auto" w:fill="ffffff"/>
                    </w:rPr>
                    <w:t xml:space="preserve"> и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"https://garant.orb.ru/" \l "/document/411197447/entry/2203"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highlight w:val="none"/>
                      <w:shd w:val="clear" w:color="auto" w:fill="ffffff"/>
                    </w:rPr>
                    <w:t xml:space="preserve">203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highlight w:val="none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  <w:highlight w:val="none"/>
                    </w:rPr>
                    <w:t xml:space="preserve">ПП РФ № 1875</w:t>
                  </w:r>
                  <w:r>
                    <w:rPr>
                      <w:highlight w:val="none"/>
                    </w:rP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 </w:t>
                  </w:r>
                  <w:r>
                    <w:rPr>
                      <w:b/>
                      <w:highlight w:val="none"/>
                    </w:rPr>
                  </w:r>
                  <w:r>
                    <w:rPr>
                      <w:b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hd w:val="clear" w:color="auto" w:fill="auto"/>
                    <w:widowControl w:val="off"/>
                    <w:rPr>
                      <w:b/>
                      <w:highlight w:val="none"/>
                    </w:rPr>
                  </w:pPr>
                  <w:r>
                    <w:rPr>
                      <w:b/>
                      <w:highlight w:val="none"/>
                    </w:rPr>
                  </w:r>
                  <w:r>
                    <w:rPr>
                      <w:b/>
                      <w:highlight w:val="none"/>
                    </w:rPr>
                  </w:r>
                  <w:r>
                    <w:rPr>
                      <w:b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hd w:val="clear" w:color="auto" w:fill="auto"/>
                    <w:widowControl w:val="off"/>
                    <w:rPr>
                      <w:b/>
                      <w:highlight w:val="none"/>
                    </w:rPr>
                  </w:pPr>
                  <w:r>
                    <w:rPr>
                      <w:b/>
                      <w:highlight w:val="none"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rPr>
                      <w:b/>
                      <w:highlight w:val="none"/>
                    </w:rPr>
                  </w:r>
                  <w:r>
                    <w:rPr>
                      <w:b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hd w:val="clear" w:color="auto" w:fill="auto"/>
                    <w:widowControl w:val="off"/>
                    <w:rPr>
                      <w:b/>
                      <w:bCs/>
                      <w:highlight w:val="none"/>
                    </w:rPr>
                  </w:pPr>
                  <w:r>
                    <w:rPr>
                      <w:b/>
                      <w:highlight w:val="none"/>
                    </w:rPr>
                    <w:t xml:space="preserve">Н</w:t>
                  </w:r>
                  <w:r>
                    <w:rPr>
                      <w:b/>
                      <w:bCs/>
                      <w:highlight w:val="none"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rPr>
                      <w:highlight w:val="none"/>
                    </w:rP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  <w:highlight w:val="none"/>
                    </w:rPr>
                  </w:r>
                  <w:r>
                    <w:rPr>
                      <w:b/>
                      <w:bCs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shd w:val="clear" w:color="auto" w:fill="auto"/>
                    <w:widowControl w:val="off"/>
                    <w:rPr>
                      <w:b/>
                      <w:bCs/>
                      <w:highlight w:val="none"/>
                    </w:rPr>
                  </w:pPr>
                  <w:r>
                    <w:rPr>
                      <w:b/>
                      <w:bCs/>
                      <w:highlight w:val="none"/>
                    </w:rPr>
                    <w:t xml:space="preserve">-информацию о совокупном количестве баллов</w:t>
                  </w:r>
                  <w:r>
                    <w:rPr>
                      <w:highlight w:val="none"/>
                    </w:rP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  <w:highlight w:val="none"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  <w:highlight w:val="none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  <w:highlight w:val="none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  <w:highlight w:val="none"/>
                    </w:rPr>
                    <w:t xml:space="preserve">)</w:t>
                  </w:r>
                  <w:r>
                    <w:rPr>
                      <w:b/>
                      <w:bCs/>
                      <w:highlight w:val="none"/>
                    </w:rPr>
                  </w:r>
                  <w:r>
                    <w:rPr>
                      <w:b/>
                      <w:bCs/>
                      <w:highlight w:val="none"/>
                    </w:rPr>
                  </w:r>
                </w:p>
                <w:p>
                  <w:pPr>
                    <w:pStyle w:val="843"/>
                    <w:ind w:left="-7" w:right="0" w:firstLine="574"/>
                    <w:jc w:val="both"/>
                    <w:shd w:val="clear" w:color="auto" w:fill="auto"/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</w:pPr>
                  <w:r>
                    <w:rPr>
                      <w:b/>
                      <w:bCs/>
                      <w:highlight w:val="none"/>
                    </w:rPr>
                    <w:t xml:space="preserve">- информацию об уровне радиоэлектронной продукции</w:t>
                  </w:r>
                  <w:r>
                    <w:rPr>
                      <w:highlight w:val="none"/>
                    </w:rPr>
      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highlight w:val="none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"https://garant.orb.ru/" \l "/document/411197447/entry/2195"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highlight w:val="none"/>
                      <w:shd w:val="clear" w:color="auto" w:fill="ffffff"/>
                    </w:rPr>
                    <w:t xml:space="preserve">позициях 195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highlight w:val="none"/>
                      <w:shd w:val="clear" w:color="auto" w:fill="ffffff"/>
                    </w:rPr>
                    <w:t xml:space="preserve">,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"https://garant.orb.ru/" \l "/document/411197447/entry/2197"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highlight w:val="none"/>
                      <w:shd w:val="clear" w:color="auto" w:fill="ffffff"/>
                    </w:rPr>
                    <w:t xml:space="preserve">197 - 199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highlight w:val="none"/>
                      <w:shd w:val="clear" w:color="auto" w:fill="ffffff"/>
                    </w:rPr>
                    <w:t xml:space="preserve"> и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"https://garant.orb.ru/" \l "/document/411197447/entry/2203"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highlight w:val="none"/>
                      <w:shd w:val="clear" w:color="auto" w:fill="ffffff"/>
                    </w:rPr>
                    <w:t xml:space="preserve">203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highlight w:val="none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  <w:highlight w:val="none"/>
                    </w:rPr>
                    <w:t xml:space="preserve">ПП РФ № 1875</w:t>
                  </w:r>
                  <w:r>
                    <w:rPr>
                      <w:highlight w:val="none"/>
                    </w:rP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 </w:t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702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По 31 августа 2025 г. включительно, при осуществлении закупок товаров, указанных в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"https://garant.orb.ru/" \l "/document/411197447/entry/2362"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color w:val="3272c0"/>
                      <w:highlight w:val="none"/>
                      <w:shd w:val="clear" w:color="auto" w:fill="ffffff"/>
                    </w:rPr>
                    <w:t xml:space="preserve">позициях 362 - 399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 приложения № 2 к ПП РФ 1875, документом, подтверждающим происхождение таких товаров из государств - членов Евразийского экономического союза, в том числе из Российской Федерации, наряду с вышеуказанной информацией, также является </w:t>
                  </w: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  <w:t xml:space="preserve">сертификат  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"https://garant.orb.ru/" \l "/document/2568717/entry/1200"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color w:val="3272c0"/>
                      <w:highlight w:val="none"/>
                      <w:shd w:val="clear" w:color="auto" w:fill="ffffff"/>
                    </w:rPr>
                    <w:t xml:space="preserve">форме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(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"/document/99/1310667825/ZAP2MRM3P3/"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подп. «в» п. 10 ПП РФ № 1875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).</w:t>
                  </w: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</w:p>
                <w:p>
                  <w:pPr>
                    <w:ind w:left="0" w:right="0" w:firstLine="702"/>
                    <w:jc w:val="both"/>
                    <w:shd w:val="clear" w:color="auto" w:fill="auto"/>
                    <w:rPr>
                      <w:b/>
                      <w:bCs/>
                      <w:i/>
                      <w:highlight w:val="none"/>
                    </w:rPr>
                  </w:pPr>
                  <w:r>
                    <w:rPr>
                      <w:b/>
                      <w:bCs/>
                      <w:i/>
                      <w:iCs/>
                      <w:highlight w:val="none"/>
                    </w:rPr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П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ри осуществлении закупок товаров из числа марли медицинской отбеленной хлопчатобумажной, включенной в код 13.20.44.120 по Общероссийскому классификатору продукции по видам экономической деятельности ОК 034-2014 (КПЕС 2008), мебели медицинской, включая хиру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р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гическую, стоматологическую или ветеринарную, и ее частей, включенных в коды 32.50.30.110, 32.50.30.119, 32.50.50 по Общероссийскому классификатору продукции по видам экономической деятельности ОК 034-2014 (КПЕС 2008) (за исключением кровати больничной мех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нической, соответствующей коду 120210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 (далее - номенклатурная классификация), кровати больничной с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т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андартной с электроприводом, соответствующей коду 136210 вида медицинского изделия в соответствии с номенклатурной классификацией, стеллажа для палаты пациента, соответствующего коду 156900 вида медицинского изделия в соответствии с номенклатурной классифи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к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ацией, шкафа вытяжного, соответствующего коду 181470 вида медицинского изделия в соответствии с номенклатурной классификацией, ширмы прикроватной, соответствующей коду 184200 вида медицинского изделия в соответствии с номенклатурной классификацией, стеллаж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 общего назначения, соответствующего коду 260470 вида медицинского изделия в соответствии с номенклатурной классификацией, шкафа для сушки и хранения эндоскопов, соответствующего коду 271740 вида медицинского изделия в соответствии с номенклатурной классиф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и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кацией) по 31 августа 2025 г.  включительно, документом, подтверждающим происхождение таких товаров из государств - членов Евразийского экономического союза, в том числе из Российской Федерации, также является сертификат о происхождении товара, выданный уп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о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лномоченным органом (организацией) государства - члена Евразийского экономического союза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ров в Содружестве Независимых Государств от 20 ноября 2009 г.</w:t>
                  </w:r>
                  <w:r>
                    <w:rPr>
                      <w:b/>
                      <w:bCs/>
                      <w:i/>
                      <w:highlight w:val="none"/>
                    </w:rPr>
                  </w:r>
                  <w:r>
                    <w:rPr>
                      <w:b/>
                      <w:bCs/>
                      <w:i/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-151" w:firstLine="0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МЕДИЦИНСКИЕ ИЗДЕЛИЯ,                            указанные в позициях 400–432 приложения № 2 ПП РФ № 1875 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-151" w:firstLine="0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  <w:spacing w:before="0" w:after="0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По </w:t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31 августа 2025 г. включительно, информацией и документами, подтверждающими происхождение таких товаров из государств - членов Евразийского экономического союза, в том числе из Российской Федерации, являются следующие информация и документы в совокупности: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67"/>
                    <w:jc w:val="both"/>
                    <w:spacing w:before="280" w:after="280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- с</w:t>
                  </w:r>
                  <w:r>
                    <w:rPr>
                      <w:b/>
                      <w:highlight w:val="none"/>
                    </w:rPr>
                    <w:t xml:space="preserve">ертификат о происхождении товара</w:t>
                  </w:r>
                  <w:r>
                    <w:rPr>
                      <w:highlight w:val="none"/>
                    </w:rPr>
                    <w:t xml:space="preserve">, выданный уполномоченным органом (организацией) государства - </w:t>
                  </w:r>
                  <w:r>
                    <w:rPr>
                      <w:highlight w:val="none"/>
                    </w:rPr>
                    <w:t xml:space="preserve">члена Евразийского экономического союза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товаров;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60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- акт экспертизы Торгово-промышлен</w:t>
                  </w:r>
                  <w:r>
                    <w:rPr>
                      <w:highlight w:val="none"/>
                    </w:rPr>
                    <w:t xml:space="preserve">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рассчитанной в соответствии с подпунктом "в" пункта 2.4 Правил определен</w:t>
                  </w:r>
                  <w:r>
                    <w:rPr>
                      <w:highlight w:val="none"/>
                    </w:rPr>
                    <w:t xml:space="preserve">ия страны происхождения товаров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согласно приложению № 4 ПП РФ №1875;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shd w:val="clear" w:color="auto" w:fill="auto"/>
                    <w:widowControl w:val="off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- реквизиты (дата и номер) документа, подтверждающего соответствие производства медицинских изделий требованиям ГОСТ ISO 13485-2017 «Межгосударственный стандарт. Изделия медицинские. Системы менеджмента качества. Требования для целей регулирования»</w:t>
                  </w:r>
                  <w:r>
                    <w:rPr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ЛЕКАРСТВЕННЫЕ ПРЕПАРАТЫ, указанные в позиции 433 приложения № 2 ПП РФ № 1875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подп. 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"/document/99/1310667825/ZAP2IKG3N7/"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а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 и «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"/document/99/1310667825/ZAP2INK3N8/"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б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» п. 3 ПП РФ № 1875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702"/>
                    <w:jc w:val="both"/>
                    <w:spacing w:before="300" w:after="0"/>
                    <w:shd w:val="clear" w:color="auto" w:fill="auto"/>
                    <w:widowControl w:val="off"/>
                    <w:tabs>
                      <w:tab w:val="left" w:pos="750" w:leader="none"/>
                    </w:tabs>
                    <w:rPr>
                      <w:b/>
                      <w:i/>
                      <w:highlight w:val="none"/>
                    </w:rPr>
                  </w:pPr>
                  <w:r>
                    <w:rPr>
                      <w:b/>
                      <w:bCs/>
                      <w:i/>
                      <w:highlight w:val="none"/>
                    </w:rPr>
                    <w:t xml:space="preserve">Для товаров из Российской Федерации</w:t>
                  </w:r>
                  <w:r>
                    <w:rPr>
                      <w:b/>
                      <w:bCs/>
                      <w:highlight w:val="none"/>
                    </w:rPr>
                    <w:t xml:space="preserve">:               - номер реестровой записи из реестра российской промышленной продукции</w:t>
                  </w:r>
                  <w:r>
                    <w:rPr>
                      <w:highlight w:val="none"/>
                    </w:rPr>
                    <w:t xml:space="preserve">, предусмотренного статьей 17.1 Федерального закона «О промышленной политике в Российской Федерации»;</w:t>
                  </w:r>
                  <w:r>
                    <w:rPr>
                      <w:b/>
                      <w:i/>
                      <w:highlight w:val="none"/>
                    </w:rPr>
                  </w:r>
                  <w:r>
                    <w:rPr>
                      <w:b/>
                      <w:i/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shd w:val="clear" w:color="auto" w:fill="auto"/>
                    <w:widowControl w:val="off"/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</w:pPr>
                  <w:r>
                    <w:rPr>
                      <w:b/>
                      <w:i/>
                      <w:highlight w:val="none"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rPr>
                      <w:highlight w:val="none"/>
                    </w:rPr>
                    <w:t xml:space="preserve">                            - </w:t>
                  </w:r>
                  <w:r>
                    <w:rPr>
                      <w:b/>
                      <w:highlight w:val="none"/>
                    </w:rPr>
                    <w:t xml:space="preserve">н</w:t>
                  </w:r>
                  <w:r>
                    <w:rPr>
                      <w:b/>
                      <w:bCs/>
                      <w:highlight w:val="none"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rPr>
                      <w:highlight w:val="none"/>
                    </w:rPr>
                    <w:t xml:space="preserve">, порядок формирования и ведения которого устанавливается правом Евразийского экономического союза.</w:t>
                  </w: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560"/>
                    <w:jc w:val="both"/>
                    <w:shd w:val="clear" w:color="auto" w:fill="auto"/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</w:pP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560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  <w:t xml:space="preserve">По 31 августа 2025 г.  включительно,</w:t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  <w:t xml:space="preserve">документом, подтверждающим происхождение таких товаров из государств - членов Евразийского экономического союза, в том числе из Российской Федерации, также является сертификат </w:t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"https://garant.orb.ru/" \l "/document/2568717/entry/1200"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color w:val="3272c0"/>
                      <w:highlight w:val="none"/>
                      <w:shd w:val="clear" w:color="auto" w:fill="ffffff"/>
                    </w:rPr>
                    <w:t xml:space="preserve">форме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67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67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b/>
                      <w:highlight w:val="none"/>
                    </w:rPr>
                    <w:t xml:space="preserve">До внесения изменений в право Евразийского экономического союза,</w:t>
                  </w:r>
                  <w:r>
                    <w:rPr>
                      <w:highlight w:val="none"/>
                    </w:rPr>
                    <w:t xml:space="preserve"> предусматривающих подтверждение страны происхождения лекарственных препаратов путем предоставления информации из евразийского реестра промышленных товаров,                              </w:t>
                  </w:r>
                  <w:r>
                    <w:rPr>
                      <w:b/>
                      <w:highlight w:val="none"/>
                    </w:rPr>
                    <w:t xml:space="preserve">документом, подтверждающим происхожден</w:t>
                  </w:r>
                  <w:r>
                    <w:rPr>
                      <w:b/>
                      <w:highlight w:val="none"/>
                    </w:rPr>
                    <w:t xml:space="preserve">ие таких товаров из государств - членов Евразийского экономического союза,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 союза</w:t>
                  </w:r>
                  <w:r>
                    <w:rPr>
                      <w:highlight w:val="none"/>
                    </w:rPr>
                    <w:t xml:space="preserve">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товаров.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08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702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При предложении в заявке на участие в закупке лекарственных препаратов, все стадии производства которого выполнены на территории ЕАЭС, дл</w:t>
                  </w: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  <w:t xml:space="preserve">я получения преимущества, предусмотренного </w:t>
                  </w:r>
                  <w:r>
                    <w:rPr>
                      <w:b/>
                      <w:highlight w:val="none"/>
                    </w:rPr>
                    <w:t xml:space="preserve">подпунктом «у» пункта 4 ПП РФ 1875</w:t>
                  </w:r>
                  <w:r>
                    <w:rPr>
                      <w:highlight w:val="none"/>
                    </w:rPr>
                    <w:t xml:space="preserve">,</w:t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 в дополнение к вышеуказанным информации и документам, в составе заявке на участие в закупке  представляется также </w:t>
                  </w: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  <w:t xml:space="preserve">документ, содержащий сведения о стадиях технологического процесса производства лекарственного средства для медицинского применения, ос</w:t>
                  </w:r>
                  <w:r>
                    <w:rPr>
                      <w:rFonts w:ascii="PT Serif" w:hAnsi="PT Serif" w:cs="PT Serif"/>
                      <w:b/>
                      <w:color w:val="22272f"/>
                      <w:highlight w:val="none"/>
                      <w:shd w:val="clear" w:color="auto" w:fill="ffffff"/>
                    </w:rPr>
                    <w:t xml:space="preserve">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 в установленном им порядке (</w:t>
                  </w:r>
                  <w:r>
                    <w:rPr>
                      <w:rFonts w:ascii="PT Serif" w:hAnsi="PT Serif" w:cs="PT Serif"/>
                      <w:color w:val="22272f"/>
                      <w:highlight w:val="none"/>
                      <w:shd w:val="clear" w:color="auto" w:fill="ffffff"/>
                    </w:rPr>
                    <w:t xml:space="preserve">в целях подтверждения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союза).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ind w:left="0" w:right="0" w:firstLine="508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По 31 декабря 2025 г. включительно, вышеуказанные преимущества положения подпункта «у» пункта 4 ПП РФ 1875 применяются также в отношении лекарс</w:t>
                  </w:r>
                  <w:r>
                    <w:rPr>
                      <w:highlight w:val="none"/>
                    </w:rPr>
                    <w:t xml:space="preserve">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№ 1141-р</w:t>
                  </w:r>
                  <w:r>
                    <w:rPr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Товары из стран ЕАЭС, не указанные в позициях 1–433 приложения  № 2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"/document/99/1310667825/ZAP2DAI3LJ/"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подп. «з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"/document/99/1310667825/ZAP2DAI3LJ/"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»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 п. 3 ПП РФ № 1875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Наименование страны происхождения товара </w:t>
                  </w:r>
                  <w:r>
                    <w:rPr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Иностранный товар</w:t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843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"/document/99/1310667825/ZAP2DAI3LJ/"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подп. «з»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 п. 3 ПП РФ № 1875</w:t>
                  </w:r>
                  <w:r>
                    <w:rPr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Наименование страны происхождения товара, кроме случаев, перечисленных в </w:t>
                  </w:r>
                  <w:r>
                    <w:rPr>
                      <w:highlight w:val="none"/>
                    </w:rPr>
                    <w:fldChar w:fldCharType="begin"/>
                  </w:r>
                  <w:r>
                    <w:rPr>
                      <w:highlight w:val="none"/>
                    </w:rPr>
                    <w:instrText xml:space="preserve"> HYPERLINK "https://1gzakaz.ru/" \l "/document/99/1310667825/ZAP20BQ3DS/" \n _self</w:instrText>
                  </w:r>
                  <w:r>
                    <w:rPr>
                      <w:highlight w:val="none"/>
                    </w:rPr>
                    <w:fldChar w:fldCharType="separate"/>
                  </w:r>
                  <w:r>
                    <w:rPr>
                      <w:rStyle w:val="880"/>
                      <w:color w:val="0000ff"/>
                      <w:highlight w:val="none"/>
                      <w:u w:val="single"/>
                    </w:rPr>
                    <w:t xml:space="preserve">пункте 3</w:t>
                  </w:r>
                  <w:r>
                    <w:rPr>
                      <w:highlight w:val="none"/>
                    </w:rPr>
                    <w:fldChar w:fldCharType="end"/>
                  </w:r>
                  <w:r>
                    <w:rPr>
                      <w:highlight w:val="none"/>
                    </w:rPr>
                    <w:t xml:space="preserve">  № 1875, при которых предусмотрены иные информация и документы, подтверждающие происхождение товара из ЕАЭС</w:t>
                  </w:r>
                  <w:r>
                    <w:rPr>
                      <w:highlight w:val="none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662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  <w:shd w:val="clear" w:color="auto" w:fill="auto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В отношении товаров, указанных в позициях 1 - 21, 30, 32, 45- 47, 49 - 52, 55 - 60, 62,</w:t>
                  </w:r>
                  <w:r>
                    <w:rPr>
                      <w:highlight w:val="none"/>
                    </w:rPr>
                    <w:t xml:space="preserve"> 69 - 86,88, 92 - 128, 137, 138, 140 - 145 приложения N 1 ПП РФ № 1875, применяются положения настоящей документации, касающиеся ограничения закупок товаров, происходящих из иностранных государств и указанных в позициях 1 - 433 приложения N 2 ПП РФ № 1875.</w:t>
                  </w:r>
                  <w:r>
                    <w:rPr>
                      <w:highlight w:val="none"/>
                    </w:rPr>
                  </w:r>
                </w:p>
              </w:tc>
            </w:tr>
          </w:tbl>
          <w:p>
            <w:pPr>
              <w:pStyle w:val="843"/>
              <w:numPr>
                <w:ilvl w:val="0"/>
                <w:numId w:val="0"/>
              </w:numPr>
              <w:ind w:left="0" w:right="0" w:firstLine="567"/>
              <w:jc w:val="both"/>
              <w:shd w:val="clear" w:color="auto" w:fill="auto"/>
              <w:rPr>
                <w:highlight w:val="none"/>
              </w:rPr>
              <w:outlineLvl w:val="2"/>
            </w:pPr>
            <w:r>
              <w:rPr>
                <w:b/>
                <w:i/>
                <w:highlight w:val="none"/>
              </w:rPr>
              <w:t xml:space="preserve">в) </w:t>
            </w:r>
            <w:r>
              <w:rPr>
                <w:b/>
                <w:bCs/>
                <w:color w:val="000000"/>
                <w:highlight w:val="none"/>
              </w:rPr>
              <w:t xml:space="preserve">в случае если в объект закупки включены товары, по которым </w:t>
            </w:r>
            <w:r>
              <w:rPr>
                <w:b/>
                <w:highlight w:val="none"/>
              </w:rPr>
              <w:t xml:space="preserve">в извещении о закупке и (или)</w:t>
            </w:r>
            <w:r>
              <w:rPr>
                <w:highlight w:val="none"/>
              </w:rPr>
              <w:t xml:space="preserve"> </w:t>
            </w:r>
            <w:r>
              <w:rPr>
                <w:b/>
                <w:bCs/>
                <w:color w:val="000000"/>
                <w:highlight w:val="none"/>
              </w:rPr>
              <w:t xml:space="preserve">в разделе </w:t>
            </w:r>
            <w:r>
              <w:rPr>
                <w:b/>
                <w:bCs/>
                <w:color w:val="000000"/>
                <w:highlight w:val="none"/>
                <w:lang w:val="en-US"/>
              </w:rPr>
              <w:t xml:space="preserve">V</w:t>
            </w:r>
            <w:r>
              <w:rPr>
                <w:b/>
                <w:bCs/>
                <w:color w:val="000000"/>
                <w:highlight w:val="none"/>
              </w:rPr>
              <w:t xml:space="preserve"> настоящей документации установлено преимущество</w:t>
            </w:r>
            <w:r>
              <w:rPr>
                <w:b/>
                <w:bCs/>
                <w:color w:val="ff0000"/>
                <w:highlight w:val="none"/>
              </w:rPr>
              <w:t xml:space="preserve"> </w:t>
            </w:r>
            <w:r>
              <w:rPr>
                <w:b/>
                <w:bCs/>
                <w:i/>
                <w:highlight w:val="none"/>
              </w:rPr>
              <w:t xml:space="preserve">товарам российского происхождения участник закупки в целях получения такого преимущества в отношении всех товаров, включенных в объект закупки  представляет в составе заявки следующие информацию и (или) документы:</w:t>
            </w:r>
            <w:r>
              <w:rPr>
                <w:highlight w:val="none"/>
              </w:rPr>
            </w:r>
          </w:p>
          <w:p>
            <w:pPr>
              <w:pStyle w:val="946"/>
              <w:ind w:left="0" w:right="0" w:firstLine="540"/>
              <w:jc w:val="both"/>
              <w:spacing w:before="240" w:after="0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- для подтверждения происхождения в стране ЕАЭС товаров, не указанных в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 \l "Par186"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color w:val="0000ff"/>
                <w:highlight w:val="none"/>
              </w:rPr>
              <w:t xml:space="preserve">позициях 1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-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 \l "Par633"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color w:val="0000ff"/>
                <w:highlight w:val="none"/>
              </w:rPr>
              <w:t xml:space="preserve">146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приложения № 1,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 \l "Par673"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color w:val="0000ff"/>
                <w:highlight w:val="none"/>
              </w:rPr>
              <w:t xml:space="preserve">позициях 1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-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 \l "Par2205"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color w:val="0000ff"/>
                <w:highlight w:val="none"/>
              </w:rPr>
              <w:t xml:space="preserve">433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приложения № 2 ПП РФ №1875,              </w:t>
            </w:r>
            <w:r>
              <w:rPr>
                <w:highlight w:val="none"/>
              </w:rPr>
              <w:t xml:space="preserve">     а также для подтверждения происхождения товара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союза) - </w:t>
            </w:r>
            <w:r>
              <w:rPr>
                <w:b/>
                <w:highlight w:val="none"/>
              </w:rPr>
              <w:t xml:space="preserve">наименование страны происхождения товара </w:t>
            </w:r>
            <w:r>
              <w:rPr>
                <w:highlight w:val="none"/>
              </w:rPr>
            </w:r>
          </w:p>
          <w:p>
            <w:pPr>
              <w:pStyle w:val="946"/>
              <w:ind w:left="0" w:right="0" w:firstLine="540"/>
              <w:jc w:val="both"/>
              <w:spacing w:before="240" w:after="0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- для подтверждения происхождения в стране ЕАЭС товаров, указанных в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 \l "Par186"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color w:val="0000ff"/>
                <w:highlight w:val="none"/>
              </w:rPr>
              <w:t xml:space="preserve">позициях 1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-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 \l "Par633"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color w:val="0000ff"/>
                <w:highlight w:val="none"/>
              </w:rPr>
              <w:t xml:space="preserve">146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приложения № 1,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 \l "Par673"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color w:val="0000ff"/>
                <w:highlight w:val="none"/>
              </w:rPr>
              <w:t xml:space="preserve">позициях 1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-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 \l "Par2205"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80"/>
                <w:color w:val="0000ff"/>
                <w:highlight w:val="none"/>
              </w:rPr>
              <w:t xml:space="preserve">433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приложения № 2 ПП РФ № 1875                           </w:t>
            </w:r>
            <w:r>
              <w:rPr>
                <w:b/>
                <w:highlight w:val="none"/>
              </w:rPr>
              <w:t xml:space="preserve">- документы, предусмотренные в пп. а) и б) настоящего пункта;</w:t>
            </w:r>
            <w:r>
              <w:rPr>
                <w:highlight w:val="none"/>
              </w:rPr>
            </w:r>
          </w:p>
          <w:p>
            <w:pPr>
              <w:pStyle w:val="946"/>
              <w:ind w:left="0" w:right="0" w:firstLine="540"/>
              <w:jc w:val="both"/>
              <w:spacing w:before="240" w:after="0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- для подтверждения происхождения вышеуказанных товаров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ЕАЭС)                         - </w:t>
            </w:r>
            <w:r>
              <w:rPr>
                <w:b/>
                <w:highlight w:val="none"/>
              </w:rPr>
              <w:t xml:space="preserve">наименование страны происхождения товара </w:t>
            </w:r>
            <w:r>
              <w:rPr>
                <w:highlight w:val="none"/>
              </w:rPr>
            </w:r>
          </w:p>
          <w:p>
            <w:pPr>
              <w:pStyle w:val="843"/>
              <w:ind w:left="0" w:right="0" w:firstLine="540"/>
              <w:jc w:val="both"/>
              <w:spacing w:before="220" w:after="0"/>
              <w:shd w:val="clear" w:color="auto" w:fill="auto"/>
              <w:tabs>
                <w:tab w:val="left" w:pos="567" w:leader="none"/>
                <w:tab w:val="left" w:pos="439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ab/>
              <w:t xml:space="preserve">В случае отсутствия в заявке на участие в закупке информации и документов, предусмотренных в нас</w:t>
            </w:r>
            <w:r>
              <w:rPr>
                <w:highlight w:val="none"/>
              </w:rPr>
              <w:t xml:space="preserve">тоящем пункте,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3"/>
              <w:jc w:val="both"/>
              <w:shd w:val="clear" w:color="auto" w:fill="auto"/>
              <w:rPr>
                <w:highlight w:val="none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b/>
                <w:bCs/>
                <w:highlight w:val="none"/>
              </w:rPr>
              <w:t xml:space="preserve">23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Дополнительные сведения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Не установлены.</w:t>
            </w:r>
            <w:r>
              <w:rPr>
                <w:highlight w:val="none"/>
              </w:rPr>
            </w:r>
          </w:p>
          <w:p>
            <w:pPr>
              <w:pStyle w:val="843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43"/>
        <w:jc w:val="center"/>
        <w:shd w:val="clear" w:color="auto" w:fill="auto"/>
        <w:rPr>
          <w:rFonts w:eastAsia="Calibri"/>
          <w:highlight w:val="none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</w:rPr>
      </w:r>
    </w:p>
    <w:p>
      <w:pPr>
        <w:pStyle w:val="843"/>
        <w:jc w:val="center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jc w:val="center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jc w:val="center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  <w:t xml:space="preserve">РАЗДЕЛ </w:t>
      </w:r>
      <w:r>
        <w:rPr>
          <w:rFonts w:eastAsia="Calibri"/>
          <w:b/>
          <w:highlight w:val="none"/>
          <w:lang w:val="en-US" w:eastAsia="en-US"/>
        </w:rPr>
        <w:t xml:space="preserve">II</w:t>
      </w:r>
      <w:r>
        <w:rPr>
          <w:rFonts w:eastAsia="Calibri"/>
          <w:b/>
          <w:highlight w:val="none"/>
          <w:lang w:eastAsia="en-US"/>
        </w:rPr>
        <w:t xml:space="preserve">. </w:t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jc w:val="both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0" w:right="0" w:firstLine="708"/>
        <w:jc w:val="both"/>
        <w:shd w:val="clear" w:color="auto" w:fill="auto"/>
        <w:rPr>
          <w:rFonts w:eastAsia="Calibri"/>
          <w:highlight w:val="none"/>
        </w:rPr>
      </w:pPr>
      <w:r>
        <w:rPr>
          <w:rFonts w:eastAsia="Times New Roman"/>
          <w:b/>
          <w:highlight w:val="none"/>
          <w:lang w:eastAsia="en-US"/>
        </w:rPr>
        <w:t xml:space="preserve">                                      </w:t>
      </w:r>
      <w:r>
        <w:rPr>
          <w:rFonts w:eastAsia="Calibri"/>
          <w:b/>
          <w:highlight w:val="none"/>
          <w:lang w:eastAsia="en-US"/>
        </w:rPr>
        <w:t xml:space="preserve">ТЕХНИЧЕСКОЕ ЗАДАНИЕ  </w:t>
      </w:r>
      <w:r>
        <w:rPr>
          <w:rFonts w:eastAsia="Calibri"/>
          <w:highlight w:val="none"/>
          <w:lang w:eastAsia="en-US"/>
        </w:rPr>
        <w:t xml:space="preserve">прилагается.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</w:rPr>
      </w:r>
    </w:p>
    <w:p>
      <w:pPr>
        <w:pStyle w:val="843"/>
        <w:ind w:left="0" w:right="0" w:firstLine="708"/>
        <w:jc w:val="both"/>
        <w:shd w:val="clear" w:color="auto" w:fill="auto"/>
        <w:rPr>
          <w:rFonts w:eastAsia="Calibri"/>
          <w:highlight w:val="none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</w:rPr>
      </w:r>
    </w:p>
    <w:p>
      <w:pPr>
        <w:pStyle w:val="843"/>
        <w:ind w:left="0" w:right="0" w:firstLine="708"/>
        <w:jc w:val="both"/>
        <w:shd w:val="clear" w:color="auto" w:fill="auto"/>
        <w:rPr>
          <w:rFonts w:eastAsia="Calibri"/>
          <w:highlight w:val="none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</w:rPr>
      </w:r>
    </w:p>
    <w:p>
      <w:pPr>
        <w:pStyle w:val="843"/>
        <w:ind w:left="0" w:right="0" w:firstLine="708"/>
        <w:jc w:val="both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spacing w:before="0" w:after="200" w:line="276" w:lineRule="auto"/>
        <w:shd w:val="clear" w:color="auto" w:fill="auto"/>
        <w:tabs>
          <w:tab w:val="left" w:pos="4347" w:leader="none"/>
        </w:tabs>
        <w:rPr>
          <w:rFonts w:eastAsia="Calibri"/>
          <w:b/>
          <w:highlight w:val="none"/>
        </w:rPr>
      </w:pPr>
      <w:r>
        <w:rPr>
          <w:rFonts w:ascii="Calibri" w:hAnsi="Calibri" w:eastAsia="Calibri" w:cs="Calibri"/>
          <w:sz w:val="22"/>
          <w:szCs w:val="22"/>
          <w:highlight w:val="none"/>
          <w:lang w:eastAsia="en-US"/>
        </w:rPr>
        <w:tab/>
      </w:r>
      <w:r>
        <w:rPr>
          <w:rFonts w:eastAsia="Calibri"/>
          <w:b/>
          <w:highlight w:val="none"/>
          <w:lang w:eastAsia="en-US"/>
        </w:rPr>
        <w:t xml:space="preserve">РАЗДЕЛ </w:t>
      </w:r>
      <w:r>
        <w:rPr>
          <w:rFonts w:eastAsia="Calibri"/>
          <w:b/>
          <w:highlight w:val="none"/>
          <w:lang w:val="en-US" w:eastAsia="en-US"/>
        </w:rPr>
        <w:t xml:space="preserve">III</w:t>
      </w:r>
      <w:r>
        <w:rPr>
          <w:rFonts w:eastAsia="Calibri"/>
          <w:b/>
          <w:highlight w:val="none"/>
          <w:lang w:eastAsia="en-US"/>
        </w:rPr>
        <w:t xml:space="preserve">.</w:t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0" w:right="0" w:firstLine="708"/>
        <w:jc w:val="both"/>
        <w:shd w:val="clear" w:color="auto" w:fill="auto"/>
        <w:rPr>
          <w:rFonts w:eastAsia="Calibri"/>
          <w:highlight w:val="none"/>
        </w:rPr>
      </w:pPr>
      <w:r>
        <w:rPr>
          <w:rFonts w:eastAsia="Calibri"/>
          <w:b/>
          <w:highlight w:val="none"/>
          <w:lang w:eastAsia="en-US"/>
        </w:rPr>
        <w:t xml:space="preserve"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 </w:t>
      </w:r>
      <w:r>
        <w:rPr>
          <w:rFonts w:eastAsia="Calibri"/>
          <w:highlight w:val="none"/>
          <w:lang w:eastAsia="en-US"/>
        </w:rPr>
        <w:t xml:space="preserve">прилагается.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</w:rPr>
      </w:r>
    </w:p>
    <w:p>
      <w:pPr>
        <w:pStyle w:val="843"/>
        <w:shd w:val="clear" w:color="auto" w:fill="auto"/>
        <w:rPr>
          <w:rFonts w:eastAsia="Calibri"/>
          <w:highlight w:val="none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</w:rPr>
      </w:r>
    </w:p>
    <w:p>
      <w:pPr>
        <w:pStyle w:val="843"/>
        <w:jc w:val="center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jc w:val="center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  <w:t xml:space="preserve">РАЗДЕЛ </w:t>
      </w:r>
      <w:r>
        <w:rPr>
          <w:rFonts w:eastAsia="Calibri"/>
          <w:b/>
          <w:highlight w:val="none"/>
          <w:lang w:val="en-US" w:eastAsia="en-US"/>
        </w:rPr>
        <w:t xml:space="preserve">IV</w:t>
      </w:r>
      <w:r>
        <w:rPr>
          <w:rFonts w:eastAsia="Calibri"/>
          <w:b/>
          <w:highlight w:val="none"/>
          <w:lang w:eastAsia="en-US"/>
        </w:rPr>
        <w:t xml:space="preserve">. </w:t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jc w:val="center"/>
        <w:shd w:val="clear" w:color="auto" w:fill="auto"/>
        <w:rPr>
          <w:highlight w:val="none"/>
        </w:rPr>
      </w:pPr>
      <w:r>
        <w:rPr>
          <w:b/>
          <w:sz w:val="28"/>
          <w:szCs w:val="28"/>
          <w:highlight w:val="none"/>
        </w:rPr>
        <w:t xml:space="preserve">ПРОЕКТ ДОГОВОРА</w:t>
      </w:r>
      <w:r>
        <w:rPr>
          <w:highlight w:val="none"/>
        </w:rPr>
        <w:t xml:space="preserve"> прилагается</w:t>
      </w:r>
      <w:r>
        <w:rPr>
          <w:highlight w:val="none"/>
        </w:rPr>
      </w:r>
    </w:p>
    <w:p>
      <w:pPr>
        <w:pStyle w:val="843"/>
        <w:jc w:val="center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jc w:val="center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jc w:val="center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  <w:t xml:space="preserve">РАЗДЕЛ </w:t>
      </w:r>
      <w:r>
        <w:rPr>
          <w:rFonts w:eastAsia="Calibri"/>
          <w:b/>
          <w:highlight w:val="none"/>
          <w:lang w:val="en-US" w:eastAsia="en-US"/>
        </w:rPr>
        <w:t xml:space="preserve">V</w:t>
      </w:r>
      <w:r>
        <w:rPr>
          <w:rFonts w:eastAsia="Calibri"/>
          <w:b/>
          <w:highlight w:val="none"/>
          <w:lang w:eastAsia="en-US"/>
        </w:rPr>
        <w:t xml:space="preserve">. </w:t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jc w:val="center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jc w:val="center"/>
        <w:shd w:val="clear" w:color="auto" w:fill="auto"/>
        <w:rPr>
          <w:rFonts w:eastAsia="Calibri"/>
          <w:highlight w:val="none"/>
        </w:rPr>
      </w:pPr>
      <w:r>
        <w:rPr>
          <w:rFonts w:eastAsia="Calibri"/>
          <w:highlight w:val="none"/>
          <w:lang w:eastAsia="en-US"/>
        </w:rPr>
        <w:t xml:space="preserve">Сведения о </w:t>
      </w:r>
      <w:r>
        <w:rPr>
          <w:b/>
          <w:highlight w:val="none"/>
        </w:rPr>
        <w:t xml:space="preserve">запрете</w:t>
      </w:r>
      <w:r>
        <w:rPr>
          <w:highlight w:val="none"/>
        </w:rPr>
        <w:t xml:space="preserve">, </w:t>
      </w:r>
      <w:r>
        <w:rPr>
          <w:b/>
          <w:highlight w:val="none"/>
        </w:rPr>
        <w:t xml:space="preserve">ограничении</w:t>
      </w:r>
      <w:r>
        <w:rPr>
          <w:highlight w:val="none"/>
        </w:rPr>
        <w:t xml:space="preserve"> </w:t>
      </w:r>
      <w:r>
        <w:rPr>
          <w:rFonts w:eastAsia="Calibri"/>
          <w:highlight w:val="none"/>
        </w:rPr>
        <w:t xml:space="preserve">закупок товаров</w:t>
      </w:r>
      <w:r>
        <w:rPr>
          <w:highlight w:val="none"/>
        </w:rPr>
        <w:t xml:space="preserve">, </w:t>
      </w:r>
      <w:r>
        <w:rPr>
          <w:rFonts w:eastAsia="Calibri"/>
          <w:highlight w:val="none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</w:t>
      </w:r>
      <w:r>
        <w:rPr>
          <w:rFonts w:eastAsia="Calibri"/>
          <w:b/>
          <w:highlight w:val="none"/>
        </w:rPr>
        <w:t xml:space="preserve">преимуществе</w:t>
      </w:r>
      <w:r>
        <w:rPr>
          <w:rFonts w:eastAsia="Calibri"/>
          <w:highlight w:val="none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 </w:t>
      </w:r>
      <w:r>
        <w:rPr>
          <w:rFonts w:eastAsia="Calibri"/>
          <w:b/>
          <w:highlight w:val="none"/>
        </w:rPr>
        <w:t xml:space="preserve">ПРИЛАГАЕТСЯ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pStyle w:val="843"/>
        <w:jc w:val="center"/>
        <w:shd w:val="clear" w:color="auto" w:fill="auto"/>
        <w:rPr>
          <w:rFonts w:eastAsia="Calibri"/>
          <w:highlight w:val="none"/>
        </w:rPr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pStyle w:val="843"/>
        <w:shd w:val="clear" w:color="auto" w:fill="auto"/>
        <w:rPr>
          <w:highlight w:val="none"/>
        </w:rPr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 w:orient="portrait"/>
          <w:pgMar w:top="568" w:right="567" w:bottom="993" w:left="1418" w:header="709" w:footer="709" w:gutter="0"/>
          <w:cols w:num="1" w:sep="0" w:space="1701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shd w:val="clear" w:color="auto" w:fill="auto"/>
        <w:rPr>
          <w:rFonts w:eastAsia="Calibri"/>
          <w:sz w:val="16"/>
          <w:highlight w:val="none"/>
        </w:rPr>
      </w:pPr>
      <w:r>
        <w:rPr>
          <w:rFonts w:eastAsia="Calibri"/>
          <w:sz w:val="16"/>
          <w:highlight w:val="none"/>
        </w:rPr>
      </w:r>
      <w:r>
        <w:rPr>
          <w:rFonts w:eastAsia="Calibri"/>
          <w:sz w:val="16"/>
          <w:highlight w:val="none"/>
        </w:rPr>
      </w:r>
      <w:r>
        <w:rPr>
          <w:rFonts w:eastAsia="Calibri"/>
          <w:sz w:val="16"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b/>
          <w:sz w:val="20"/>
          <w:szCs w:val="20"/>
          <w:highlight w:val="none"/>
        </w:rPr>
      </w:pPr>
      <w:r>
        <w:rPr>
          <w:rFonts w:eastAsia="Calibri"/>
          <w:b/>
          <w:sz w:val="22"/>
          <w:szCs w:val="22"/>
          <w:highlight w:val="none"/>
          <w:lang w:eastAsia="en-US"/>
        </w:rPr>
        <w:t xml:space="preserve">Приложение №1</w:t>
      </w:r>
      <w:r>
        <w:rPr>
          <w:b/>
          <w:sz w:val="20"/>
          <w:szCs w:val="20"/>
          <w:highlight w:val="none"/>
        </w:rPr>
      </w:r>
      <w:r>
        <w:rPr>
          <w:b/>
          <w:sz w:val="20"/>
          <w:szCs w:val="20"/>
          <w:highlight w:val="none"/>
        </w:rPr>
      </w:r>
    </w:p>
    <w:p>
      <w:pPr>
        <w:pStyle w:val="843"/>
        <w:numPr>
          <w:ilvl w:val="0"/>
          <w:numId w:val="0"/>
        </w:numPr>
        <w:jc w:val="right"/>
        <w:keepNext/>
        <w:shd w:val="clear" w:color="auto" w:fill="auto"/>
        <w:rPr>
          <w:rFonts w:eastAsia="Calibri"/>
          <w:b/>
          <w:sz w:val="22"/>
          <w:szCs w:val="22"/>
          <w:highlight w:val="none"/>
        </w:rPr>
        <w:outlineLvl w:val="1"/>
      </w:pPr>
      <w:r>
        <w:rPr>
          <w:b/>
          <w:sz w:val="20"/>
          <w:szCs w:val="20"/>
          <w:highlight w:val="none"/>
        </w:rPr>
        <w:t xml:space="preserve">Рекомендуемая форма заявки</w:t>
      </w:r>
      <w:r>
        <w:rPr>
          <w:rFonts w:eastAsia="Calibri"/>
          <w:b/>
          <w:sz w:val="22"/>
          <w:szCs w:val="22"/>
          <w:highlight w:val="none"/>
          <w:lang w:eastAsia="en-US"/>
        </w:rPr>
      </w:r>
      <w:r>
        <w:rPr>
          <w:rFonts w:eastAsia="Calibri"/>
          <w:b/>
          <w:sz w:val="22"/>
          <w:szCs w:val="22"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sz w:val="22"/>
          <w:szCs w:val="22"/>
          <w:highlight w:val="none"/>
        </w:rPr>
      </w:pPr>
      <w:r>
        <w:rPr>
          <w:rFonts w:eastAsia="Calibri"/>
          <w:b/>
          <w:sz w:val="22"/>
          <w:szCs w:val="22"/>
          <w:highlight w:val="none"/>
          <w:lang w:eastAsia="en-US"/>
        </w:rPr>
      </w:r>
      <w:r>
        <w:rPr>
          <w:rFonts w:eastAsia="Calibri"/>
          <w:b/>
          <w:sz w:val="22"/>
          <w:szCs w:val="22"/>
          <w:highlight w:val="none"/>
          <w:lang w:eastAsia="en-US"/>
        </w:rPr>
      </w:r>
      <w:r>
        <w:rPr>
          <w:rFonts w:eastAsia="Calibri"/>
          <w:b/>
          <w:sz w:val="22"/>
          <w:szCs w:val="22"/>
          <w:highlight w:val="none"/>
        </w:rPr>
      </w:r>
    </w:p>
    <w:p>
      <w:pPr>
        <w:pStyle w:val="843"/>
        <w:numPr>
          <w:ilvl w:val="0"/>
          <w:numId w:val="0"/>
        </w:numPr>
        <w:jc w:val="center"/>
        <w:keepNext/>
        <w:shd w:val="clear" w:color="auto" w:fill="auto"/>
        <w:rPr>
          <w:rFonts w:eastAsia="Calibri"/>
          <w:b/>
          <w:i/>
          <w:sz w:val="32"/>
          <w:szCs w:val="32"/>
          <w:highlight w:val="none"/>
        </w:rPr>
        <w:outlineLvl w:val="1"/>
      </w:pPr>
      <w:r>
        <w:rPr>
          <w:rFonts w:eastAsia="Calibri"/>
          <w:b/>
          <w:i/>
          <w:sz w:val="32"/>
          <w:szCs w:val="32"/>
          <w:highlight w:val="none"/>
          <w:lang w:eastAsia="en-US"/>
        </w:rPr>
      </w:r>
      <w:r>
        <w:rPr>
          <w:rFonts w:eastAsia="Calibri"/>
          <w:b/>
          <w:i/>
          <w:sz w:val="32"/>
          <w:szCs w:val="32"/>
          <w:highlight w:val="none"/>
          <w:lang w:eastAsia="en-US"/>
        </w:rPr>
      </w:r>
      <w:r>
        <w:rPr>
          <w:rFonts w:eastAsia="Calibri"/>
          <w:b/>
          <w:i/>
          <w:sz w:val="32"/>
          <w:szCs w:val="32"/>
          <w:highlight w:val="none"/>
        </w:rPr>
      </w:r>
    </w:p>
    <w:p>
      <w:pPr>
        <w:pStyle w:val="843"/>
        <w:numPr>
          <w:ilvl w:val="0"/>
          <w:numId w:val="0"/>
        </w:numPr>
        <w:jc w:val="center"/>
        <w:keepNext/>
        <w:shd w:val="clear" w:color="auto" w:fill="auto"/>
        <w:rPr>
          <w:b/>
          <w:i/>
          <w:sz w:val="28"/>
          <w:szCs w:val="32"/>
          <w:highlight w:val="none"/>
        </w:rPr>
        <w:outlineLvl w:val="1"/>
      </w:pPr>
      <w:r>
        <w:rPr>
          <w:b/>
          <w:i/>
          <w:sz w:val="32"/>
          <w:szCs w:val="32"/>
          <w:highlight w:val="none"/>
        </w:rPr>
        <w:t xml:space="preserve">Первая часть заявки </w:t>
      </w:r>
      <w:r>
        <w:rPr>
          <w:b/>
          <w:i/>
          <w:sz w:val="28"/>
          <w:szCs w:val="32"/>
          <w:highlight w:val="none"/>
        </w:rPr>
      </w:r>
      <w:r>
        <w:rPr>
          <w:b/>
          <w:i/>
          <w:sz w:val="28"/>
          <w:szCs w:val="32"/>
          <w:highlight w:val="none"/>
        </w:rPr>
      </w:r>
    </w:p>
    <w:p>
      <w:pPr>
        <w:pStyle w:val="843"/>
        <w:numPr>
          <w:ilvl w:val="0"/>
          <w:numId w:val="0"/>
        </w:numPr>
        <w:jc w:val="center"/>
        <w:keepNext/>
        <w:shd w:val="clear" w:color="auto" w:fill="auto"/>
        <w:rPr>
          <w:b/>
          <w:i/>
          <w:sz w:val="28"/>
          <w:szCs w:val="32"/>
          <w:highlight w:val="none"/>
        </w:rPr>
        <w:outlineLvl w:val="1"/>
      </w:pPr>
      <w:r>
        <w:rPr>
          <w:b/>
          <w:i/>
          <w:sz w:val="28"/>
          <w:szCs w:val="32"/>
          <w:highlight w:val="none"/>
        </w:rPr>
      </w:r>
      <w:r>
        <w:rPr>
          <w:b/>
          <w:i/>
          <w:sz w:val="28"/>
          <w:szCs w:val="32"/>
          <w:highlight w:val="none"/>
        </w:rPr>
      </w:r>
      <w:r>
        <w:rPr>
          <w:b/>
          <w:i/>
          <w:sz w:val="28"/>
          <w:szCs w:val="32"/>
          <w:highlight w:val="none"/>
        </w:rPr>
      </w:r>
    </w:p>
    <w:p>
      <w:pPr>
        <w:pStyle w:val="843"/>
        <w:jc w:val="center"/>
        <w:shd w:val="clear" w:color="auto" w:fill="auto"/>
        <w:rPr>
          <w:b/>
          <w:bCs/>
          <w:i/>
          <w:sz w:val="28"/>
          <w:highlight w:val="none"/>
        </w:rPr>
      </w:pPr>
      <w:r>
        <w:rPr>
          <w:b/>
          <w:bCs/>
          <w:i/>
          <w:sz w:val="28"/>
          <w:highlight w:val="none"/>
        </w:rPr>
      </w:r>
      <w:r>
        <w:rPr>
          <w:b/>
          <w:bCs/>
          <w:i/>
          <w:sz w:val="28"/>
          <w:highlight w:val="none"/>
        </w:rPr>
      </w:r>
      <w:r>
        <w:rPr>
          <w:b/>
          <w:bCs/>
          <w:i/>
          <w:sz w:val="28"/>
          <w:highlight w:val="none"/>
        </w:rPr>
      </w:r>
    </w:p>
    <w:p>
      <w:pPr>
        <w:pStyle w:val="843"/>
        <w:ind w:left="0" w:right="0" w:firstLine="720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Представляем следующие  сведения о конкретных характеристиках поставляемого товара, в т.ч. при выполнении работ, оказании услуг:*</w:t>
      </w:r>
      <w:r>
        <w:rPr>
          <w:highlight w:val="none"/>
        </w:rPr>
      </w:r>
    </w:p>
    <w:p>
      <w:pPr>
        <w:pStyle w:val="843"/>
        <w:ind w:left="0" w:right="0" w:firstLine="720"/>
        <w:jc w:val="both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Ind w:w="-9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276"/>
        <w:gridCol w:w="870"/>
        <w:gridCol w:w="1018"/>
        <w:gridCol w:w="1425"/>
        <w:gridCol w:w="1223"/>
        <w:gridCol w:w="1276"/>
        <w:gridCol w:w="11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№</w:t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п/п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Наименование поставляемого товара,  в соответствии со спецификацией, Техническим заданием Заказчика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shd w:val="clear" w:color="auto" w:fill="auto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Товарный знак товара (при наличии)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Страна происхождения поставляемого товара (</w:t>
            </w: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  <w:t xml:space="preserve">не подлежит обязательному заполнению в 1 части заявки)**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shd w:val="clear" w:color="auto" w:fill="auto"/>
              <w:rPr>
                <w:b/>
                <w:i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Ед. измерения</w:t>
            </w:r>
            <w:r>
              <w:rPr>
                <w:b/>
                <w:i/>
                <w:sz w:val="16"/>
                <w:szCs w:val="16"/>
                <w:highlight w:val="none"/>
                <w:shd w:val="clear" w:color="auto" w:fill="auto"/>
              </w:rPr>
            </w:r>
            <w:r>
              <w:rPr>
                <w:b/>
                <w:i/>
                <w:sz w:val="16"/>
                <w:szCs w:val="16"/>
                <w:highlight w:val="none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b/>
                <w:i/>
                <w:sz w:val="16"/>
                <w:szCs w:val="16"/>
                <w:highlight w:val="none"/>
                <w:shd w:val="clear" w:color="auto" w:fill="auto"/>
              </w:rPr>
              <w:t xml:space="preserve">не подлежит обязательному заполнению)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shd w:val="clear" w:color="auto" w:fill="auto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Количество</w:t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spacing w:line="216" w:lineRule="auto"/>
              <w:shd w:val="clear" w:color="auto" w:fill="auto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spacing w:line="216" w:lineRule="auto"/>
              <w:shd w:val="clear" w:color="auto" w:fill="auto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b/>
                <w:i/>
                <w:sz w:val="16"/>
                <w:szCs w:val="16"/>
                <w:highlight w:val="none"/>
                <w:shd w:val="clear" w:color="auto" w:fill="auto"/>
              </w:rPr>
              <w:t xml:space="preserve">не подлежит обязательному заполнению)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Конкретные показатели поставляемого товара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Реквизиты (дата, номер) регистрационного удостоверения </w:t>
            </w: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  <w:t xml:space="preserve">(не подлежит обязательному заполнению)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Номер позиции в регистрационном удостоверении, соответствующий предлагаемому к поставке товару </w:t>
            </w: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  <w:t xml:space="preserve">(не подлежит обязательному заполнению)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Наименование медицинского изделия в соответствии регистрационным удостоверением </w:t>
            </w: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  <w:t xml:space="preserve">(не подлежит обязательному заполнению)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5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7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9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10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sz w:val="18"/>
                <w:szCs w:val="18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  <w:t xml:space="preserve">Столбцы 5,6 не заполняются в случае закупки с неопределенным объемом (количеством)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b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b/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b/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b/>
                <w:sz w:val="18"/>
                <w:szCs w:val="18"/>
                <w:highlight w:val="none"/>
                <w:shd w:val="clear" w:color="auto" w:fil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  <w:shd w:val="clear" w:color="auto" w:fill="auto"/>
              <w:rPr>
                <w:highlight w:val="none"/>
              </w:rPr>
            </w:pPr>
            <w:r>
              <w:rPr>
                <w:b/>
                <w:i/>
                <w:sz w:val="18"/>
                <w:szCs w:val="18"/>
                <w:highlight w:val="none"/>
                <w:shd w:val="clear" w:color="auto" w:fill="auto"/>
              </w:rPr>
              <w:t xml:space="preserve">Столбцы 8,9,10 заполняются в случае поставки медицинского изделия</w:t>
            </w:r>
            <w:r>
              <w:rPr>
                <w:highlight w:val="none"/>
              </w:rPr>
            </w:r>
          </w:p>
        </w:tc>
      </w:tr>
    </w:tbl>
    <w:p>
      <w:pPr>
        <w:pStyle w:val="843"/>
        <w:ind w:left="-567" w:right="-568" w:firstLine="709"/>
        <w:jc w:val="both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  <w:highlight w:val="none"/>
        </w:rPr>
      </w:pPr>
      <w:r>
        <w:rPr>
          <w:bCs/>
          <w:i/>
          <w:highlight w:val="none"/>
        </w:rPr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pStyle w:val="843"/>
        <w:ind w:left="-567" w:right="-568" w:firstLine="709"/>
        <w:jc w:val="both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  <w:highlight w:val="none"/>
        </w:rPr>
      </w:pPr>
      <w:r>
        <w:rPr>
          <w:bCs/>
          <w:i/>
          <w:highlight w:val="none"/>
        </w:rPr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pStyle w:val="843"/>
        <w:ind w:left="-567" w:right="-568" w:firstLine="709"/>
        <w:jc w:val="both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Cs/>
          <w:i/>
          <w:highlight w:val="none"/>
        </w:rPr>
      </w:pPr>
      <w:r>
        <w:rPr>
          <w:bCs/>
          <w:i/>
          <w:highlight w:val="none"/>
        </w:rPr>
        <w:t xml:space="preserve">*таблица заполняется в случае поставки товара, а также  в случае выполнения работ, оказания услуг при наличии в составе документации о закупке отдельного перечня товаров, </w:t>
      </w:r>
      <w:r>
        <w:rPr>
          <w:bCs/>
          <w:i/>
          <w:highlight w:val="none"/>
          <w:u w:val="single"/>
        </w:rPr>
        <w:t xml:space="preserve">поставляемых</w:t>
      </w:r>
      <w:r>
        <w:rPr>
          <w:bCs/>
          <w:i/>
          <w:highlight w:val="none"/>
        </w:rPr>
        <w:t xml:space="preserve">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товаров.</w:t>
      </w:r>
      <w:r>
        <w:rPr>
          <w:sz w:val="20"/>
          <w:szCs w:val="20"/>
          <w:highlight w:val="none"/>
        </w:rPr>
        <w:t xml:space="preserve"> </w:t>
      </w:r>
      <w:r>
        <w:rPr>
          <w:i/>
          <w:highlight w:val="none"/>
        </w:rPr>
        <w:t xml:space="preserve">Предоставление сведений о характеристиках товаров и материалов, </w:t>
      </w:r>
      <w:r>
        <w:rPr>
          <w:i/>
          <w:highlight w:val="none"/>
          <w:u w:val="single"/>
        </w:rPr>
        <w:t xml:space="preserve">используемых</w:t>
      </w:r>
      <w:r>
        <w:rPr>
          <w:i/>
          <w:highlight w:val="none"/>
        </w:rPr>
        <w:t xml:space="preserve"> при выполнении работ, оказании услуг (т.е. товаров которые не подлежат отдельной приемки заказчиком и отдельному  бухгалтерскому учету с постановкой на баланс как отдельные объекты бухгалтерского учета) не требуется.</w:t>
      </w:r>
      <w:r>
        <w:rPr>
          <w:rFonts w:eastAsia="Calibri"/>
          <w:bCs/>
          <w:i/>
          <w:highlight w:val="none"/>
        </w:rPr>
      </w:r>
      <w:r>
        <w:rPr>
          <w:rFonts w:eastAsia="Calibri"/>
          <w:bCs/>
          <w:i/>
          <w:highlight w:val="none"/>
        </w:rPr>
      </w:r>
    </w:p>
    <w:p>
      <w:pPr>
        <w:pStyle w:val="843"/>
        <w:ind w:left="-567" w:right="-568" w:firstLine="683"/>
        <w:jc w:val="both"/>
        <w:shd w:val="clear" w:color="auto" w:fill="auto"/>
        <w:tabs>
          <w:tab w:val="left" w:pos="8931" w:leader="none"/>
        </w:tabs>
        <w:rPr>
          <w:bCs/>
          <w:i/>
          <w:highlight w:val="none"/>
        </w:rPr>
      </w:pPr>
      <w:r>
        <w:rPr>
          <w:rFonts w:eastAsia="Calibri"/>
          <w:bCs/>
          <w:i/>
          <w:highlight w:val="none"/>
        </w:rPr>
        <w:t xml:space="preserve">В случае если в закупке на </w:t>
      </w:r>
      <w:r>
        <w:rPr>
          <w:bCs/>
          <w:i/>
          <w:highlight w:val="none"/>
        </w:rPr>
        <w:t xml:space="preserve">выполнение работ, оказание услуг поставка товара не осуществляется,</w:t>
      </w:r>
      <w:r>
        <w:rPr>
          <w:bCs/>
          <w:i/>
          <w:highlight w:val="none"/>
          <w:u w:val="single"/>
        </w:rPr>
        <w:t xml:space="preserve">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  <w:highlight w:val="none"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highlight w:val="none"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pStyle w:val="843"/>
        <w:ind w:left="-567" w:right="-568" w:firstLine="683"/>
        <w:jc w:val="both"/>
        <w:shd w:val="clear" w:color="auto" w:fill="auto"/>
        <w:tabs>
          <w:tab w:val="left" w:pos="8931" w:leader="none"/>
        </w:tabs>
        <w:rPr>
          <w:rFonts w:eastAsia="Calibri"/>
          <w:bCs/>
          <w:i/>
          <w:highlight w:val="none"/>
        </w:rPr>
      </w:pPr>
      <w:r>
        <w:rPr>
          <w:bCs/>
          <w:i/>
          <w:highlight w:val="none"/>
        </w:rPr>
        <w:t xml:space="preserve">Если в «Техническом задании» и (или) иных документах. входящих в состав документации о закупке,  в наименовании или описании товаров есть указания на товарные знаки и участник предлагает </w:t>
      </w:r>
      <w:r>
        <w:rPr>
          <w:bCs/>
          <w:i/>
          <w:highlight w:val="none"/>
          <w:u w:val="single"/>
        </w:rPr>
        <w:t xml:space="preserve">по всем таким товарам</w:t>
      </w:r>
      <w:r>
        <w:rPr>
          <w:bCs/>
          <w:i/>
          <w:highlight w:val="none"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  <w:highlight w:val="none"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highlight w:val="none"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rFonts w:eastAsia="Calibri"/>
          <w:bCs/>
          <w:i/>
          <w:highlight w:val="none"/>
        </w:rPr>
      </w:r>
      <w:r>
        <w:rPr>
          <w:rFonts w:eastAsia="Calibri"/>
          <w:bCs/>
          <w:i/>
          <w:highlight w:val="none"/>
        </w:rPr>
      </w:r>
    </w:p>
    <w:p>
      <w:pPr>
        <w:pStyle w:val="843"/>
        <w:ind w:left="-567" w:right="-568" w:firstLine="683"/>
        <w:jc w:val="both"/>
        <w:shd w:val="clear" w:color="auto" w:fill="auto"/>
        <w:tabs>
          <w:tab w:val="left" w:pos="8931" w:leader="none"/>
        </w:tabs>
        <w:rPr>
          <w:rFonts w:eastAsia="Calibri"/>
          <w:bCs/>
          <w:i/>
          <w:highlight w:val="none"/>
        </w:rPr>
      </w:pPr>
      <w:r>
        <w:rPr>
          <w:rFonts w:eastAsia="Calibri"/>
          <w:bCs/>
          <w:i/>
          <w:highlight w:val="none"/>
        </w:rPr>
      </w:r>
      <w:r>
        <w:rPr>
          <w:rFonts w:eastAsia="Calibri"/>
          <w:bCs/>
          <w:i/>
          <w:highlight w:val="none"/>
        </w:rPr>
      </w:r>
      <w:r>
        <w:rPr>
          <w:rFonts w:eastAsia="Calibri"/>
          <w:bCs/>
          <w:i/>
          <w:highlight w:val="none"/>
        </w:rPr>
      </w:r>
    </w:p>
    <w:p>
      <w:pPr>
        <w:pStyle w:val="843"/>
        <w:ind w:left="0" w:right="136" w:firstLine="0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/>
          <w:bCs/>
          <w:i/>
          <w:highlight w:val="none"/>
        </w:rPr>
      </w:pPr>
      <w:r>
        <w:rPr>
          <w:rFonts w:eastAsia="Calibri"/>
          <w:b/>
          <w:bCs/>
          <w:i/>
          <w:highlight w:val="none"/>
        </w:rPr>
      </w:r>
      <w:r>
        <w:rPr>
          <w:rFonts w:eastAsia="Calibri"/>
          <w:b/>
          <w:bCs/>
          <w:i/>
          <w:highlight w:val="none"/>
        </w:rPr>
      </w:r>
      <w:r>
        <w:rPr>
          <w:rFonts w:eastAsia="Calibri"/>
          <w:b/>
          <w:bCs/>
          <w:i/>
          <w:highlight w:val="none"/>
        </w:rPr>
      </w:r>
    </w:p>
    <w:p>
      <w:pPr>
        <w:pStyle w:val="843"/>
        <w:ind w:left="0" w:right="136" w:firstLine="709"/>
        <w:jc w:val="center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ind w:left="0" w:right="136" w:firstLine="709"/>
        <w:jc w:val="center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ind w:left="0" w:right="136" w:firstLine="709"/>
        <w:jc w:val="center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ind w:left="0" w:right="136" w:firstLine="709"/>
        <w:jc w:val="center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/>
          <w:highlight w:val="none"/>
        </w:rPr>
      </w:pPr>
      <w:r>
        <w:rPr>
          <w:b/>
          <w:highlight w:val="none"/>
        </w:rPr>
        <w:t xml:space="preserve">Инструкция по заполнению заявки: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ind w:left="0" w:right="0" w:firstLine="567"/>
        <w:jc w:val="center"/>
        <w:shd w:val="clear" w:color="auto" w:fill="auto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ind w:left="0" w:right="0" w:firstLine="567"/>
        <w:jc w:val="center"/>
        <w:shd w:val="clear" w:color="auto" w:fill="auto"/>
        <w:rPr>
          <w:b/>
          <w:highlight w:val="none"/>
        </w:rPr>
      </w:pPr>
      <w:r>
        <w:rPr>
          <w:b/>
          <w:highlight w:val="none"/>
        </w:rPr>
        <w:t xml:space="preserve">ВНИМАНИЕ УЧАСТНИКОВ ЗАКУПКИ!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ind w:left="0" w:right="0" w:firstLine="567"/>
        <w:jc w:val="both"/>
        <w:shd w:val="clear" w:color="auto" w:fill="auto"/>
        <w:rPr>
          <w:b/>
          <w:highlight w:val="none"/>
        </w:rPr>
      </w:pPr>
      <w:r>
        <w:rPr>
          <w:b/>
          <w:highlight w:val="none"/>
        </w:rPr>
        <w:t xml:space="preserve">В случае выявления комиссией по осуществлению закупки явных противоречий в информации о товарном знаке и характеристиках товара, указанных в заявке в структурированном </w:t>
      </w:r>
      <w:r>
        <w:rPr>
          <w:b/>
          <w:highlight w:val="none"/>
        </w:rPr>
        <w:t xml:space="preserve">виде, формируемой с использованием электронной площадки, и в приложенном к заявке на участие в закупке документе (файле), такая заявка может быть признана комиссией по осуществлению закупки не соответствующей требованиям извещения об осуществлении закупки.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ind w:left="0" w:right="136" w:firstLine="709"/>
        <w:jc w:val="center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Cs/>
          <w:highlight w:val="none"/>
          <w:u w:val="single"/>
        </w:rPr>
      </w:pPr>
      <w:r>
        <w:rPr>
          <w:bCs/>
          <w:highlight w:val="none"/>
        </w:rPr>
        <w:t xml:space="preserve">Данные инструкции не следует воспроизводить в документах, подготовленных Участником закупки. </w:t>
      </w:r>
      <w:r>
        <w:rPr>
          <w:bCs/>
          <w:highlight w:val="none"/>
          <w:u w:val="single"/>
        </w:rPr>
      </w:r>
      <w:r>
        <w:rPr>
          <w:bCs/>
          <w:highlight w:val="none"/>
          <w:u w:val="single"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  <w:u w:val="single"/>
        </w:rPr>
        <w:t xml:space="preserve">Участник закупки формирует заявку на основании данных и требований к качеству и техническим (функциональным) характеристикам товара, работы,    услуги, указанным в Техническом задании» и (или) иных документах содержащих таковые требования.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ind w:left="708" w:right="136" w:firstLine="0"/>
        <w:jc w:val="both"/>
        <w:shd w:val="clear" w:color="auto" w:fill="auto"/>
        <w:tabs>
          <w:tab w:val="left" w:pos="8931" w:leader="none"/>
        </w:tabs>
        <w:rPr>
          <w:bCs/>
          <w:highlight w:val="none"/>
        </w:rPr>
      </w:pPr>
      <w:r>
        <w:rPr>
          <w:bCs/>
          <w:highlight w:val="none"/>
        </w:rPr>
        <w:t xml:space="preserve">Если в «Техническом задании» и (или) иных документах в наименовании или описании товаров есть указания на товарные знаки и участник предлагает </w:t>
      </w:r>
      <w:r>
        <w:rPr>
          <w:bCs/>
          <w:highlight w:val="none"/>
          <w:u w:val="single"/>
        </w:rPr>
        <w:t xml:space="preserve">по всем таким товарам</w:t>
      </w:r>
      <w:r>
        <w:rPr>
          <w:bCs/>
          <w:highlight w:val="none"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заявки данный документ (форму заявки) и какие либо другие документы. При этом, наличие факта п</w:t>
      </w:r>
      <w:r>
        <w:rPr>
          <w:rFonts w:eastAsia="Calibri"/>
          <w:bCs/>
          <w:highlight w:val="none"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highlight w:val="none"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</w:rPr>
        <w:t xml:space="preserve">Участник должен указать конкретные показатели товара, соответствующие значениям, установленным в «Техническом задании» и (или) иных документах содержащих таковые требования, и указание н</w:t>
      </w:r>
      <w:r>
        <w:rPr>
          <w:bCs/>
          <w:highlight w:val="none"/>
        </w:rPr>
        <w:t xml:space="preserve">а товарный знак (при наличии) в случае отсутствия в перечисленных документах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«Техническом задании».</w:t>
      </w:r>
      <w:r>
        <w:rPr>
          <w:bCs/>
          <w:highlight w:val="none"/>
          <w:lang w:val="ru-RU"/>
        </w:rPr>
        <w:t xml:space="preserve"> </w:t>
      </w:r>
      <w:r>
        <w:rPr>
          <w:bCs/>
          <w:highlight w:val="none"/>
          <w:lang w:val="ru-RU"/>
        </w:rPr>
      </w:r>
      <w:r>
        <w:rPr>
          <w:bCs/>
          <w:highlight w:val="none"/>
        </w:rPr>
      </w:r>
    </w:p>
    <w:p>
      <w:pPr>
        <w:pStyle w:val="925"/>
        <w:ind w:left="710" w:right="136" w:firstLine="0"/>
        <w:jc w:val="both"/>
        <w:shd w:val="clear" w:color="auto" w:fill="auto"/>
        <w:tabs>
          <w:tab w:val="left" w:pos="426" w:leader="none"/>
          <w:tab w:val="left" w:pos="1134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  <w:lang w:val="ru-RU"/>
        </w:rPr>
        <w:t xml:space="preserve">Участник закупки </w:t>
      </w:r>
      <w:r>
        <w:rPr>
          <w:highlight w:val="none"/>
        </w:rPr>
        <w:t xml:space="preserve">вправе предост</w:t>
      </w:r>
      <w:r>
        <w:rPr>
          <w:highlight w:val="none"/>
        </w:rPr>
        <w:t xml:space="preserve">авить иную информацию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rFonts w:eastAsia="Calibri"/>
          <w:highlight w:val="none"/>
        </w:rPr>
      </w:pPr>
      <w:r>
        <w:rPr>
          <w:bCs/>
          <w:highlight w:val="none"/>
        </w:rPr>
        <w:t xml:space="preserve">Участник закупки несет ответственность за корректность предоставления данных. В случае выявления при рассмотрении заявок участников заведомо недостоверных сведений, намеренного искажения информации заявка данного участника подлежит отклонению.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bCs/>
          <w:highlight w:val="none"/>
        </w:rPr>
      </w:pPr>
      <w:r>
        <w:rPr>
          <w:rFonts w:eastAsia="Calibri"/>
          <w:highlight w:val="none"/>
        </w:rPr>
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допускать разночтения или двусмысленное толкование.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</w:rPr>
        <w:t xml:space="preserve">В случае если </w:t>
      </w:r>
      <w:r>
        <w:rPr>
          <w:b/>
          <w:bCs/>
          <w:highlight w:val="none"/>
        </w:rPr>
        <w:t xml:space="preserve">страна происхождения</w:t>
      </w:r>
      <w:r>
        <w:rPr>
          <w:bCs/>
          <w:highlight w:val="none"/>
        </w:rPr>
        <w:t xml:space="preserve"> предлагаемого к поставке товара, указанная в соответствии с п. 22.1 раздела </w:t>
      </w:r>
      <w:r>
        <w:rPr>
          <w:bCs/>
          <w:highlight w:val="none"/>
          <w:lang w:val="en-US"/>
        </w:rPr>
        <w:t xml:space="preserve">I</w:t>
      </w:r>
      <w:r>
        <w:rPr>
          <w:bCs/>
          <w:highlight w:val="none"/>
        </w:rPr>
        <w:t xml:space="preserve"> настоящей документации в </w:t>
      </w:r>
      <w:r>
        <w:rPr>
          <w:highlight w:val="none"/>
        </w:rPr>
        <w:t xml:space="preserve">структурированном виде заявки на участие в закупке, формируемой с использованием электронной площадки,</w:t>
      </w:r>
      <w:r>
        <w:rPr>
          <w:bCs/>
          <w:highlight w:val="none"/>
        </w:rPr>
        <w:t xml:space="preserve"> отличается от страны происхождения пр</w:t>
      </w:r>
      <w:r>
        <w:rPr>
          <w:bCs/>
          <w:highlight w:val="none"/>
        </w:rPr>
        <w:t xml:space="preserve">едлагаемого к поставке товара, указанной в приложенном к заявке документе, то комиссия по осуществлению закупки при рассмотрении заявок в соответствии с ПП РФ № 1875 учитывает только страну происхождения предлагаемого товара, указанную в структурированном </w:t>
      </w:r>
      <w:r>
        <w:rPr>
          <w:highlight w:val="none"/>
        </w:rPr>
        <w:t xml:space="preserve">виде заявки на участие в закупке, формируемой с использованием электронной площадки.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</w:rPr>
        <w:t xml:space="preserve">Если объектом закупки является товар, то в случае предложения участником закупки в заявке меньшего количества товара, чем предусмотрено в Описании объекта заку</w:t>
      </w:r>
      <w:r>
        <w:rPr>
          <w:bCs/>
          <w:highlight w:val="none"/>
        </w:rPr>
        <w:t xml:space="preserve">пки (Техническом задании),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</w:rPr>
        <w:t xml:space="preserve">Если объектом закупки является товар (и если в зак</w:t>
      </w:r>
      <w:r>
        <w:rPr>
          <w:bCs/>
          <w:highlight w:val="none"/>
        </w:rPr>
        <w:t xml:space="preserve">упке установлены требования к сроку годности товара), то в случае указания в заявке остаточного срока годности предлагаемого к поставке товара не соответствующего требованиям к остаточному сроку годности товара, указанным в Описании объекта закупки, в том </w:t>
      </w:r>
      <w:r>
        <w:rPr>
          <w:bCs/>
          <w:highlight w:val="none"/>
        </w:rPr>
        <w:t xml:space="preserve">числе в проекте контракта,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</w:rPr>
        <w:t xml:space="preserve">В случае если в техни</w:t>
      </w:r>
      <w:r>
        <w:rPr>
          <w:bCs/>
          <w:highlight w:val="none"/>
        </w:rPr>
        <w:t xml:space="preserve">ческом задании заказчиком установлены конкретные требования к диапазонным величинам, участник закупки вправе предложить к поставке товар с иными значениями, включающими указанный диапазон в соответствии с технической документацией, поставляемого товара.   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</w:rPr>
        <w:t xml:space="preserve">В случае осуществления з</w:t>
      </w:r>
      <w:r>
        <w:rPr>
          <w:bCs/>
          <w:highlight w:val="none"/>
        </w:rPr>
        <w:t xml:space="preserve">акупок лекарственных средств и (или) медицинских изделий, при представлении участником закупки в составе заявки на участие в закупке регистрационного удостоверения в неактуальной редакции, в неполном объеме или без приложения, представление скан-копии реги</w:t>
      </w:r>
      <w:r>
        <w:rPr>
          <w:bCs/>
          <w:highlight w:val="none"/>
        </w:rPr>
        <w:t xml:space="preserve">страционного удостоверения в нечитаемом виде или при отсутствии (невозможности распознавания) определенных его реквизитов) и при наличии в соответствующем Государственном реестре сведений о регистрации лекарственного средства (медицинского изделия), указан</w:t>
      </w:r>
      <w:r>
        <w:rPr>
          <w:bCs/>
          <w:highlight w:val="none"/>
        </w:rPr>
        <w:t xml:space="preserve">ного в представленном регистрационном удостоверении и соответствующего требованиям Технического задания, комиссия по осуществлению закупок вправе принять решение о соответствии/несоответствии на основании информации, содержащейся в государственном реестре.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bCs/>
          <w:highlight w:val="none"/>
          <w:shd w:val="clear" w:color="auto" w:fill="auto"/>
        </w:rPr>
      </w:pPr>
      <w:r>
        <w:rPr>
          <w:bCs/>
          <w:highlight w:val="none"/>
        </w:rPr>
        <w:t xml:space="preserve">В случае осуществления закупок лекарственных средств комиссия по осуществлению закупки вправе принять решение о соответствии лекарственной формы, указанной в заявке участника, треб</w:t>
      </w:r>
      <w:r>
        <w:rPr>
          <w:bCs/>
          <w:highlight w:val="none"/>
        </w:rPr>
        <w:t xml:space="preserve">ованиям, указанным в описании объекта закупки на основании информации о взаимозаменяемости, содержащейся в перечне взаимозаменяемых лекарственных препаратов для медицинского применения, размещенном уполномоченным федеральным органом исполнительной власти, </w:t>
      </w:r>
      <w:r>
        <w:rPr>
          <w:bCs/>
          <w:highlight w:val="none"/>
        </w:rPr>
        <w:t xml:space="preserve">осуществляющим государственную регистрацию лекарственных препаратов для медицинского применения, на своем официальном сайте в сети «Интернет» в соответствии с ч.8 ст.27.1 Федерального закона от 12.04.2010 N 61-ФЗ «Об обращении лекарственных средств».      </w:t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  <w:shd w:val="clear" w:color="auto" w:fill="auto"/>
        </w:rPr>
        <w:t xml:space="preserve">В случае закупки лек</w:t>
      </w:r>
      <w:r>
        <w:rPr>
          <w:bCs/>
          <w:highlight w:val="none"/>
          <w:shd w:val="clear" w:color="auto" w:fill="auto"/>
        </w:rPr>
        <w:t xml:space="preserve">арственных препаратов, включенных в перечень ЖНВЛП, каждая предлагаемая участником закупки к поставке лекарственная форма препарата должна быть отдельно утверждена в перечне ЖНВЛП для признания её эквивалентности другим формам этого же препарата.          </w:t>
      </w:r>
      <w:r>
        <w:rPr>
          <w:bCs/>
          <w:highlight w:val="none"/>
        </w:rPr>
        <w:t xml:space="preserve">   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shd w:val="clear" w:color="auto" w:fill="auto"/>
        <w:tabs>
          <w:tab w:val="left" w:pos="426" w:leader="none"/>
          <w:tab w:val="left" w:pos="1418" w:leader="none"/>
        </w:tabs>
        <w:rPr>
          <w:bCs/>
          <w:highlight w:val="none"/>
        </w:rPr>
      </w:pPr>
      <w:r>
        <w:rPr>
          <w:bCs/>
          <w:highlight w:val="none"/>
        </w:rPr>
        <w:t xml:space="preserve">В случае если в п.16.1 документации о закупке установлено требование предост</w:t>
      </w:r>
      <w:r>
        <w:rPr>
          <w:bCs/>
          <w:highlight w:val="none"/>
        </w:rPr>
        <w:t xml:space="preserve">авления лицензии или иного документа, подтверждающего соответствие участника закупки требованиям законодательства и лицензируемые виды деятельности не являются самостоятельным объектом закупки, а согласно условиям проекта контракта исполнитель (подрядчик) </w:t>
      </w:r>
      <w:r>
        <w:rPr>
          <w:bCs/>
          <w:highlight w:val="none"/>
        </w:rPr>
        <w:t xml:space="preserve">вправе привлечь к исполнению контракта иных лиц (соисполнителей, субподрядчиков), участник закупки, не имеющий указанного документа, но намеревающийся исполнять лицензируемый вид деятельности (иную деятельность, право на выполнение которых требуется подтве</w:t>
      </w:r>
      <w:r>
        <w:rPr>
          <w:bCs/>
          <w:highlight w:val="none"/>
        </w:rPr>
        <w:t xml:space="preserve">рдить) с привлечением соисполнителей (субподрядчиков), должен предоставить в составе заявки указанный документ, выданный на имя соисполнителя (субподрядчика), с которым участник закупки заключил или намерен заключить договор соисполнительства (субподряда).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ind w:left="1070" w:right="100" w:firstLine="0"/>
        <w:jc w:val="both"/>
        <w:shd w:val="clear" w:color="auto" w:fill="auto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ind w:left="1070" w:right="100" w:firstLine="0"/>
        <w:jc w:val="both"/>
        <w:shd w:val="clear" w:color="auto" w:fill="auto"/>
        <w:rPr>
          <w:highlight w:val="none"/>
        </w:rPr>
      </w:pPr>
      <w:r>
        <w:rPr>
          <w:bCs/>
          <w:highlight w:val="none"/>
        </w:rPr>
        <w:t xml:space="preserve">Документами, подтверждающими  наличие у участника лицензии является  либо выписка из реестра лицензий, либо копия акта лицензирующего органа о принятом решении либо иной док</w:t>
      </w:r>
      <w:r>
        <w:rPr>
          <w:bCs/>
          <w:highlight w:val="none"/>
        </w:rPr>
        <w:t xml:space="preserve">умент, содержащий сведения, обеспечивающие возможность подтверждения наличия соответствующей записи в реестре лицензий. При этом в указанном ином документе должны быть указаны в том числе номер реестровой записи в реестре лицензий и  ссылка на официальный </w:t>
      </w:r>
      <w:r>
        <w:rPr>
          <w:bCs/>
          <w:highlight w:val="none"/>
        </w:rPr>
        <w:t xml:space="preserve">сайт в сети Интернет (или адрес сайта) лицензирующего органа, на котором размещен реестр выданных лицензий, в котором содержится соответствующая запись. В случае отсутствия данной информации в указанном документе и отсутствием в связи с этим у комиссии по </w:t>
      </w:r>
      <w:r>
        <w:rPr>
          <w:bCs/>
          <w:highlight w:val="none"/>
        </w:rPr>
        <w:t xml:space="preserve">осуществлению закупки возможности осуществления проверки наличия сведений об участники закупки в реестре лицензий,  комиссия по осуществлению закупки  вправе признать заявку такого участника несоответствующей требованиям извещения об осуществлении закупки.</w:t>
      </w:r>
      <w:r>
        <w:rPr>
          <w:highlight w:val="none"/>
        </w:rPr>
      </w:r>
    </w:p>
    <w:p>
      <w:pPr>
        <w:pStyle w:val="843"/>
        <w:numPr>
          <w:ilvl w:val="0"/>
          <w:numId w:val="3"/>
        </w:numPr>
        <w:ind w:left="1070" w:right="100" w:hanging="360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При осуществлении закупки медицинского изделия, участник закупки должен предоставить в составе заявки </w:t>
      </w:r>
      <w:r>
        <w:rPr>
          <w:b/>
          <w:highlight w:val="none"/>
        </w:rPr>
        <w:t xml:space="preserve">один из указанных ниже документов или сведений в отношении каждого предложенного к поставке медицинского изделия  (</w:t>
      </w:r>
      <w:r>
        <w:rPr>
          <w:highlight w:val="none"/>
        </w:rPr>
        <w:t xml:space="preserve">в случае если данный документ указан в п.16.2 настоящей документации о закупке): </w:t>
      </w:r>
      <w:r>
        <w:rPr>
          <w:highlight w:val="none"/>
        </w:rPr>
      </w:r>
    </w:p>
    <w:p>
      <w:pPr>
        <w:pStyle w:val="843"/>
        <w:ind w:left="1070" w:right="100" w:firstLine="0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-копию регистрационного удостоверения; </w:t>
      </w:r>
      <w:r>
        <w:rPr>
          <w:highlight w:val="none"/>
        </w:rPr>
      </w:r>
    </w:p>
    <w:p>
      <w:pPr>
        <w:pStyle w:val="843"/>
        <w:ind w:left="1070" w:right="100" w:firstLine="0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-выписку из Государственного реестра медицинских изделий, выданную Росздравнадзором в соответствии с требованиями постановления Правительства РФ от 30.09.2021 № 1650; </w:t>
      </w:r>
      <w:r>
        <w:rPr>
          <w:highlight w:val="none"/>
        </w:rPr>
      </w:r>
    </w:p>
    <w:p>
      <w:pPr>
        <w:pStyle w:val="843"/>
        <w:ind w:left="1070" w:right="100" w:firstLine="0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- сведения о номере регистрационного удостоверения; </w:t>
      </w:r>
      <w:r>
        <w:rPr>
          <w:highlight w:val="none"/>
        </w:rPr>
      </w:r>
    </w:p>
    <w:p>
      <w:pPr>
        <w:pStyle w:val="843"/>
        <w:ind w:left="1070" w:right="100" w:firstLine="0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- копию документа, выданн</w:t>
      </w:r>
      <w:r>
        <w:rPr>
          <w:highlight w:val="none"/>
        </w:rPr>
        <w:t xml:space="preserve">ого в соответствии с законодательством страны происхождения, подтверждающего регистрацию медицинского изделия в установленном порядке в стране-производителе, с переводом на русский язык, заверенным в установленном порядке (для МИ, указанных в ПП РФ №430). </w:t>
      </w:r>
      <w:r>
        <w:rPr>
          <w:highlight w:val="none"/>
        </w:rPr>
      </w:r>
    </w:p>
    <w:p>
      <w:pPr>
        <w:pStyle w:val="843"/>
        <w:ind w:left="1070" w:right="100" w:firstLine="0"/>
        <w:jc w:val="both"/>
        <w:spacing w:before="0" w:after="240"/>
        <w:shd w:val="clear" w:color="auto" w:fill="auto"/>
        <w:rPr>
          <w:highlight w:val="none"/>
        </w:rPr>
      </w:pPr>
      <w:r>
        <w:rPr>
          <w:highlight w:val="none"/>
        </w:rPr>
        <w:t xml:space="preserve">-номер реестровой записи в Государственном реестре медицинских изделий.</w:t>
      </w:r>
      <w:r>
        <w:rPr>
          <w:highlight w:val="none"/>
        </w:rPr>
      </w:r>
    </w:p>
    <w:p>
      <w:pPr>
        <w:pStyle w:val="843"/>
        <w:ind w:left="1070" w:right="100" w:firstLine="0"/>
        <w:jc w:val="both"/>
        <w:spacing w:before="0" w:after="240"/>
        <w:shd w:val="clear" w:color="auto" w:fill="auto"/>
        <w:rPr>
          <w:bCs/>
          <w:highlight w:val="none"/>
        </w:rPr>
      </w:pPr>
      <w:r>
        <w:rPr>
          <w:highlight w:val="none"/>
        </w:rPr>
        <w:t xml:space="preserve">При этом в случае закупки принадлежности к медицинскому изделию, участник закупки вправе представить в составе заявки регистрационное удостоверение на медицинское изделие, принадлежностью которого является объект закупки.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ind w:left="0" w:right="100" w:firstLine="0"/>
        <w:jc w:val="both"/>
        <w:shd w:val="clear" w:color="auto" w:fill="auto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843"/>
        <w:ind w:left="0" w:right="136" w:firstLine="0"/>
        <w:jc w:val="both"/>
        <w:shd w:val="clear" w:color="auto" w:fill="auto"/>
        <w:tabs>
          <w:tab w:val="left" w:pos="426" w:leader="none"/>
          <w:tab w:val="left" w:pos="1418" w:leader="none"/>
        </w:tabs>
        <w:rPr>
          <w:rFonts w:eastAsia="Calibri"/>
          <w:b/>
          <w:bCs/>
          <w:sz w:val="22"/>
          <w:szCs w:val="22"/>
          <w:highlight w:val="none"/>
        </w:rPr>
      </w:pPr>
      <w:r>
        <w:rPr>
          <w:bCs/>
          <w:highlight w:val="none"/>
        </w:rPr>
        <w:tab/>
        <w:t xml:space="preserve">При несоблю</w:t>
      </w:r>
      <w:r>
        <w:rPr>
          <w:bCs/>
          <w:highlight w:val="none"/>
        </w:rPr>
        <w:t xml:space="preserve">дении указанных требований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bCs/>
          <w:sz w:val="22"/>
          <w:szCs w:val="22"/>
          <w:highlight w:val="none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sz w:val="22"/>
          <w:szCs w:val="22"/>
          <w:highlight w:val="none"/>
        </w:rPr>
      </w:pPr>
      <w:r>
        <w:rPr>
          <w:rFonts w:eastAsia="Calibri"/>
          <w:b/>
          <w:sz w:val="22"/>
          <w:szCs w:val="22"/>
          <w:highlight w:val="none"/>
          <w:lang w:eastAsia="en-US"/>
        </w:rPr>
      </w:r>
      <w:r>
        <w:rPr>
          <w:rFonts w:eastAsia="Calibri"/>
          <w:b/>
          <w:sz w:val="22"/>
          <w:szCs w:val="22"/>
          <w:highlight w:val="none"/>
          <w:lang w:eastAsia="en-US"/>
        </w:rPr>
      </w:r>
      <w:r>
        <w:rPr>
          <w:rFonts w:eastAsia="Calibri"/>
          <w:b/>
          <w:sz w:val="22"/>
          <w:szCs w:val="22"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rFonts w:eastAsia="Calibri"/>
          <w:b/>
          <w:highlight w:val="none"/>
        </w:rPr>
      </w:pPr>
      <w:r>
        <w:rPr>
          <w:rFonts w:eastAsia="Calibri"/>
          <w:b/>
          <w:highlight w:val="none"/>
          <w:lang w:eastAsia="en-US"/>
        </w:rPr>
        <w:t xml:space="preserve">Приложение №2</w:t>
      </w:r>
      <w:r>
        <w:rPr>
          <w:rFonts w:eastAsia="Calibri"/>
          <w:b/>
          <w:highlight w:val="none"/>
          <w:lang w:eastAsia="en-US"/>
        </w:rPr>
      </w:r>
      <w:r>
        <w:rPr>
          <w:rFonts w:eastAsia="Calibri"/>
          <w:b/>
          <w:highlight w:val="none"/>
        </w:rPr>
      </w:r>
    </w:p>
    <w:p>
      <w:pPr>
        <w:pStyle w:val="843"/>
        <w:ind w:left="34" w:right="0" w:firstLine="0"/>
        <w:jc w:val="right"/>
        <w:shd w:val="clear" w:color="auto" w:fill="auto"/>
        <w:rPr>
          <w:highlight w:val="none"/>
        </w:rPr>
      </w:pPr>
      <w:r>
        <w:rPr>
          <w:rFonts w:eastAsia="Calibri"/>
          <w:b/>
          <w:highlight w:val="none"/>
          <w:lang w:eastAsia="en-US"/>
        </w:rPr>
        <w:t xml:space="preserve">Форма декларации</w:t>
      </w:r>
      <w:r>
        <w:rPr>
          <w:highlight w:val="none"/>
        </w:rPr>
      </w:r>
    </w:p>
    <w:p>
      <w:pPr>
        <w:pStyle w:val="843"/>
        <w:jc w:val="center"/>
        <w:shd w:val="clear" w:color="auto" w:fill="auto"/>
        <w:rPr>
          <w:b/>
          <w:highlight w:val="none"/>
        </w:rPr>
      </w:pPr>
      <w:r>
        <w:rPr>
          <w:highlight w:val="none"/>
        </w:rPr>
        <w:t xml:space="preserve">                                                                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jc w:val="center"/>
        <w:shd w:val="clear" w:color="auto" w:fill="auto"/>
        <w:rPr>
          <w:b/>
          <w:highlight w:val="none"/>
        </w:rPr>
      </w:pPr>
      <w:r>
        <w:rPr>
          <w:b/>
          <w:highlight w:val="none"/>
        </w:rPr>
        <w:t xml:space="preserve">Декларация о соответствии Участника закупки требованиям документации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jc w:val="center"/>
        <w:shd w:val="clear" w:color="auto" w:fill="auto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43"/>
        <w:numPr>
          <w:ilvl w:val="0"/>
          <w:numId w:val="0"/>
        </w:numPr>
        <w:ind w:left="0" w:right="0" w:firstLine="708"/>
        <w:jc w:val="both"/>
        <w:keepNext/>
        <w:shd w:val="clear" w:color="auto" w:fill="auto"/>
        <w:rPr>
          <w:b/>
          <w:iCs/>
          <w:highlight w:val="none"/>
        </w:rPr>
        <w:outlineLvl w:val="0"/>
      </w:pPr>
      <w:r>
        <w:rPr>
          <w:highlight w:val="none"/>
          <w:lang w:eastAsia="ar-SA"/>
        </w:rPr>
        <w:t xml:space="preserve">Настоящей декларацией подтверждаем, что   участник закупки на дату подачи заявки на участие в закупке соответствует требованиям, установленным подпунктами 2-6, 8, 10, 11 пункта 14 раздела</w:t>
      </w:r>
      <w:r>
        <w:rPr>
          <w:iCs/>
          <w:highlight w:val="none"/>
        </w:rPr>
        <w:t xml:space="preserve"> </w:t>
      </w:r>
      <w:r>
        <w:rPr>
          <w:iCs/>
          <w:highlight w:val="none"/>
          <w:lang w:val="en-US"/>
        </w:rPr>
        <w:t xml:space="preserve">I</w:t>
      </w:r>
      <w:r>
        <w:rPr>
          <w:b/>
          <w:iCs/>
          <w:highlight w:val="none"/>
        </w:rPr>
        <w:t xml:space="preserve"> </w:t>
      </w:r>
      <w:r>
        <w:rPr>
          <w:highlight w:val="none"/>
          <w:lang w:eastAsia="ar-SA"/>
        </w:rPr>
        <w:t xml:space="preserve">документации о закупке.  </w:t>
      </w:r>
      <w:r>
        <w:rPr>
          <w:b/>
          <w:iCs/>
          <w:highlight w:val="none"/>
          <w:lang w:val="en-US"/>
        </w:rPr>
      </w:r>
      <w:r>
        <w:rPr>
          <w:b/>
          <w:iCs/>
          <w:highlight w:val="none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8" w:right="850" w:bottom="851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aramondNarrowC">
    <w:panose1 w:val="02000603000000000000"/>
  </w:font>
  <w:font w:name="Tahoma">
    <w:panose1 w:val="020B0604030504040204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967"/>
      <w:isLgl w:val="false"/>
      <w:suff w:val="tab"/>
      <w:lvlText w:val=""/>
      <w:lvlJc w:val="left"/>
      <w:pPr>
        <w:ind w:left="6396" w:hanging="360"/>
        <w:tabs>
          <w:tab w:val="num" w:pos="6396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966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1" w:hanging="48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3"/>
    <w:next w:val="843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3"/>
    <w:next w:val="84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3"/>
    <w:next w:val="843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3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3"/>
    <w:next w:val="843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3"/>
    <w:next w:val="843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3"/>
    <w:next w:val="843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3"/>
    <w:next w:val="843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3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3"/>
    <w:next w:val="843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3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3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3"/>
    <w:next w:val="843"/>
    <w:uiPriority w:val="99"/>
    <w:unhideWhenUsed/>
    <w:pPr>
      <w:spacing w:after="0" w:afterAutospacing="0"/>
    </w:pPr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 w:default="1">
    <w:name w:val="Normal"/>
    <w:next w:val="843"/>
    <w:link w:val="843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4">
    <w:name w:val="Заголовок 1"/>
    <w:basedOn w:val="843"/>
    <w:next w:val="843"/>
    <w:link w:val="843"/>
    <w:pPr>
      <w:numPr>
        <w:ilvl w:val="0"/>
        <w:numId w:val="1"/>
      </w:numPr>
      <w:jc w:val="right"/>
      <w:keepNext/>
      <w:outlineLvl w:val="0"/>
    </w:pPr>
    <w:rPr>
      <w:iCs/>
      <w:lang w:val="en-US"/>
    </w:rPr>
  </w:style>
  <w:style w:type="paragraph" w:styleId="845">
    <w:name w:val="Заголовок 2"/>
    <w:basedOn w:val="843"/>
    <w:next w:val="921"/>
    <w:link w:val="843"/>
    <w:pPr>
      <w:numPr>
        <w:ilvl w:val="1"/>
        <w:numId w:val="1"/>
      </w:numPr>
      <w:ind w:left="0" w:right="0" w:firstLine="567"/>
      <w:keepNext/>
      <w:spacing w:before="360" w:after="120"/>
      <w:outlineLvl w:val="1"/>
    </w:pPr>
    <w:rPr>
      <w:b/>
      <w:bCs/>
      <w:szCs w:val="32"/>
      <w:lang w:val="en-US"/>
    </w:rPr>
  </w:style>
  <w:style w:type="paragraph" w:styleId="846">
    <w:name w:val="Заголовок 3"/>
    <w:basedOn w:val="843"/>
    <w:next w:val="843"/>
    <w:link w:val="843"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847">
    <w:name w:val="Заголовок 4"/>
    <w:basedOn w:val="843"/>
    <w:next w:val="843"/>
    <w:link w:val="843"/>
    <w:pPr>
      <w:numPr>
        <w:ilvl w:val="3"/>
        <w:numId w:val="1"/>
      </w:numPr>
      <w:keepLines/>
      <w:keepNext/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character" w:styleId="848">
    <w:name w:val="WW8Num1z0"/>
    <w:next w:val="848"/>
    <w:link w:val="843"/>
    <w:rPr>
      <w:rFonts w:ascii="Symbol" w:hAnsi="Symbol" w:cs="Symbol"/>
    </w:rPr>
  </w:style>
  <w:style w:type="character" w:styleId="849">
    <w:name w:val="WW8Num3z0"/>
    <w:next w:val="849"/>
    <w:link w:val="843"/>
    <w:rPr>
      <w:b w:val="0"/>
    </w:rPr>
  </w:style>
  <w:style w:type="character" w:styleId="850">
    <w:name w:val="WW8Num3z2"/>
    <w:next w:val="850"/>
    <w:link w:val="843"/>
  </w:style>
  <w:style w:type="character" w:styleId="851">
    <w:name w:val="WW8Num4z0"/>
    <w:next w:val="851"/>
    <w:link w:val="843"/>
    <w:rPr>
      <w:rFonts w:ascii="Times New Roman" w:hAnsi="Times New Roman" w:cs="Times New Roman"/>
      <w:b w:val="0"/>
      <w:i w:val="0"/>
      <w:color w:val="ff0000"/>
      <w:sz w:val="24"/>
    </w:rPr>
  </w:style>
  <w:style w:type="character" w:styleId="852">
    <w:name w:val="WW8Num4z1"/>
    <w:next w:val="852"/>
    <w:link w:val="843"/>
  </w:style>
  <w:style w:type="character" w:styleId="853">
    <w:name w:val="WW8Num6z0"/>
    <w:next w:val="853"/>
    <w:link w:val="843"/>
  </w:style>
  <w:style w:type="character" w:styleId="854">
    <w:name w:val="WW8Num6z2"/>
    <w:next w:val="854"/>
    <w:link w:val="843"/>
    <w:rPr>
      <w:b w:val="0"/>
    </w:rPr>
  </w:style>
  <w:style w:type="character" w:styleId="855">
    <w:name w:val="WW8Num7z0"/>
    <w:next w:val="855"/>
    <w:link w:val="843"/>
    <w:rPr>
      <w:rFonts w:ascii="Times New Roman" w:hAnsi="Times New Roman" w:cs="Times New Roman"/>
    </w:rPr>
  </w:style>
  <w:style w:type="character" w:styleId="856">
    <w:name w:val="WW8Num7z1"/>
    <w:next w:val="856"/>
    <w:link w:val="843"/>
    <w:rPr>
      <w:rFonts w:cs="Times New Roman"/>
    </w:rPr>
  </w:style>
  <w:style w:type="character" w:styleId="857">
    <w:name w:val="WW8Num8z0"/>
    <w:next w:val="857"/>
    <w:link w:val="843"/>
    <w:rPr>
      <w:rFonts w:cs="Times New Roman"/>
      <w:b/>
      <w:i w:val="0"/>
      <w:color w:val="000000"/>
      <w:sz w:val="20"/>
      <w:szCs w:val="20"/>
    </w:rPr>
  </w:style>
  <w:style w:type="character" w:styleId="858">
    <w:name w:val="WW8Num8z1"/>
    <w:next w:val="858"/>
    <w:link w:val="843"/>
    <w:rPr>
      <w:rFonts w:cs="Times New Roman"/>
    </w:rPr>
  </w:style>
  <w:style w:type="character" w:styleId="859">
    <w:name w:val="WW8Num9z1"/>
    <w:next w:val="859"/>
    <w:link w:val="843"/>
    <w:rPr>
      <w:b w:val="0"/>
      <w:i w:val="0"/>
      <w:sz w:val="28"/>
      <w:szCs w:val="28"/>
    </w:rPr>
  </w:style>
  <w:style w:type="character" w:styleId="860">
    <w:name w:val="WW8Num9z2"/>
    <w:next w:val="860"/>
    <w:link w:val="843"/>
    <w:rPr>
      <w:rFonts w:ascii="Times New Roman" w:hAnsi="Times New Roman" w:cs="Times New Roman"/>
      <w:b w:val="0"/>
      <w:i w:val="0"/>
      <w:sz w:val="28"/>
      <w:szCs w:val="28"/>
    </w:rPr>
  </w:style>
  <w:style w:type="character" w:styleId="861">
    <w:name w:val="WW8Num9z3"/>
    <w:next w:val="861"/>
    <w:link w:val="843"/>
    <w:rPr>
      <w:sz w:val="28"/>
      <w:szCs w:val="28"/>
    </w:rPr>
  </w:style>
  <w:style w:type="character" w:styleId="862">
    <w:name w:val="WW8Num10z0"/>
    <w:next w:val="862"/>
    <w:link w:val="843"/>
    <w:rPr>
      <w:b/>
    </w:rPr>
  </w:style>
  <w:style w:type="character" w:styleId="863">
    <w:name w:val="WW8Num11z0"/>
    <w:next w:val="863"/>
    <w:link w:val="843"/>
    <w:rPr>
      <w:rFonts w:ascii="Times New Roman" w:hAnsi="Times New Roman" w:eastAsia="Times New Roman" w:cs="Times New Roman"/>
    </w:rPr>
  </w:style>
  <w:style w:type="character" w:styleId="864">
    <w:name w:val="WW8Num11z1"/>
    <w:next w:val="864"/>
    <w:link w:val="843"/>
    <w:rPr>
      <w:rFonts w:ascii="Courier New" w:hAnsi="Courier New" w:cs="Courier New"/>
    </w:rPr>
  </w:style>
  <w:style w:type="character" w:styleId="865">
    <w:name w:val="WW8Num11z2"/>
    <w:next w:val="865"/>
    <w:link w:val="843"/>
    <w:rPr>
      <w:rFonts w:ascii="Wingdings" w:hAnsi="Wingdings" w:cs="Wingdings"/>
    </w:rPr>
  </w:style>
  <w:style w:type="character" w:styleId="866">
    <w:name w:val="WW8Num11z3"/>
    <w:next w:val="866"/>
    <w:link w:val="843"/>
    <w:rPr>
      <w:rFonts w:ascii="Symbol" w:hAnsi="Symbol" w:cs="Symbol"/>
    </w:rPr>
  </w:style>
  <w:style w:type="character" w:styleId="867">
    <w:name w:val="WW8Num13z0"/>
    <w:next w:val="867"/>
    <w:link w:val="843"/>
    <w:rPr>
      <w:b/>
      <w:i w:val="0"/>
      <w:color w:val="000000"/>
    </w:rPr>
  </w:style>
  <w:style w:type="character" w:styleId="868">
    <w:name w:val="WW8Num14z0"/>
    <w:next w:val="868"/>
    <w:link w:val="843"/>
  </w:style>
  <w:style w:type="character" w:styleId="869">
    <w:name w:val="WW8Num16z0"/>
    <w:next w:val="869"/>
    <w:link w:val="843"/>
    <w:rPr>
      <w:b/>
      <w:sz w:val="24"/>
    </w:rPr>
  </w:style>
  <w:style w:type="character" w:styleId="870">
    <w:name w:val="WW8Num17z0"/>
    <w:next w:val="870"/>
    <w:link w:val="843"/>
  </w:style>
  <w:style w:type="character" w:styleId="871">
    <w:name w:val="WW8Num17z2"/>
    <w:next w:val="871"/>
    <w:link w:val="843"/>
    <w:rPr>
      <w:rFonts w:ascii="Times New Roman" w:hAnsi="Times New Roman" w:eastAsia="Times New Roman" w:cs="Times New Roman"/>
    </w:rPr>
  </w:style>
  <w:style w:type="character" w:styleId="872">
    <w:name w:val="WW8Num19z0"/>
    <w:next w:val="872"/>
    <w:link w:val="843"/>
    <w:rPr>
      <w:rFonts w:ascii="Times New Roman" w:hAnsi="Times New Roman" w:cs="Times New Roman"/>
      <w:b/>
      <w:sz w:val="22"/>
    </w:rPr>
  </w:style>
  <w:style w:type="character" w:styleId="873">
    <w:name w:val="WW8Num19z1"/>
    <w:next w:val="873"/>
    <w:link w:val="843"/>
  </w:style>
  <w:style w:type="character" w:styleId="874">
    <w:name w:val="WW8Num20z0"/>
    <w:next w:val="874"/>
    <w:link w:val="843"/>
    <w:rPr>
      <w:sz w:val="22"/>
    </w:rPr>
  </w:style>
  <w:style w:type="character" w:styleId="875">
    <w:name w:val="WW8Num21z0"/>
    <w:next w:val="875"/>
    <w:link w:val="843"/>
    <w:rPr>
      <w:b/>
    </w:rPr>
  </w:style>
  <w:style w:type="character" w:styleId="876">
    <w:name w:val="Основной шрифт абзаца"/>
    <w:next w:val="876"/>
    <w:link w:val="843"/>
  </w:style>
  <w:style w:type="character" w:styleId="877">
    <w:name w:val="Заголовок 1 Знак"/>
    <w:next w:val="877"/>
    <w:link w:val="843"/>
    <w:rPr>
      <w:rFonts w:ascii="Times New Roman" w:hAnsi="Times New Roman" w:eastAsia="Times New Roman" w:cs="Times New Roman"/>
      <w:iCs/>
      <w:sz w:val="24"/>
      <w:szCs w:val="24"/>
    </w:rPr>
  </w:style>
  <w:style w:type="character" w:styleId="878">
    <w:name w:val="Заголовок 2 Знак"/>
    <w:next w:val="878"/>
    <w:link w:val="843"/>
    <w:rPr>
      <w:rFonts w:ascii="Times New Roman" w:hAnsi="Times New Roman" w:eastAsia="Times New Roman" w:cs="Times New Roman"/>
      <w:b/>
      <w:bCs/>
      <w:sz w:val="24"/>
      <w:szCs w:val="32"/>
    </w:rPr>
  </w:style>
  <w:style w:type="character" w:styleId="879">
    <w:name w:val="Заголовок 3 Знак"/>
    <w:next w:val="879"/>
    <w:link w:val="843"/>
    <w:rPr>
      <w:rFonts w:ascii="Cambria" w:hAnsi="Cambria" w:eastAsia="Times New Roman" w:cs="Times New Roman"/>
      <w:b/>
      <w:bCs/>
      <w:sz w:val="26"/>
      <w:szCs w:val="26"/>
    </w:rPr>
  </w:style>
  <w:style w:type="character" w:styleId="880">
    <w:name w:val="Интернет-ссылка"/>
    <w:next w:val="880"/>
    <w:link w:val="843"/>
    <w:rPr>
      <w:color w:val="0000ff"/>
      <w:u w:val="single"/>
    </w:rPr>
  </w:style>
  <w:style w:type="character" w:styleId="881">
    <w:name w:val="Пункт Знак1"/>
    <w:next w:val="881"/>
    <w:link w:val="843"/>
    <w:rPr>
      <w:rFonts w:ascii="Times New Roman" w:hAnsi="Times New Roman" w:eastAsia="Times New Roman" w:cs="Times New Roman"/>
      <w:sz w:val="28"/>
      <w:szCs w:val="28"/>
    </w:rPr>
  </w:style>
  <w:style w:type="character" w:styleId="882">
    <w:name w:val="Абзац списка Знак"/>
    <w:next w:val="882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83">
    <w:name w:val="Обычный (веб) Знак"/>
    <w:next w:val="883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84">
    <w:name w:val="Основной текст с отступом 2 Знак"/>
    <w:next w:val="884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885">
    <w:name w:val="Основной текст с отступом 3 Знак"/>
    <w:next w:val="885"/>
    <w:rPr>
      <w:rFonts w:ascii="Times New Roman" w:hAnsi="Times New Roman" w:eastAsia="Times New Roman" w:cs="Times New Roman"/>
      <w:sz w:val="16"/>
      <w:szCs w:val="16"/>
    </w:rPr>
  </w:style>
  <w:style w:type="character" w:styleId="886">
    <w:name w:val="Основной текст Знак"/>
    <w:next w:val="886"/>
    <w:rPr>
      <w:rFonts w:ascii="Times New Roman" w:hAnsi="Times New Roman" w:eastAsia="Times New Roman" w:cs="Times New Roman"/>
      <w:sz w:val="24"/>
      <w:szCs w:val="24"/>
    </w:rPr>
  </w:style>
  <w:style w:type="character" w:styleId="887">
    <w:name w:val="Подподпункт Знак"/>
    <w:next w:val="887"/>
    <w:link w:val="843"/>
    <w:rPr>
      <w:rFonts w:ascii="Times New Roman" w:hAnsi="Times New Roman" w:eastAsia="Times New Roman" w:cs="Times New Roman"/>
      <w:bCs/>
    </w:rPr>
  </w:style>
  <w:style w:type="character" w:styleId="888">
    <w:name w:val="Ариал Знак1"/>
    <w:next w:val="888"/>
    <w:link w:val="843"/>
    <w:rPr>
      <w:rFonts w:ascii="Arial" w:hAnsi="Arial" w:eastAsia="Times New Roman" w:cs="Arial"/>
      <w:sz w:val="24"/>
      <w:szCs w:val="24"/>
    </w:rPr>
  </w:style>
  <w:style w:type="character" w:styleId="889">
    <w:name w:val="Ариал Таблица Знак"/>
    <w:next w:val="889"/>
    <w:link w:val="843"/>
    <w:rPr>
      <w:rFonts w:ascii="Arial" w:hAnsi="Arial" w:eastAsia="Times New Roman" w:cs="Arial"/>
      <w:sz w:val="24"/>
      <w:szCs w:val="20"/>
    </w:rPr>
  </w:style>
  <w:style w:type="character" w:styleId="890">
    <w:name w:val="ConsPlusNormal Знак"/>
    <w:next w:val="890"/>
    <w:link w:val="843"/>
    <w:rPr>
      <w:rFonts w:ascii="Arial" w:hAnsi="Arial" w:eastAsia="Times New Roman" w:cs="Arial"/>
      <w:lang w:bidi="ar-SA"/>
    </w:rPr>
  </w:style>
  <w:style w:type="character" w:styleId="891">
    <w:name w:val="Верхний колонтитул Знак"/>
    <w:next w:val="891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92">
    <w:name w:val="Стиль Знак"/>
    <w:next w:val="892"/>
    <w:link w:val="843"/>
    <w:rPr>
      <w:rFonts w:ascii="Times New Roman" w:hAnsi="Times New Roman" w:cs="Times New Roman"/>
      <w:b/>
      <w:lang w:val="ru-RU" w:bidi="ar-SA"/>
    </w:rPr>
  </w:style>
  <w:style w:type="character" w:styleId="893">
    <w:name w:val="databind"/>
    <w:next w:val="893"/>
    <w:link w:val="843"/>
    <w:rPr>
      <w:i/>
      <w:iCs/>
      <w:color w:val="777777"/>
    </w:rPr>
  </w:style>
  <w:style w:type="character" w:styleId="894">
    <w:name w:val="Нижний колонтитул Знак"/>
    <w:next w:val="894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95">
    <w:name w:val="Подзаголовок Знак"/>
    <w:next w:val="895"/>
    <w:link w:val="843"/>
    <w:rPr>
      <w:rFonts w:ascii="Arial" w:hAnsi="Arial" w:eastAsia="Times New Roman" w:cs="Arial"/>
      <w:sz w:val="24"/>
      <w:szCs w:val="24"/>
    </w:rPr>
  </w:style>
  <w:style w:type="character" w:styleId="896">
    <w:name w:val="apple-style-span"/>
    <w:next w:val="896"/>
    <w:link w:val="843"/>
  </w:style>
  <w:style w:type="character" w:styleId="897">
    <w:name w:val="Текст выноски Знак"/>
    <w:next w:val="897"/>
    <w:link w:val="843"/>
    <w:rPr>
      <w:rFonts w:ascii="Tahoma" w:hAnsi="Tahoma" w:eastAsia="Times New Roman" w:cs="Tahoma"/>
      <w:sz w:val="16"/>
      <w:szCs w:val="16"/>
    </w:rPr>
  </w:style>
  <w:style w:type="character" w:styleId="898">
    <w:name w:val="Текст Знак"/>
    <w:next w:val="898"/>
    <w:link w:val="843"/>
    <w:rPr>
      <w:rFonts w:ascii="Courier New" w:hAnsi="Courier New" w:eastAsia="Times New Roman" w:cs="Times New Roman"/>
      <w:sz w:val="20"/>
      <w:szCs w:val="20"/>
    </w:rPr>
  </w:style>
  <w:style w:type="character" w:styleId="899">
    <w:name w:val="Font Style24"/>
    <w:next w:val="899"/>
    <w:link w:val="843"/>
    <w:rPr>
      <w:rFonts w:ascii="Times New Roman" w:hAnsi="Times New Roman" w:cs="Times New Roman"/>
      <w:color w:val="000000"/>
      <w:sz w:val="20"/>
      <w:szCs w:val="20"/>
    </w:rPr>
  </w:style>
  <w:style w:type="character" w:styleId="900">
    <w:name w:val="txt-data-item1"/>
    <w:next w:val="900"/>
    <w:link w:val="843"/>
    <w:rPr>
      <w:strike w:val="0"/>
      <w:color w:val="222222"/>
      <w:u w:val="none"/>
    </w:rPr>
  </w:style>
  <w:style w:type="character" w:styleId="901">
    <w:name w:val="Font Style12"/>
    <w:next w:val="901"/>
    <w:link w:val="843"/>
    <w:rPr>
      <w:rFonts w:ascii="Times New Roman" w:hAnsi="Times New Roman" w:cs="Times New Roman"/>
      <w:b/>
      <w:bCs/>
      <w:sz w:val="26"/>
      <w:szCs w:val="26"/>
    </w:rPr>
  </w:style>
  <w:style w:type="character" w:styleId="902">
    <w:name w:val="Font Style13"/>
    <w:next w:val="902"/>
    <w:link w:val="843"/>
    <w:rPr>
      <w:rFonts w:ascii="Times New Roman" w:hAnsi="Times New Roman" w:cs="Times New Roman"/>
      <w:color w:val="000000"/>
      <w:sz w:val="22"/>
      <w:szCs w:val="22"/>
    </w:rPr>
  </w:style>
  <w:style w:type="character" w:styleId="903">
    <w:name w:val="Сильный акцент"/>
    <w:next w:val="903"/>
    <w:link w:val="843"/>
    <w:rPr>
      <w:b/>
      <w:bCs/>
    </w:rPr>
  </w:style>
  <w:style w:type="character" w:styleId="904">
    <w:name w:val="Акцент"/>
    <w:next w:val="904"/>
    <w:link w:val="843"/>
    <w:rPr>
      <w:i/>
      <w:iCs/>
    </w:rPr>
  </w:style>
  <w:style w:type="character" w:styleId="905">
    <w:name w:val="Знак примечания"/>
    <w:next w:val="905"/>
    <w:link w:val="843"/>
    <w:rPr>
      <w:sz w:val="16"/>
      <w:szCs w:val="16"/>
    </w:rPr>
  </w:style>
  <w:style w:type="character" w:styleId="906">
    <w:name w:val="Текст примечания Знак"/>
    <w:next w:val="906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907">
    <w:name w:val="Тема примечания Знак"/>
    <w:next w:val="907"/>
    <w:link w:val="843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908">
    <w:name w:val="Название Знак"/>
    <w:next w:val="908"/>
    <w:link w:val="843"/>
    <w:rPr>
      <w:rFonts w:ascii="Times New Roman" w:hAnsi="Times New Roman" w:eastAsia="Times New Roman" w:cs="Times New Roman"/>
      <w:b/>
      <w:spacing w:val="5"/>
      <w:sz w:val="28"/>
      <w:szCs w:val="52"/>
    </w:rPr>
  </w:style>
  <w:style w:type="character" w:styleId="909">
    <w:name w:val="Стиль (латиница) Arial 8 пт Синий"/>
    <w:next w:val="909"/>
    <w:link w:val="843"/>
    <w:rPr>
      <w:rFonts w:ascii="Times New Roman" w:hAnsi="Times New Roman" w:cs="Times New Roman"/>
      <w:color w:val="0000ff"/>
      <w:sz w:val="24"/>
    </w:rPr>
  </w:style>
  <w:style w:type="character" w:styleId="910">
    <w:name w:val="Основной текст с отступом Знак"/>
    <w:next w:val="910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911">
    <w:name w:val="Font Style15"/>
    <w:next w:val="911"/>
    <w:rPr>
      <w:rFonts w:ascii="Times New Roman" w:hAnsi="Times New Roman" w:cs="Times New Roman"/>
      <w:sz w:val="20"/>
      <w:szCs w:val="20"/>
    </w:rPr>
  </w:style>
  <w:style w:type="character" w:styleId="912">
    <w:name w:val="ty-product-feature__label"/>
    <w:basedOn w:val="876"/>
    <w:next w:val="912"/>
    <w:link w:val="843"/>
  </w:style>
  <w:style w:type="character" w:styleId="913">
    <w:name w:val="Текст сноски Знак"/>
    <w:next w:val="913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914">
    <w:name w:val="Символ сноски"/>
    <w:next w:val="914"/>
    <w:link w:val="843"/>
    <w:rPr>
      <w:vertAlign w:val="superscript"/>
    </w:rPr>
  </w:style>
  <w:style w:type="character" w:styleId="915">
    <w:name w:val="Заголовок 4 Знак"/>
    <w:next w:val="915"/>
    <w:link w:val="843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paragraph" w:styleId="916">
    <w:name w:val="Заголовок"/>
    <w:basedOn w:val="843"/>
    <w:next w:val="843"/>
    <w:link w:val="843"/>
    <w:pPr>
      <w:contextualSpacing/>
      <w:jc w:val="center"/>
      <w:keepLines/>
      <w:keepNext/>
      <w:spacing w:before="120" w:after="300"/>
      <w:outlineLvl w:val="0"/>
    </w:pPr>
    <w:rPr>
      <w:b/>
      <w:spacing w:val="5"/>
      <w:sz w:val="28"/>
      <w:szCs w:val="52"/>
      <w:lang w:val="en-US"/>
    </w:rPr>
  </w:style>
  <w:style w:type="paragraph" w:styleId="917">
    <w:name w:val="Основной текст"/>
    <w:basedOn w:val="843"/>
    <w:next w:val="917"/>
    <w:link w:val="843"/>
    <w:pPr>
      <w:spacing w:before="0" w:after="120"/>
    </w:pPr>
    <w:rPr>
      <w:lang w:val="en-US"/>
    </w:rPr>
  </w:style>
  <w:style w:type="paragraph" w:styleId="918">
    <w:name w:val="Список"/>
    <w:basedOn w:val="917"/>
    <w:next w:val="918"/>
    <w:link w:val="843"/>
    <w:rPr>
      <w:rFonts w:ascii="PT Astra Serif" w:hAnsi="PT Astra Serif" w:cs="Noto Sans Devanagari"/>
    </w:rPr>
  </w:style>
  <w:style w:type="paragraph" w:styleId="919">
    <w:name w:val="Название"/>
    <w:basedOn w:val="843"/>
    <w:next w:val="919"/>
    <w:link w:val="84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20">
    <w:name w:val="Указатель"/>
    <w:basedOn w:val="843"/>
    <w:next w:val="920"/>
    <w:link w:val="843"/>
    <w:pPr>
      <w:suppressLineNumbers/>
    </w:pPr>
    <w:rPr>
      <w:rFonts w:ascii="PT Astra Serif" w:hAnsi="PT Astra Serif" w:cs="Noto Sans Devanagari"/>
    </w:rPr>
  </w:style>
  <w:style w:type="paragraph" w:styleId="921">
    <w:name w:val="Пункт-3"/>
    <w:basedOn w:val="843"/>
    <w:next w:val="921"/>
    <w:link w:val="843"/>
    <w:pPr>
      <w:ind w:left="1" w:right="0" w:firstLine="567"/>
      <w:jc w:val="both"/>
      <w:spacing w:line="288" w:lineRule="auto"/>
    </w:pPr>
  </w:style>
  <w:style w:type="paragraph" w:styleId="922">
    <w:name w:val="Оглавление 2"/>
    <w:basedOn w:val="843"/>
    <w:next w:val="843"/>
    <w:link w:val="843"/>
    <w:pPr>
      <w:ind w:left="0" w:right="74" w:firstLine="0"/>
    </w:pPr>
    <w:rPr>
      <w:rFonts w:ascii="Arial" w:hAnsi="Arial" w:cs="Arial"/>
      <w:b/>
      <w:bCs/>
      <w:sz w:val="18"/>
      <w:szCs w:val="20"/>
    </w:rPr>
  </w:style>
  <w:style w:type="paragraph" w:styleId="923">
    <w:name w:val="Оглавление 1"/>
    <w:basedOn w:val="843"/>
    <w:next w:val="843"/>
    <w:link w:val="843"/>
    <w:pPr>
      <w:ind w:left="426" w:right="0" w:hanging="426"/>
    </w:pPr>
    <w:rPr>
      <w:b/>
      <w:szCs w:val="20"/>
    </w:rPr>
  </w:style>
  <w:style w:type="paragraph" w:styleId="924">
    <w:name w:val="Пункт"/>
    <w:basedOn w:val="843"/>
    <w:next w:val="924"/>
    <w:link w:val="843"/>
    <w:pPr>
      <w:jc w:val="both"/>
      <w:spacing w:line="360" w:lineRule="auto"/>
    </w:pPr>
    <w:rPr>
      <w:sz w:val="28"/>
      <w:szCs w:val="28"/>
      <w:lang w:val="en-US"/>
    </w:rPr>
  </w:style>
  <w:style w:type="paragraph" w:styleId="925">
    <w:name w:val="Абзац списка"/>
    <w:basedOn w:val="843"/>
    <w:next w:val="925"/>
    <w:link w:val="843"/>
    <w:pPr>
      <w:contextualSpacing/>
      <w:ind w:left="720" w:right="0" w:firstLine="0"/>
      <w:spacing w:before="0" w:after="0"/>
    </w:pPr>
    <w:rPr>
      <w:lang w:val="en-US"/>
    </w:rPr>
  </w:style>
  <w:style w:type="paragraph" w:styleId="926">
    <w:name w:val="Обычный (веб)"/>
    <w:basedOn w:val="843"/>
    <w:next w:val="926"/>
    <w:link w:val="843"/>
    <w:pPr>
      <w:spacing w:before="280" w:after="280"/>
    </w:pPr>
    <w:rPr>
      <w:lang w:val="en-US"/>
    </w:rPr>
  </w:style>
  <w:style w:type="paragraph" w:styleId="927">
    <w:name w:val="Продолжение списка"/>
    <w:basedOn w:val="843"/>
    <w:next w:val="927"/>
    <w:link w:val="843"/>
    <w:pPr>
      <w:ind w:left="283" w:right="0" w:firstLine="0"/>
      <w:spacing w:before="0" w:after="120"/>
    </w:pPr>
  </w:style>
  <w:style w:type="paragraph" w:styleId="928">
    <w:name w:val="Стиль5"/>
    <w:basedOn w:val="843"/>
    <w:next w:val="928"/>
    <w:link w:val="843"/>
    <w:pPr>
      <w:jc w:val="both"/>
      <w:spacing w:line="360" w:lineRule="auto"/>
    </w:pPr>
    <w:rPr>
      <w:bCs/>
      <w:sz w:val="22"/>
      <w:szCs w:val="22"/>
    </w:rPr>
  </w:style>
  <w:style w:type="paragraph" w:styleId="929">
    <w:name w:val="Пункт-4"/>
    <w:basedOn w:val="843"/>
    <w:next w:val="929"/>
    <w:link w:val="843"/>
    <w:pPr>
      <w:ind w:left="-283" w:right="0" w:firstLine="567"/>
      <w:jc w:val="both"/>
      <w:spacing w:line="288" w:lineRule="auto"/>
    </w:pPr>
    <w:rPr>
      <w:sz w:val="28"/>
    </w:rPr>
  </w:style>
  <w:style w:type="paragraph" w:styleId="930">
    <w:name w:val="Пункт-5"/>
    <w:basedOn w:val="843"/>
    <w:next w:val="930"/>
    <w:link w:val="843"/>
    <w:pPr>
      <w:ind w:left="0" w:right="0" w:firstLine="567"/>
      <w:jc w:val="both"/>
      <w:spacing w:line="288" w:lineRule="auto"/>
    </w:pPr>
    <w:rPr>
      <w:sz w:val="28"/>
    </w:rPr>
  </w:style>
  <w:style w:type="paragraph" w:styleId="931">
    <w:name w:val="Пункт-6"/>
    <w:basedOn w:val="843"/>
    <w:next w:val="931"/>
    <w:link w:val="843"/>
    <w:pPr>
      <w:ind w:left="568" w:right="0" w:firstLine="567"/>
      <w:jc w:val="both"/>
      <w:spacing w:line="288" w:lineRule="auto"/>
    </w:pPr>
    <w:rPr>
      <w:sz w:val="28"/>
    </w:rPr>
  </w:style>
  <w:style w:type="paragraph" w:styleId="932">
    <w:name w:val="Пункт-7"/>
    <w:basedOn w:val="843"/>
    <w:next w:val="932"/>
    <w:link w:val="843"/>
    <w:pPr>
      <w:ind w:left="0" w:right="0" w:firstLine="567"/>
      <w:jc w:val="both"/>
      <w:spacing w:line="288" w:lineRule="auto"/>
    </w:pPr>
    <w:rPr>
      <w:sz w:val="28"/>
    </w:rPr>
  </w:style>
  <w:style w:type="paragraph" w:styleId="933">
    <w:name w:val="Основной текст с отступом 2"/>
    <w:basedOn w:val="843"/>
    <w:next w:val="933"/>
    <w:link w:val="843"/>
    <w:pPr>
      <w:ind w:left="283" w:right="0" w:firstLine="0"/>
      <w:spacing w:before="0" w:after="120" w:line="480" w:lineRule="auto"/>
    </w:pPr>
    <w:rPr>
      <w:sz w:val="20"/>
      <w:szCs w:val="20"/>
      <w:lang w:val="en-US"/>
    </w:rPr>
  </w:style>
  <w:style w:type="paragraph" w:styleId="934">
    <w:name w:val="3"/>
    <w:basedOn w:val="843"/>
    <w:next w:val="934"/>
    <w:link w:val="843"/>
    <w:pPr>
      <w:jc w:val="both"/>
    </w:pPr>
  </w:style>
  <w:style w:type="paragraph" w:styleId="935">
    <w:name w:val="02statia2"/>
    <w:basedOn w:val="843"/>
    <w:next w:val="935"/>
    <w:link w:val="843"/>
    <w:pPr>
      <w:ind w:left="2020" w:right="0" w:hanging="880"/>
      <w:jc w:val="both"/>
      <w:spacing w:before="120" w:after="0" w:line="320" w:lineRule="atLeast"/>
    </w:pPr>
    <w:rPr>
      <w:rFonts w:ascii="GaramondNarrowC" w:hAnsi="GaramondNarrowC" w:cs="GaramondNarrowC"/>
      <w:color w:val="000000"/>
      <w:sz w:val="21"/>
      <w:szCs w:val="21"/>
    </w:rPr>
  </w:style>
  <w:style w:type="paragraph" w:styleId="936">
    <w:name w:val="Основной текст с отступом 3"/>
    <w:basedOn w:val="843"/>
    <w:next w:val="936"/>
    <w:link w:val="843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937">
    <w:name w:val="Оглавление 3"/>
    <w:basedOn w:val="843"/>
    <w:next w:val="843"/>
    <w:link w:val="843"/>
    <w:pPr>
      <w:ind w:left="480" w:right="0" w:firstLine="0"/>
      <w:spacing w:before="0" w:after="100"/>
    </w:pPr>
  </w:style>
  <w:style w:type="paragraph" w:styleId="938">
    <w:name w:val="Таблица шапка"/>
    <w:basedOn w:val="843"/>
    <w:next w:val="938"/>
    <w:link w:val="843"/>
    <w:pPr>
      <w:ind w:left="57" w:right="57" w:firstLine="0"/>
      <w:keepNext/>
      <w:spacing w:before="40" w:after="40"/>
    </w:pPr>
    <w:rPr>
      <w:sz w:val="22"/>
      <w:szCs w:val="20"/>
    </w:rPr>
  </w:style>
  <w:style w:type="paragraph" w:styleId="939">
    <w:name w:val="Таблица текст"/>
    <w:basedOn w:val="843"/>
    <w:next w:val="939"/>
    <w:link w:val="843"/>
    <w:pPr>
      <w:ind w:left="57" w:right="57" w:firstLine="0"/>
      <w:spacing w:before="40" w:after="40"/>
    </w:pPr>
    <w:rPr>
      <w:szCs w:val="20"/>
    </w:rPr>
  </w:style>
  <w:style w:type="paragraph" w:styleId="940">
    <w:name w:val="Times 12"/>
    <w:basedOn w:val="843"/>
    <w:next w:val="940"/>
    <w:link w:val="843"/>
    <w:pPr>
      <w:ind w:left="0" w:right="0" w:firstLine="567"/>
      <w:jc w:val="both"/>
    </w:pPr>
    <w:rPr>
      <w:bCs/>
      <w:szCs w:val="22"/>
    </w:rPr>
  </w:style>
  <w:style w:type="paragraph" w:styleId="941">
    <w:name w:val="Подподпункт"/>
    <w:basedOn w:val="843"/>
    <w:next w:val="941"/>
    <w:link w:val="843"/>
    <w:pPr>
      <w:ind w:left="0" w:right="0" w:firstLine="567"/>
      <w:jc w:val="both"/>
      <w:spacing w:line="360" w:lineRule="auto"/>
    </w:pPr>
    <w:rPr>
      <w:bCs/>
      <w:sz w:val="20"/>
      <w:szCs w:val="20"/>
      <w:lang w:val="en-US"/>
    </w:rPr>
  </w:style>
  <w:style w:type="paragraph" w:styleId="942">
    <w:name w:val="Ариал"/>
    <w:basedOn w:val="843"/>
    <w:next w:val="942"/>
    <w:link w:val="843"/>
    <w:pPr>
      <w:ind w:left="0" w:right="0" w:firstLine="851"/>
      <w:jc w:val="both"/>
      <w:spacing w:before="120" w:after="120" w:line="360" w:lineRule="auto"/>
    </w:pPr>
    <w:rPr>
      <w:rFonts w:ascii="Arial" w:hAnsi="Arial" w:cs="Arial"/>
      <w:lang w:val="en-US"/>
    </w:rPr>
  </w:style>
  <w:style w:type="paragraph" w:styleId="943">
    <w:name w:val="Пункт б/н"/>
    <w:basedOn w:val="843"/>
    <w:next w:val="943"/>
    <w:link w:val="843"/>
    <w:pPr>
      <w:ind w:left="0" w:right="0" w:firstLine="567"/>
      <w:jc w:val="both"/>
      <w:spacing w:line="360" w:lineRule="auto"/>
    </w:pPr>
    <w:rPr>
      <w:bCs/>
      <w:sz w:val="22"/>
      <w:szCs w:val="22"/>
    </w:rPr>
  </w:style>
  <w:style w:type="paragraph" w:styleId="944">
    <w:name w:val="Ариал Таблица"/>
    <w:basedOn w:val="942"/>
    <w:next w:val="944"/>
    <w:link w:val="843"/>
    <w:pPr>
      <w:ind w:left="0" w:right="0" w:firstLine="0"/>
      <w:spacing w:before="0" w:after="0" w:line="240" w:lineRule="auto"/>
      <w:widowControl w:val="off"/>
    </w:pPr>
    <w:rPr>
      <w:szCs w:val="20"/>
    </w:rPr>
  </w:style>
  <w:style w:type="paragraph" w:styleId="945">
    <w:name w:val="Стиль3 Знак"/>
    <w:basedOn w:val="933"/>
    <w:next w:val="945"/>
    <w:link w:val="843"/>
    <w:pPr>
      <w:ind w:left="0" w:right="0" w:firstLine="0"/>
      <w:jc w:val="both"/>
      <w:spacing w:before="0" w:after="0" w:line="240" w:lineRule="auto"/>
      <w:widowControl w:val="off"/>
    </w:pPr>
    <w:rPr>
      <w:sz w:val="24"/>
    </w:rPr>
  </w:style>
  <w:style w:type="paragraph" w:styleId="946">
    <w:name w:val="ConsPlusNormal"/>
    <w:next w:val="946"/>
    <w:link w:val="843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47">
    <w:name w:val="Колонтитул"/>
    <w:basedOn w:val="843"/>
    <w:next w:val="947"/>
    <w:pPr>
      <w:tabs>
        <w:tab w:val="center" w:pos="4819" w:leader="none"/>
        <w:tab w:val="right" w:pos="9638" w:leader="none"/>
      </w:tabs>
      <w:suppressLineNumbers/>
    </w:pPr>
  </w:style>
  <w:style w:type="paragraph" w:styleId="948">
    <w:name w:val="Верхний колонтитул"/>
    <w:basedOn w:val="843"/>
    <w:next w:val="948"/>
    <w:link w:val="843"/>
    <w:pPr>
      <w:spacing w:before="0" w:after="32"/>
    </w:pPr>
    <w:rPr>
      <w:lang w:val="en-US"/>
    </w:rPr>
  </w:style>
  <w:style w:type="paragraph" w:styleId="949">
    <w:name w:val="Стиль"/>
    <w:next w:val="949"/>
    <w:link w:val="843"/>
    <w:pPr>
      <w:ind w:left="426" w:right="0" w:hanging="426"/>
      <w:jc w:val="center"/>
      <w:spacing w:before="120" w:after="120"/>
      <w:widowControl w:val="off"/>
    </w:pPr>
    <w:rPr>
      <w:rFonts w:ascii="Times New Roman" w:hAnsi="Times New Roman" w:eastAsia="Calibri" w:cs="Times New Roman"/>
      <w:b/>
      <w:color w:val="auto"/>
      <w:sz w:val="20"/>
      <w:szCs w:val="20"/>
      <w:lang w:val="ru-RU" w:eastAsia="zh-CN" w:bidi="ar-SA"/>
    </w:rPr>
  </w:style>
  <w:style w:type="paragraph" w:styleId="950">
    <w:name w:val="paragraph"/>
    <w:basedOn w:val="843"/>
    <w:next w:val="950"/>
    <w:link w:val="843"/>
    <w:pPr>
      <w:ind w:left="0" w:right="0" w:firstLine="567"/>
    </w:pPr>
  </w:style>
  <w:style w:type="paragraph" w:styleId="951">
    <w:name w:val="Нижний колонтитул"/>
    <w:basedOn w:val="843"/>
    <w:next w:val="951"/>
    <w:link w:val="843"/>
    <w:rPr>
      <w:lang w:val="en-US"/>
    </w:rPr>
  </w:style>
  <w:style w:type="paragraph" w:styleId="952">
    <w:name w:val="Подзаголовок"/>
    <w:basedOn w:val="843"/>
    <w:next w:val="917"/>
    <w:link w:val="843"/>
    <w:pPr>
      <w:jc w:val="center"/>
      <w:spacing w:before="0" w:after="60"/>
      <w:outlineLvl w:val="1"/>
    </w:pPr>
    <w:rPr>
      <w:rFonts w:ascii="Arial" w:hAnsi="Arial" w:cs="Arial"/>
      <w:lang w:val="en-US"/>
    </w:rPr>
  </w:style>
  <w:style w:type="paragraph" w:styleId="953">
    <w:name w:val="Без интервала"/>
    <w:next w:val="953"/>
    <w:link w:val="843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954">
    <w:name w:val="Текст выноски"/>
    <w:basedOn w:val="843"/>
    <w:next w:val="954"/>
    <w:link w:val="843"/>
    <w:rPr>
      <w:rFonts w:ascii="Tahoma" w:hAnsi="Tahoma" w:cs="Tahoma"/>
      <w:sz w:val="16"/>
      <w:szCs w:val="16"/>
      <w:lang w:val="en-US"/>
    </w:rPr>
  </w:style>
  <w:style w:type="paragraph" w:styleId="955">
    <w:name w:val="Текст"/>
    <w:basedOn w:val="843"/>
    <w:next w:val="955"/>
    <w:link w:val="843"/>
    <w:rPr>
      <w:rFonts w:ascii="Courier New" w:hAnsi="Courier New" w:cs="Courier New"/>
      <w:sz w:val="20"/>
      <w:szCs w:val="20"/>
      <w:lang w:val="en-US"/>
    </w:rPr>
  </w:style>
  <w:style w:type="paragraph" w:styleId="956">
    <w:name w:val="western"/>
    <w:basedOn w:val="843"/>
    <w:next w:val="956"/>
    <w:link w:val="843"/>
    <w:pPr>
      <w:spacing w:before="280" w:after="280"/>
    </w:pPr>
  </w:style>
  <w:style w:type="paragraph" w:styleId="957">
    <w:name w:val="Пункт_3"/>
    <w:basedOn w:val="843"/>
    <w:next w:val="957"/>
    <w:link w:val="843"/>
    <w:pPr>
      <w:ind w:left="2302" w:right="0" w:hanging="360"/>
      <w:jc w:val="both"/>
    </w:pPr>
    <w:rPr>
      <w:sz w:val="28"/>
      <w:szCs w:val="28"/>
    </w:rPr>
  </w:style>
  <w:style w:type="paragraph" w:styleId="958">
    <w:name w:val="Текст примечания"/>
    <w:basedOn w:val="843"/>
    <w:next w:val="958"/>
    <w:link w:val="843"/>
    <w:rPr>
      <w:sz w:val="20"/>
      <w:szCs w:val="20"/>
      <w:lang w:val="en-US"/>
    </w:rPr>
  </w:style>
  <w:style w:type="paragraph" w:styleId="959">
    <w:name w:val="Тема примечания"/>
    <w:basedOn w:val="958"/>
    <w:next w:val="958"/>
    <w:link w:val="843"/>
    <w:rPr>
      <w:b/>
      <w:bCs/>
    </w:rPr>
  </w:style>
  <w:style w:type="paragraph" w:styleId="960">
    <w:name w:val="Normal unindented"/>
    <w:next w:val="960"/>
    <w:link w:val="843"/>
    <w:pPr>
      <w:jc w:val="both"/>
      <w:spacing w:before="120" w:after="120" w:line="276" w:lineRule="auto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961">
    <w:name w:val="ConsPlusNonformat"/>
    <w:next w:val="961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62">
    <w:name w:val="ConsNonformat"/>
    <w:next w:val="962"/>
    <w:link w:val="843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63">
    <w:name w:val="Text Normal"/>
    <w:basedOn w:val="843"/>
    <w:next w:val="963"/>
    <w:link w:val="843"/>
    <w:pPr>
      <w:ind w:left="850" w:right="-1" w:hanging="283"/>
      <w:jc w:val="both"/>
      <w:spacing w:before="0" w:after="120"/>
      <w:widowControl w:val="off"/>
    </w:pPr>
    <w:rPr>
      <w:rFonts w:ascii="Arial" w:hAnsi="Arial" w:cs="Arial"/>
      <w:sz w:val="22"/>
      <w:szCs w:val="22"/>
    </w:rPr>
  </w:style>
  <w:style w:type="paragraph" w:styleId="964">
    <w:name w:val="Основной текст с отступом"/>
    <w:basedOn w:val="843"/>
    <w:next w:val="964"/>
    <w:link w:val="843"/>
    <w:pPr>
      <w:ind w:left="283" w:right="0" w:firstLine="0"/>
      <w:spacing w:before="0" w:after="120"/>
    </w:pPr>
    <w:rPr>
      <w:lang w:val="en-US"/>
    </w:rPr>
  </w:style>
  <w:style w:type="paragraph" w:styleId="965">
    <w:name w:val="Сноска"/>
    <w:basedOn w:val="843"/>
    <w:next w:val="965"/>
    <w:link w:val="843"/>
    <w:rPr>
      <w:sz w:val="20"/>
      <w:szCs w:val="20"/>
      <w:lang w:val="en-US"/>
    </w:rPr>
  </w:style>
  <w:style w:type="paragraph" w:styleId="966">
    <w:name w:val="ListNum"/>
    <w:basedOn w:val="843"/>
    <w:next w:val="966"/>
    <w:link w:val="843"/>
    <w:pPr>
      <w:numPr>
        <w:ilvl w:val="0"/>
        <w:numId w:val="4"/>
      </w:numPr>
      <w:jc w:val="both"/>
      <w:spacing w:before="60" w:after="0"/>
    </w:pPr>
    <w:rPr>
      <w:sz w:val="22"/>
    </w:rPr>
  </w:style>
  <w:style w:type="paragraph" w:styleId="967">
    <w:name w:val="Маркированный список"/>
    <w:basedOn w:val="843"/>
    <w:next w:val="967"/>
    <w:link w:val="843"/>
    <w:pPr>
      <w:numPr>
        <w:ilvl w:val="0"/>
        <w:numId w:val="2"/>
      </w:numPr>
      <w:contextualSpacing/>
      <w:spacing w:before="0" w:after="0"/>
    </w:pPr>
  </w:style>
  <w:style w:type="paragraph" w:styleId="968">
    <w:name w:val="Стиль По центру"/>
    <w:basedOn w:val="843"/>
    <w:next w:val="968"/>
    <w:link w:val="843"/>
    <w:pPr>
      <w:jc w:val="both"/>
    </w:pPr>
    <w:rPr>
      <w:szCs w:val="20"/>
    </w:rPr>
  </w:style>
  <w:style w:type="paragraph" w:styleId="969">
    <w:name w:val="Содержимое таблицы"/>
    <w:basedOn w:val="843"/>
    <w:next w:val="969"/>
    <w:link w:val="843"/>
    <w:pPr>
      <w:widowControl w:val="off"/>
      <w:suppressLineNumbers/>
    </w:pPr>
  </w:style>
  <w:style w:type="paragraph" w:styleId="970">
    <w:name w:val="Заголовок таблицы"/>
    <w:basedOn w:val="969"/>
    <w:next w:val="970"/>
    <w:link w:val="843"/>
    <w:pPr>
      <w:jc w:val="center"/>
      <w:suppressLineNumbers/>
    </w:pPr>
    <w:rPr>
      <w:b/>
      <w:bCs/>
    </w:rPr>
  </w:style>
  <w:style w:type="character" w:styleId="971" w:default="1">
    <w:name w:val="Default Paragraph Font"/>
    <w:uiPriority w:val="1"/>
    <w:semiHidden/>
    <w:unhideWhenUsed/>
  </w:style>
  <w:style w:type="numbering" w:styleId="97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enka60</dc:creator>
  <cp:lastModifiedBy>user</cp:lastModifiedBy>
  <cp:revision>15</cp:revision>
  <dcterms:created xsi:type="dcterms:W3CDTF">2025-03-13T02:10:00Z</dcterms:created>
  <dcterms:modified xsi:type="dcterms:W3CDTF">2025-08-29T10:49:54Z</dcterms:modified>
</cp:coreProperties>
</file>