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4AA2" w14:textId="77777777" w:rsidR="00CA1D08" w:rsidRPr="00704278" w:rsidRDefault="00CA1D08" w:rsidP="00046893">
      <w:pPr>
        <w:pStyle w:val="docdata"/>
        <w:spacing w:before="0" w:beforeAutospacing="0" w:after="0" w:afterAutospacing="0" w:line="240" w:lineRule="atLeast"/>
        <w:ind w:left="-284"/>
        <w:contextualSpacing/>
        <w:jc w:val="center"/>
        <w:rPr>
          <w:sz w:val="22"/>
          <w:szCs w:val="22"/>
        </w:rPr>
      </w:pPr>
      <w:r w:rsidRPr="00704278">
        <w:rPr>
          <w:b/>
          <w:bCs/>
          <w:color w:val="000000"/>
          <w:sz w:val="22"/>
          <w:szCs w:val="22"/>
        </w:rPr>
        <w:t xml:space="preserve">Техническое задание </w:t>
      </w:r>
    </w:p>
    <w:p w14:paraId="351211AD" w14:textId="54DE374E" w:rsidR="00CA1D08" w:rsidRDefault="00CA1D08" w:rsidP="007723C3">
      <w:pPr>
        <w:pStyle w:val="afb"/>
        <w:spacing w:before="0" w:beforeAutospacing="0" w:after="0" w:afterAutospacing="0" w:line="240" w:lineRule="atLeast"/>
        <w:ind w:left="-284"/>
        <w:contextualSpacing/>
        <w:jc w:val="center"/>
        <w:rPr>
          <w:b/>
        </w:rPr>
      </w:pPr>
      <w:r w:rsidRPr="00704278">
        <w:rPr>
          <w:b/>
          <w:bCs/>
          <w:color w:val="000000"/>
          <w:sz w:val="22"/>
          <w:szCs w:val="22"/>
        </w:rPr>
        <w:t xml:space="preserve">на поставку </w:t>
      </w:r>
      <w:r w:rsidR="007723C3">
        <w:rPr>
          <w:b/>
          <w:bCs/>
          <w:color w:val="000000"/>
          <w:sz w:val="22"/>
          <w:szCs w:val="22"/>
        </w:rPr>
        <w:t>снегоуборщиков</w:t>
      </w:r>
      <w:r w:rsidR="00E30CB1">
        <w:rPr>
          <w:b/>
          <w:bCs/>
          <w:color w:val="000000"/>
          <w:sz w:val="22"/>
          <w:szCs w:val="22"/>
        </w:rPr>
        <w:t xml:space="preserve"> </w:t>
      </w:r>
    </w:p>
    <w:p w14:paraId="7005E760" w14:textId="77777777" w:rsidR="00766C0D" w:rsidRDefault="00766C0D" w:rsidP="007723C3">
      <w:pPr>
        <w:pStyle w:val="afb"/>
        <w:spacing w:before="0" w:beforeAutospacing="0" w:after="0" w:afterAutospacing="0" w:line="240" w:lineRule="atLeast"/>
        <w:ind w:left="-284"/>
        <w:contextualSpacing/>
        <w:jc w:val="center"/>
        <w:rPr>
          <w:sz w:val="22"/>
          <w:szCs w:val="22"/>
        </w:rPr>
      </w:pPr>
    </w:p>
    <w:p w14:paraId="782156F7" w14:textId="78EF3C94" w:rsidR="00766C0D" w:rsidRPr="00766C0D" w:rsidRDefault="00766C0D" w:rsidP="00766C0D">
      <w:pPr>
        <w:pStyle w:val="a3"/>
        <w:tabs>
          <w:tab w:val="left" w:pos="0"/>
        </w:tabs>
        <w:spacing w:after="0"/>
        <w:ind w:left="0" w:firstLine="425"/>
        <w:rPr>
          <w:rFonts w:ascii="Times New Roman" w:eastAsia="Liberation Serif" w:hAnsi="Times New Roman" w:cs="Times New Roman"/>
          <w:b/>
          <w:bCs/>
          <w:i/>
          <w:iCs/>
        </w:rPr>
      </w:pPr>
      <w:bookmarkStart w:id="0" w:name="_Hlk206166376"/>
      <w:r w:rsidRPr="00766C0D">
        <w:rPr>
          <w:rFonts w:ascii="Times New Roman" w:eastAsia="Liberation Serif" w:hAnsi="Times New Roman" w:cs="Times New Roman"/>
          <w:b/>
          <w:bCs/>
          <w:i/>
          <w:iCs/>
        </w:rPr>
        <w:t>Поз⁠‌‌​‍‌​⁠﻿﻿​﻿​​‌﻿иции 1,2 закупки попадают под запрет на допуск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 (далее - ПП от 23 декабря 2024 г. N 1875)”.</w:t>
      </w:r>
    </w:p>
    <w:bookmarkEnd w:id="0"/>
    <w:p w14:paraId="32122829" w14:textId="77777777" w:rsidR="00766C0D" w:rsidRPr="00766C0D" w:rsidRDefault="00766C0D" w:rsidP="00766C0D">
      <w:pPr>
        <w:pStyle w:val="afb"/>
        <w:widowControl w:val="0"/>
        <w:spacing w:before="0" w:beforeAutospacing="0" w:after="0" w:afterAutospacing="0"/>
        <w:rPr>
          <w:rFonts w:eastAsia="Liberation Serif"/>
          <w:b/>
          <w:bCs/>
          <w:i/>
          <w:iCs/>
          <w:sz w:val="22"/>
          <w:szCs w:val="22"/>
          <w:lang w:eastAsia="en-US"/>
        </w:rPr>
      </w:pPr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Согласно подп. "и" п. 5 ПП от 23 декабря 2024 г. N 1875, запрет, предусмотренный пунктом 1, подпунктом "ж" пункта 4 ПП от 23 декабря 2024 г. N 1875 , может не применяться заказчиками в случае:</w:t>
      </w:r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br/>
        <w:t> осуществляется закупка товаров, не относящихся к товарам и программному обеспечению, указанным в </w:t>
      </w:r>
      <w:hyperlink r:id="rId8" w:anchor="/document/411197447/entry/1017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позициях 17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, </w:t>
      </w:r>
      <w:hyperlink r:id="rId9" w:anchor="/document/411197447/entry/1021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21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, </w:t>
      </w:r>
      <w:hyperlink r:id="rId10" w:anchor="/document/411197447/entry/1027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27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, </w:t>
      </w:r>
      <w:hyperlink r:id="rId11" w:anchor="/document/411197447/entry/1035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35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, </w:t>
      </w:r>
      <w:hyperlink r:id="rId12" w:anchor="/document/411197447/entry/1140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140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, </w:t>
      </w:r>
      <w:hyperlink r:id="rId13" w:anchor="/document/411197447/entry/1141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141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, </w:t>
      </w:r>
      <w:hyperlink r:id="rId14" w:anchor="/document/411197447/entry/1144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144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 и </w:t>
      </w:r>
      <w:hyperlink r:id="rId15" w:anchor="/document/411197447/entry/1146" w:history="1">
        <w:r w:rsidRPr="00766C0D">
          <w:rPr>
            <w:rFonts w:eastAsia="Liberation Serif"/>
            <w:b/>
            <w:bCs/>
            <w:i/>
            <w:iCs/>
            <w:sz w:val="22"/>
            <w:szCs w:val="22"/>
            <w:lang w:eastAsia="en-US"/>
          </w:rPr>
          <w:t>146</w:t>
        </w:r>
      </w:hyperlink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 приложения N 1 к настоящему постановлению, в одном из следующих случаев:</w:t>
      </w:r>
    </w:p>
    <w:p w14:paraId="7D9B6C0E" w14:textId="77777777" w:rsidR="00766C0D" w:rsidRPr="00766C0D" w:rsidRDefault="00766C0D" w:rsidP="00766C0D">
      <w:pPr>
        <w:pStyle w:val="afb"/>
        <w:widowControl w:val="0"/>
        <w:spacing w:before="0" w:beforeAutospacing="0" w:after="0" w:afterAutospacing="0"/>
        <w:rPr>
          <w:rFonts w:eastAsia="Liberation Serif"/>
          <w:b/>
          <w:bCs/>
          <w:i/>
          <w:iCs/>
          <w:sz w:val="22"/>
          <w:szCs w:val="22"/>
          <w:lang w:eastAsia="en-US"/>
        </w:rPr>
      </w:pPr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- 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 рублей;</w:t>
      </w:r>
    </w:p>
    <w:p w14:paraId="2A221235" w14:textId="0CF403A3" w:rsidR="00766C0D" w:rsidRPr="00766C0D" w:rsidRDefault="00766C0D" w:rsidP="00766C0D">
      <w:pPr>
        <w:pStyle w:val="afb"/>
        <w:widowControl w:val="0"/>
        <w:spacing w:before="0" w:beforeAutospacing="0" w:after="0" w:afterAutospacing="0"/>
        <w:rPr>
          <w:rFonts w:eastAsia="Liberation Serif"/>
          <w:b/>
          <w:bCs/>
          <w:i/>
          <w:iCs/>
          <w:sz w:val="22"/>
          <w:szCs w:val="22"/>
          <w:lang w:eastAsia="en-US"/>
        </w:rPr>
      </w:pPr>
      <w:r w:rsidRPr="00766C0D">
        <w:rPr>
          <w:rFonts w:eastAsia="Liberation Serif"/>
          <w:b/>
          <w:bCs/>
          <w:i/>
          <w:iCs/>
          <w:sz w:val="22"/>
          <w:szCs w:val="22"/>
          <w:lang w:eastAsia="en-US"/>
        </w:rPr>
        <w:t>- ни одна из использованных при определении начальной (максимальной) цены контракта (начальной (максимальной) цены договора) или цены контракта, заключаемого с единственным поставщиком (подрядчиком, исполнителем) (цены заключаемого с единственным поставщиком (исполнителем, подрядчиком) договора), цена единицы товара не превышает 300 тыс. рублей и при этом произведение каждой цены единицы товара на количество такого товара не превышает 1 млн. рублей</w:t>
      </w:r>
    </w:p>
    <w:p w14:paraId="113CF830" w14:textId="7E6D1FBF" w:rsidR="00CA1D08" w:rsidRPr="00704278" w:rsidRDefault="00CA1D08" w:rsidP="00704278">
      <w:pPr>
        <w:pStyle w:val="afb"/>
        <w:spacing w:before="0" w:beforeAutospacing="0" w:after="0" w:afterAutospacing="0" w:line="240" w:lineRule="atLeast"/>
        <w:contextualSpacing/>
        <w:jc w:val="center"/>
        <w:rPr>
          <w:sz w:val="22"/>
          <w:szCs w:val="22"/>
        </w:rPr>
      </w:pPr>
    </w:p>
    <w:p w14:paraId="248E8968" w14:textId="6CF2BA3E" w:rsidR="00CA1D08" w:rsidRPr="00704278" w:rsidRDefault="00CA1D08" w:rsidP="00234B6E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704278">
        <w:rPr>
          <w:b/>
          <w:bCs/>
          <w:color w:val="000000"/>
          <w:sz w:val="22"/>
          <w:szCs w:val="22"/>
        </w:rPr>
        <w:t>1. 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4678"/>
        <w:gridCol w:w="743"/>
        <w:gridCol w:w="900"/>
      </w:tblGrid>
      <w:tr w:rsidR="00234B6E" w:rsidRPr="00234B6E" w14:paraId="07542643" w14:textId="77777777" w:rsidTr="007723C3">
        <w:trPr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49C323" w14:textId="4CFD5D63" w:rsidR="00234B6E" w:rsidRPr="00234B6E" w:rsidRDefault="00E220F3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№</w:t>
            </w:r>
          </w:p>
          <w:p w14:paraId="5ACFEC08" w14:textId="77777777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9ED255" w14:textId="77777777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FFFFFF"/>
          </w:tcPr>
          <w:p w14:paraId="6CCF625A" w14:textId="4D9CFD53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ОКПД 2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F80881" w14:textId="58090345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Характеристика  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B1FFF" w14:textId="77777777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Ед.</w:t>
            </w:r>
          </w:p>
          <w:p w14:paraId="3EB73907" w14:textId="77777777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изм.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138EA6" w14:textId="77777777" w:rsidR="00234B6E" w:rsidRPr="00234B6E" w:rsidRDefault="00234B6E" w:rsidP="00704278">
            <w:pPr>
              <w:spacing w:before="100" w:beforeAutospacing="1" w:after="100" w:afterAutospacing="1" w:line="240" w:lineRule="atLeast"/>
              <w:ind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Кол-во</w:t>
            </w:r>
          </w:p>
        </w:tc>
      </w:tr>
      <w:tr w:rsidR="00234B6E" w:rsidRPr="00234B6E" w14:paraId="00E8D32F" w14:textId="77777777" w:rsidTr="007723C3">
        <w:trPr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111E4" w14:textId="0B749508" w:rsidR="00234B6E" w:rsidRPr="00234B6E" w:rsidRDefault="00234B6E" w:rsidP="00234B6E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234B6E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5846CC" w14:textId="55EC628D" w:rsidR="007723C3" w:rsidRPr="00234B6E" w:rsidRDefault="007723C3" w:rsidP="00234B6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Бензиновый снегоуборщик HUTER SGC 8100 C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или эквивалент</w:t>
            </w:r>
          </w:p>
        </w:tc>
        <w:tc>
          <w:tcPr>
            <w:tcW w:w="1559" w:type="dxa"/>
          </w:tcPr>
          <w:p w14:paraId="09DA4D83" w14:textId="282B83BE" w:rsidR="00234B6E" w:rsidRPr="00234B6E" w:rsidRDefault="007723C3" w:rsidP="00234B6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29.10.59.329 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подп. "и" п. 5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)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34619" w14:textId="052B8618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Мощность, л.с.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: не менее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13</w:t>
            </w:r>
          </w:p>
          <w:p w14:paraId="5F3DD597" w14:textId="0247DBF8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Скорости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вперед/назад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6 / 2</w:t>
            </w:r>
          </w:p>
          <w:p w14:paraId="6237DE9D" w14:textId="63D2987B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Ширина захвата, см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70</w:t>
            </w:r>
          </w:p>
          <w:p w14:paraId="1464284C" w14:textId="16DEA75F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Высота захвата, см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54</w:t>
            </w:r>
          </w:p>
          <w:p w14:paraId="36047A42" w14:textId="7EA17302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Электростартер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от сети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220В</w:t>
            </w:r>
          </w:p>
          <w:p w14:paraId="64D311E9" w14:textId="394547B1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Наличие фары 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– соответствие </w:t>
            </w:r>
          </w:p>
          <w:p w14:paraId="106312FB" w14:textId="52B3A84C" w:rsidR="007723C3" w:rsidRPr="007723C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Подогрев ручек 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– наличие </w:t>
            </w:r>
          </w:p>
          <w:p w14:paraId="075941E8" w14:textId="2A8ACB83" w:rsidR="00234B6E" w:rsidRPr="00234B6E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Объем топливного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бака, л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: не менее</w:t>
            </w: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6,5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4218E2" w14:textId="3D16D2D9" w:rsidR="00234B6E" w:rsidRPr="00234B6E" w:rsidRDefault="00046893" w:rsidP="00234B6E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C14109" w14:textId="5CDC39DF" w:rsidR="00234B6E" w:rsidRPr="00234B6E" w:rsidRDefault="007723C3" w:rsidP="00234B6E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23C3" w:rsidRPr="00234B6E" w14:paraId="08D8F44D" w14:textId="77777777" w:rsidTr="007F755C">
        <w:trPr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7925F5" w14:textId="0620D95C" w:rsidR="007723C3" w:rsidRPr="00234B6E" w:rsidRDefault="007723C3" w:rsidP="007723C3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1D4BD" w14:textId="76B335C9" w:rsidR="007723C3" w:rsidRPr="0004689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723C3">
              <w:rPr>
                <w:rFonts w:ascii="Times New Roman" w:hAnsi="Times New Roman" w:cs="Times New Roman"/>
                <w:color w:val="000000"/>
              </w:rPr>
              <w:t>Бензиновый снегоуборщик HUTER SGC 11000 CD</w:t>
            </w:r>
            <w:r>
              <w:rPr>
                <w:rFonts w:ascii="Times New Roman" w:hAnsi="Times New Roman" w:cs="Times New Roman"/>
                <w:color w:val="000000"/>
              </w:rPr>
              <w:t xml:space="preserve"> или эквивалент</w:t>
            </w:r>
          </w:p>
        </w:tc>
        <w:tc>
          <w:tcPr>
            <w:tcW w:w="1559" w:type="dxa"/>
          </w:tcPr>
          <w:p w14:paraId="263B1AFF" w14:textId="6B714633" w:rsidR="007723C3" w:rsidRPr="00046893" w:rsidRDefault="007723C3" w:rsidP="007723C3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723C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29.10.59.329 (подп. "и" п. 5)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95CA6B" w14:textId="175CEA98" w:rsidR="007B05A2" w:rsidRPr="007B05A2" w:rsidRDefault="007B05A2" w:rsidP="007B05A2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Мощность, л.с.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15</w:t>
            </w:r>
          </w:p>
          <w:p w14:paraId="589388C2" w14:textId="3462960C" w:rsidR="007B05A2" w:rsidRPr="007B05A2" w:rsidRDefault="007B05A2" w:rsidP="007B05A2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Скорости вперед/назад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6 / 2</w:t>
            </w:r>
          </w:p>
          <w:p w14:paraId="5446707B" w14:textId="1A993AB1" w:rsidR="007B05A2" w:rsidRPr="007B05A2" w:rsidRDefault="007B05A2" w:rsidP="007B05A2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Ширина захвата, см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70</w:t>
            </w:r>
          </w:p>
          <w:p w14:paraId="2B8A6849" w14:textId="7EB9A3A2" w:rsidR="007B05A2" w:rsidRPr="007B05A2" w:rsidRDefault="007B05A2" w:rsidP="007B05A2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Высота захвата, см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54</w:t>
            </w:r>
          </w:p>
          <w:p w14:paraId="6CA55957" w14:textId="741791CD" w:rsidR="007B05A2" w:rsidRPr="007B05A2" w:rsidRDefault="007B05A2" w:rsidP="007B05A2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Электростартер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</w:t>
            </w: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от сети 220В</w:t>
            </w:r>
          </w:p>
          <w:p w14:paraId="48D4EB12" w14:textId="61ECE54B" w:rsidR="007B05A2" w:rsidRPr="007B05A2" w:rsidRDefault="007B05A2" w:rsidP="007F755C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Функция разблокировки дифференциала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– наличие </w:t>
            </w:r>
          </w:p>
          <w:p w14:paraId="45FB7C33" w14:textId="65F83A0C" w:rsidR="007B05A2" w:rsidRPr="007B05A2" w:rsidRDefault="007B05A2" w:rsidP="007F755C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Наличие фары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– соответствие </w:t>
            </w:r>
          </w:p>
          <w:p w14:paraId="0366A2BD" w14:textId="1EA01CF5" w:rsidR="007B05A2" w:rsidRPr="007B05A2" w:rsidRDefault="007B05A2" w:rsidP="007F755C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Подогрев ручек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– наличие </w:t>
            </w:r>
          </w:p>
          <w:p w14:paraId="4487754A" w14:textId="109B259D" w:rsidR="007723C3" w:rsidRPr="00046893" w:rsidRDefault="007B05A2" w:rsidP="007F755C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Объем топливного бака, л</w:t>
            </w:r>
            <w:r w:rsidR="007F755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: не менее </w:t>
            </w:r>
            <w:r w:rsidRPr="007B05A2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6,5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AB6AC2" w14:textId="55D76287" w:rsidR="007723C3" w:rsidRDefault="007723C3" w:rsidP="007723C3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B43E9" w14:textId="42EBAA29" w:rsidR="007723C3" w:rsidRDefault="007723C3" w:rsidP="007723C3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E6010DA" w14:textId="4CA62C6F" w:rsidR="00CA1D08" w:rsidRPr="000C70A6" w:rsidRDefault="00CA1D08" w:rsidP="000C70A6">
      <w:pPr>
        <w:pStyle w:val="docdata"/>
        <w:spacing w:before="0" w:beforeAutospacing="0" w:after="0" w:afterAutospacing="0" w:line="240" w:lineRule="atLeast"/>
        <w:rPr>
          <w:b/>
          <w:bCs/>
          <w:color w:val="000000"/>
          <w:shd w:val="clear" w:color="auto" w:fill="FFFFFF"/>
        </w:rPr>
      </w:pPr>
      <w:r w:rsidRPr="00046893">
        <w:rPr>
          <w:b/>
          <w:bCs/>
          <w:color w:val="000000"/>
          <w:sz w:val="22"/>
          <w:szCs w:val="22"/>
          <w:shd w:val="clear" w:color="auto" w:fill="FFFFFF"/>
        </w:rPr>
        <w:t xml:space="preserve">2. Место поставки: </w:t>
      </w:r>
      <w:r w:rsidR="000C70A6" w:rsidRPr="000C70A6">
        <w:rPr>
          <w:b/>
          <w:bCs/>
          <w:color w:val="000000"/>
          <w:shd w:val="clear" w:color="auto" w:fill="FFFFFF"/>
        </w:rPr>
        <w:t>628680, Российская Федерация, Ханты-Мансийский автономный округ - Югра, город Мегион, ул. Нефтяников д.6</w:t>
      </w:r>
      <w:r w:rsidR="000C70A6">
        <w:rPr>
          <w:b/>
          <w:bCs/>
          <w:color w:val="000000"/>
          <w:shd w:val="clear" w:color="auto" w:fill="FFFFFF"/>
        </w:rPr>
        <w:t>/1, спортивный комплекс «Олимп»</w:t>
      </w:r>
    </w:p>
    <w:p w14:paraId="5DDABA71" w14:textId="60468B25" w:rsidR="00234B6E" w:rsidRPr="00E220F3" w:rsidRDefault="00CA1D08" w:rsidP="000C70A6">
      <w:pPr>
        <w:pStyle w:val="afb"/>
        <w:spacing w:before="0" w:beforeAutospacing="0" w:after="0" w:afterAutospacing="0" w:line="240" w:lineRule="atLeast"/>
        <w:contextualSpacing/>
        <w:jc w:val="both"/>
        <w:rPr>
          <w:b/>
          <w:sz w:val="22"/>
          <w:szCs w:val="22"/>
        </w:rPr>
      </w:pPr>
      <w:r w:rsidRPr="00046893">
        <w:rPr>
          <w:b/>
          <w:bCs/>
          <w:color w:val="000000"/>
          <w:sz w:val="22"/>
          <w:szCs w:val="22"/>
          <w:shd w:val="clear" w:color="auto" w:fill="FFFFFF"/>
        </w:rPr>
        <w:t xml:space="preserve">3. Срок поставки: </w:t>
      </w:r>
      <w:r w:rsidR="007F755C">
        <w:rPr>
          <w:b/>
          <w:bCs/>
          <w:color w:val="000000"/>
          <w:sz w:val="22"/>
          <w:szCs w:val="22"/>
          <w:shd w:val="clear" w:color="auto" w:fill="FFFFFF"/>
        </w:rPr>
        <w:t xml:space="preserve">в течение </w:t>
      </w:r>
      <w:r w:rsidR="007723C3" w:rsidRPr="00E220F3">
        <w:rPr>
          <w:b/>
          <w:sz w:val="22"/>
          <w:szCs w:val="22"/>
        </w:rPr>
        <w:t>со дня подписания договора</w:t>
      </w:r>
      <w:r w:rsidR="00E220F3" w:rsidRPr="00E220F3">
        <w:rPr>
          <w:b/>
          <w:sz w:val="22"/>
          <w:szCs w:val="22"/>
        </w:rPr>
        <w:t xml:space="preserve"> по 28 ноября</w:t>
      </w:r>
      <w:r w:rsidR="00082143">
        <w:rPr>
          <w:b/>
          <w:sz w:val="22"/>
          <w:szCs w:val="22"/>
        </w:rPr>
        <w:t xml:space="preserve"> 2025г</w:t>
      </w:r>
      <w:bookmarkStart w:id="1" w:name="_GoBack"/>
      <w:bookmarkEnd w:id="1"/>
      <w:r w:rsidR="007723C3" w:rsidRPr="00E220F3">
        <w:rPr>
          <w:b/>
          <w:sz w:val="22"/>
          <w:szCs w:val="22"/>
        </w:rPr>
        <w:t>.</w:t>
      </w:r>
    </w:p>
    <w:p w14:paraId="3518A356" w14:textId="7B263BF8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b/>
          <w:bCs/>
          <w:color w:val="000000"/>
          <w:sz w:val="22"/>
          <w:szCs w:val="22"/>
        </w:rPr>
        <w:t xml:space="preserve">4. Требования к качеству, безопасности товара: </w:t>
      </w:r>
    </w:p>
    <w:p w14:paraId="0D3ED79D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EE24C72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A9B83EA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lastRenderedPageBreak/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B205AF6" w14:textId="77777777" w:rsidR="00CA1D08" w:rsidRPr="00704278" w:rsidRDefault="00CA1D08" w:rsidP="00704278">
      <w:pPr>
        <w:pStyle w:val="afb"/>
        <w:widowControl w:val="0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4.4. На товаре не должно быть следов механических повреждений, изменений вида комплектующих;</w:t>
      </w:r>
    </w:p>
    <w:p w14:paraId="734E569F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F5E0800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7565B3C0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59ADBF17" w14:textId="77777777" w:rsidR="00CA1D08" w:rsidRPr="00704278" w:rsidRDefault="00CA1D08" w:rsidP="00704278">
      <w:pPr>
        <w:pStyle w:val="afb"/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b/>
          <w:bCs/>
          <w:color w:val="000000"/>
          <w:sz w:val="22"/>
          <w:szCs w:val="22"/>
        </w:rPr>
        <w:t>5. Требования к упаковке, маркировке товара:</w:t>
      </w:r>
    </w:p>
    <w:p w14:paraId="7988B662" w14:textId="77777777" w:rsidR="00CA1D08" w:rsidRPr="00704278" w:rsidRDefault="00CA1D08" w:rsidP="00704278">
      <w:pPr>
        <w:pStyle w:val="afb"/>
        <w:tabs>
          <w:tab w:val="left" w:pos="0"/>
        </w:tabs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5.1 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AFBF232" w14:textId="1AE97085" w:rsidR="004C3F13" w:rsidRPr="00704278" w:rsidRDefault="00CA1D08" w:rsidP="00704278">
      <w:pPr>
        <w:pStyle w:val="afb"/>
        <w:tabs>
          <w:tab w:val="left" w:pos="0"/>
        </w:tabs>
        <w:spacing w:before="0" w:beforeAutospacing="0" w:after="0" w:afterAutospacing="0" w:line="240" w:lineRule="atLeast"/>
        <w:ind w:left="-426"/>
        <w:contextualSpacing/>
        <w:jc w:val="both"/>
        <w:rPr>
          <w:sz w:val="22"/>
          <w:szCs w:val="22"/>
        </w:rPr>
      </w:pPr>
      <w:r w:rsidRPr="00704278">
        <w:rPr>
          <w:color w:val="000000"/>
          <w:sz w:val="22"/>
          <w:szCs w:val="22"/>
        </w:rPr>
        <w:t>5.2.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sectPr w:rsidR="004C3F13" w:rsidRPr="00704278" w:rsidSect="00704278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C80BE" w14:textId="77777777" w:rsidR="008A11A8" w:rsidRDefault="008A11A8">
      <w:pPr>
        <w:spacing w:after="0" w:line="240" w:lineRule="auto"/>
      </w:pPr>
      <w:r>
        <w:separator/>
      </w:r>
    </w:p>
  </w:endnote>
  <w:endnote w:type="continuationSeparator" w:id="0">
    <w:p w14:paraId="38376383" w14:textId="77777777" w:rsidR="008A11A8" w:rsidRDefault="008A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3688" w14:textId="77777777" w:rsidR="008A11A8" w:rsidRDefault="008A11A8">
      <w:pPr>
        <w:spacing w:after="0" w:line="240" w:lineRule="auto"/>
      </w:pPr>
      <w:r>
        <w:separator/>
      </w:r>
    </w:p>
  </w:footnote>
  <w:footnote w:type="continuationSeparator" w:id="0">
    <w:p w14:paraId="77734506" w14:textId="77777777" w:rsidR="008A11A8" w:rsidRDefault="008A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71EC"/>
    <w:multiLevelType w:val="multilevel"/>
    <w:tmpl w:val="6D4E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13"/>
    <w:rsid w:val="00011D86"/>
    <w:rsid w:val="00046893"/>
    <w:rsid w:val="00082143"/>
    <w:rsid w:val="000C70A6"/>
    <w:rsid w:val="001E4042"/>
    <w:rsid w:val="00234B6E"/>
    <w:rsid w:val="00244258"/>
    <w:rsid w:val="00303C9F"/>
    <w:rsid w:val="003A07EB"/>
    <w:rsid w:val="003F602C"/>
    <w:rsid w:val="004552BF"/>
    <w:rsid w:val="004936B2"/>
    <w:rsid w:val="004C3F13"/>
    <w:rsid w:val="00517047"/>
    <w:rsid w:val="00646F49"/>
    <w:rsid w:val="006C767B"/>
    <w:rsid w:val="00704278"/>
    <w:rsid w:val="007453B1"/>
    <w:rsid w:val="00766C0D"/>
    <w:rsid w:val="007723C3"/>
    <w:rsid w:val="007B05A2"/>
    <w:rsid w:val="007F755C"/>
    <w:rsid w:val="007F791F"/>
    <w:rsid w:val="0080471E"/>
    <w:rsid w:val="008A11A8"/>
    <w:rsid w:val="009142E4"/>
    <w:rsid w:val="009768F9"/>
    <w:rsid w:val="009A2F22"/>
    <w:rsid w:val="00A1394B"/>
    <w:rsid w:val="00A4211E"/>
    <w:rsid w:val="00AD3BA0"/>
    <w:rsid w:val="00AF06A4"/>
    <w:rsid w:val="00B6527C"/>
    <w:rsid w:val="00B922EB"/>
    <w:rsid w:val="00C94F7C"/>
    <w:rsid w:val="00CA1D08"/>
    <w:rsid w:val="00DA05F8"/>
    <w:rsid w:val="00DE3C29"/>
    <w:rsid w:val="00E220F3"/>
    <w:rsid w:val="00E30CB1"/>
    <w:rsid w:val="00E40F70"/>
    <w:rsid w:val="00EA2EC0"/>
    <w:rsid w:val="00F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4588"/>
  <w15:docId w15:val="{24CACDF8-CD0E-4F46-A0D7-6B57943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List,FooterText,numbered,Список дефисный,Table-Normal,RSHB_Table-Normal,Заговок Марина,Use Case List Paragraph,Paragraphe de liste1,lp1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375,bqiaagaaeyqcaaagiaiaaan2owaabyq7aaaaaaaaaaaaaaaaaaaaaaaaaaaaaaaaaaaaaaaaaaaaaaaaaaaaaaaaaaaaaaaaaaaaaaaaaaaaaaaaaaaaaaaaaaaaaaaaaaaaaaaaaaaaaaaaaaaaaaaaaaaaaaaaaaaaaaaaaaaaaaaaaaaaaaaaaaaaaaaaaaaaaaaaaaaaaaaaaaaaaaaaaaaaaaaaaaaaaaa"/>
    <w:basedOn w:val="a"/>
    <w:rsid w:val="00CA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,Use Case List Paragraph Знак,Paragraphe de liste1 Знак,lp1 Знак"/>
    <w:link w:val="a3"/>
    <w:uiPriority w:val="34"/>
    <w:locked/>
    <w:rsid w:val="0076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952B-E670-42F1-8059-B3533C9A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102</dc:creator>
  <cp:keywords/>
  <dc:description>DOC-MARKER-Dte6W7OkQRVT4glZguhO_-7_A1PPBi-YUyMGp7Qh3Gg</dc:description>
  <cp:lastModifiedBy>sport</cp:lastModifiedBy>
  <cp:revision>5</cp:revision>
  <dcterms:created xsi:type="dcterms:W3CDTF">2025-09-29T04:46:00Z</dcterms:created>
  <dcterms:modified xsi:type="dcterms:W3CDTF">2025-09-29T06:03:00Z</dcterms:modified>
</cp:coreProperties>
</file>