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41BB45AE" w:rsidR="00B935D1" w:rsidRPr="00CD6114" w:rsidRDefault="00E3260E" w:rsidP="00CD6114">
      <w:pPr>
        <w:widowControl w:val="0"/>
        <w:spacing w:after="0" w:line="240" w:lineRule="auto"/>
        <w:ind w:firstLine="709"/>
        <w:jc w:val="both"/>
        <w:rPr>
          <w:rFonts w:ascii="Times New Roman" w:eastAsia="Times New Roman" w:hAnsi="Times New Roman" w:cs="Times New Roman"/>
          <w:bCs/>
          <w:lang w:eastAsia="ru-RU"/>
        </w:rPr>
      </w:pPr>
      <w:r>
        <w:rPr>
          <w:noProof/>
        </w:rPr>
        <w:drawing>
          <wp:anchor distT="0" distB="0" distL="114300" distR="114300" simplePos="0" relativeHeight="251659264" behindDoc="0" locked="0" layoutInCell="1" allowOverlap="0" wp14:anchorId="486CFD00" wp14:editId="53EFEA82">
            <wp:simplePos x="0" y="0"/>
            <wp:positionH relativeFrom="page">
              <wp:align>right</wp:align>
            </wp:positionH>
            <wp:positionV relativeFrom="page">
              <wp:align>top</wp:align>
            </wp:positionV>
            <wp:extent cx="7560005" cy="10692003"/>
            <wp:effectExtent l="0" t="0" r="3175"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7560005" cy="10692003"/>
                    </a:xfrm>
                    <a:prstGeom prst="rect">
                      <a:avLst/>
                    </a:prstGeom>
                  </pic:spPr>
                </pic:pic>
              </a:graphicData>
            </a:graphic>
          </wp:anchor>
        </w:drawing>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bookmarkStart w:id="0" w:name="_GoBack"/>
      <w:bookmarkEnd w:id="0"/>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06508" w14:paraId="7879F4C9" w14:textId="77777777" w:rsidTr="00706508">
        <w:tc>
          <w:tcPr>
            <w:tcW w:w="4280" w:type="dxa"/>
            <w:shd w:val="clear" w:color="auto" w:fill="D9E2F3" w:themeFill="accent1" w:themeFillTint="33"/>
          </w:tcPr>
          <w:p w14:paraId="6E5B7AC4" w14:textId="5B3377A6" w:rsidR="00706508" w:rsidRPr="00BC6C35" w:rsidRDefault="0070650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92D4F81" w14:textId="77777777" w:rsidR="00706508" w:rsidRPr="00706508" w:rsidRDefault="00706508" w:rsidP="00706508">
            <w:pPr>
              <w:widowControl w:val="0"/>
              <w:contextualSpacing/>
              <w:jc w:val="both"/>
              <w:rPr>
                <w:rFonts w:ascii="Times New Roman" w:eastAsia="Times New Roman" w:hAnsi="Times New Roman"/>
                <w:bCs/>
              </w:rPr>
            </w:pPr>
            <w:r w:rsidRPr="00706508">
              <w:rPr>
                <w:rFonts w:ascii="Times New Roman" w:eastAsia="Times New Roman" w:hAnsi="Times New Roman"/>
                <w:bCs/>
              </w:rPr>
              <w:t xml:space="preserve">ГОСУДАРСТВЕННОЕ АВТОНОМНОЕ УЧРЕЖДЕНИЕ ЗДРАВООХРАНЕНИЯ КРАСНОУСОЛЬСКИЙ ДЕТСКИЙ САНАТОРИЙ РЕСПУБЛИКИ БАШКОРТОСТАН </w:t>
            </w:r>
          </w:p>
          <w:p w14:paraId="5A500F42" w14:textId="77777777" w:rsidR="00706508" w:rsidRPr="00706508" w:rsidRDefault="00706508" w:rsidP="00706508">
            <w:pPr>
              <w:widowControl w:val="0"/>
              <w:contextualSpacing/>
              <w:jc w:val="both"/>
              <w:rPr>
                <w:rFonts w:ascii="Times New Roman" w:eastAsia="Times New Roman" w:hAnsi="Times New Roman"/>
                <w:bCs/>
              </w:rPr>
            </w:pPr>
            <w:r w:rsidRPr="00706508">
              <w:rPr>
                <w:rFonts w:ascii="Times New Roman" w:eastAsia="Times New Roman" w:hAnsi="Times New Roman"/>
                <w:bCs/>
              </w:rPr>
              <w:t xml:space="preserve">453051, Республика Башкортостан, Гафурийский р-н, с Курорта, Лесная ул, д. 27 </w:t>
            </w:r>
          </w:p>
          <w:p w14:paraId="4C663982" w14:textId="77777777" w:rsidR="00706508" w:rsidRPr="00706508" w:rsidRDefault="00706508" w:rsidP="00706508">
            <w:pPr>
              <w:widowControl w:val="0"/>
              <w:contextualSpacing/>
              <w:jc w:val="both"/>
              <w:rPr>
                <w:rFonts w:ascii="Times New Roman" w:eastAsia="Times New Roman" w:hAnsi="Times New Roman"/>
                <w:bCs/>
              </w:rPr>
            </w:pPr>
            <w:r w:rsidRPr="00706508">
              <w:rPr>
                <w:rFonts w:ascii="Times New Roman" w:eastAsia="Times New Roman" w:hAnsi="Times New Roman"/>
                <w:bCs/>
              </w:rPr>
              <w:t xml:space="preserve">Телефон (83474029650) бухгалтерия, </w:t>
            </w:r>
          </w:p>
          <w:p w14:paraId="08B90499" w14:textId="77777777" w:rsidR="00706508" w:rsidRPr="00706508" w:rsidRDefault="00706508" w:rsidP="00706508">
            <w:pPr>
              <w:widowControl w:val="0"/>
              <w:contextualSpacing/>
              <w:jc w:val="both"/>
              <w:rPr>
                <w:rFonts w:ascii="Times New Roman" w:eastAsia="Times New Roman" w:hAnsi="Times New Roman"/>
                <w:bCs/>
              </w:rPr>
            </w:pPr>
            <w:r w:rsidRPr="00706508">
              <w:rPr>
                <w:rFonts w:ascii="Times New Roman" w:eastAsia="Times New Roman" w:hAnsi="Times New Roman"/>
                <w:bCs/>
              </w:rPr>
              <w:t>(83474029622) приемная</w:t>
            </w:r>
          </w:p>
          <w:p w14:paraId="3CF2294A" w14:textId="77777777" w:rsidR="00706508" w:rsidRPr="00706508" w:rsidRDefault="00706508" w:rsidP="00706508">
            <w:pPr>
              <w:widowControl w:val="0"/>
              <w:contextualSpacing/>
              <w:jc w:val="both"/>
              <w:rPr>
                <w:rFonts w:ascii="Times New Roman" w:eastAsia="Times New Roman" w:hAnsi="Times New Roman"/>
                <w:bCs/>
              </w:rPr>
            </w:pPr>
            <w:r w:rsidRPr="00706508">
              <w:rPr>
                <w:rFonts w:ascii="Times New Roman" w:eastAsia="Times New Roman" w:hAnsi="Times New Roman"/>
                <w:bCs/>
              </w:rPr>
              <w:t>89373177718</w:t>
            </w:r>
          </w:p>
          <w:p w14:paraId="3126CF34" w14:textId="77777777" w:rsidR="00706508" w:rsidRPr="00706508" w:rsidRDefault="00706508" w:rsidP="00706508">
            <w:pPr>
              <w:widowControl w:val="0"/>
              <w:contextualSpacing/>
              <w:jc w:val="both"/>
              <w:rPr>
                <w:rFonts w:ascii="Times New Roman" w:eastAsia="Times New Roman" w:hAnsi="Times New Roman"/>
                <w:bCs/>
              </w:rPr>
            </w:pPr>
            <w:r w:rsidRPr="00706508">
              <w:rPr>
                <w:rFonts w:ascii="Times New Roman" w:eastAsia="Times New Roman" w:hAnsi="Times New Roman"/>
                <w:bCs/>
              </w:rPr>
              <w:t>Почта: krasnsan@mail.ru</w:t>
            </w:r>
          </w:p>
          <w:p w14:paraId="4681B141" w14:textId="38E7D722" w:rsidR="00706508" w:rsidRPr="000306BD" w:rsidRDefault="00706508" w:rsidP="00706508">
            <w:pPr>
              <w:widowControl w:val="0"/>
              <w:contextualSpacing/>
              <w:jc w:val="both"/>
              <w:rPr>
                <w:rFonts w:ascii="Times New Roman" w:eastAsia="Times New Roman" w:hAnsi="Times New Roman"/>
                <w:iCs/>
                <w:highlight w:val="yellow"/>
              </w:rPr>
            </w:pPr>
            <w:r w:rsidRPr="00706508">
              <w:rPr>
                <w:rFonts w:ascii="Times New Roman" w:eastAsia="Times New Roman" w:hAnsi="Times New Roman"/>
                <w:bCs/>
              </w:rPr>
              <w:t>ИНН: 0219007504</w:t>
            </w:r>
          </w:p>
        </w:tc>
      </w:tr>
      <w:tr w:rsidR="00706508" w14:paraId="19401141" w14:textId="77777777" w:rsidTr="00706508">
        <w:tc>
          <w:tcPr>
            <w:tcW w:w="4280" w:type="dxa"/>
            <w:shd w:val="clear" w:color="auto" w:fill="D9E2F3" w:themeFill="accent1" w:themeFillTint="33"/>
          </w:tcPr>
          <w:p w14:paraId="0935DFAE" w14:textId="00A267BC" w:rsidR="00706508" w:rsidRPr="00BC6C35" w:rsidRDefault="0070650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26C024F" w:rsidR="00706508" w:rsidRPr="000306BD" w:rsidRDefault="00706508" w:rsidP="00CD6114">
            <w:pPr>
              <w:widowControl w:val="0"/>
              <w:contextualSpacing/>
              <w:jc w:val="both"/>
              <w:rPr>
                <w:rFonts w:ascii="Times New Roman" w:eastAsia="Times New Roman" w:hAnsi="Times New Roman"/>
                <w:bCs/>
                <w:highlight w:val="yellow"/>
              </w:rPr>
            </w:pPr>
          </w:p>
        </w:tc>
      </w:tr>
      <w:tr w:rsidR="00706508" w14:paraId="75A19E24" w14:textId="77777777" w:rsidTr="00706508">
        <w:tc>
          <w:tcPr>
            <w:tcW w:w="4280" w:type="dxa"/>
            <w:shd w:val="clear" w:color="auto" w:fill="D9E2F3" w:themeFill="accent1" w:themeFillTint="33"/>
          </w:tcPr>
          <w:p w14:paraId="79B0AB9E" w14:textId="6D9C80DC" w:rsidR="00706508" w:rsidRPr="00BC6C35" w:rsidRDefault="0070650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A0730E2" w:rsidR="00706508" w:rsidRPr="000306BD" w:rsidRDefault="00706508" w:rsidP="00CD6114">
            <w:pPr>
              <w:widowControl w:val="0"/>
              <w:contextualSpacing/>
              <w:jc w:val="both"/>
              <w:rPr>
                <w:rFonts w:ascii="Times New Roman" w:eastAsia="Times New Roman" w:hAnsi="Times New Roman"/>
                <w:iCs/>
                <w:highlight w:val="yellow"/>
              </w:rPr>
            </w:pPr>
          </w:p>
        </w:tc>
      </w:tr>
      <w:tr w:rsidR="00706508" w14:paraId="6C9A4930" w14:textId="77777777" w:rsidTr="00706508">
        <w:tc>
          <w:tcPr>
            <w:tcW w:w="4280" w:type="dxa"/>
            <w:shd w:val="clear" w:color="auto" w:fill="D9E2F3" w:themeFill="accent1" w:themeFillTint="33"/>
          </w:tcPr>
          <w:p w14:paraId="543CC3B6" w14:textId="1661049B" w:rsidR="00706508" w:rsidRPr="00BC6C35" w:rsidRDefault="0070650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EF921B5" w:rsidR="00706508" w:rsidRPr="000306BD" w:rsidRDefault="00706508" w:rsidP="00CD6114">
            <w:pPr>
              <w:widowControl w:val="0"/>
              <w:contextualSpacing/>
              <w:jc w:val="both"/>
              <w:rPr>
                <w:rFonts w:ascii="Times New Roman" w:eastAsia="Times New Roman" w:hAnsi="Times New Roman"/>
                <w:iCs/>
                <w:highlight w:val="yellow"/>
              </w:rPr>
            </w:pPr>
          </w:p>
        </w:tc>
      </w:tr>
      <w:tr w:rsidR="00706508" w14:paraId="6EC92FCB" w14:textId="77777777" w:rsidTr="00706508">
        <w:tc>
          <w:tcPr>
            <w:tcW w:w="4280" w:type="dxa"/>
            <w:shd w:val="clear" w:color="auto" w:fill="D9E2F3" w:themeFill="accent1" w:themeFillTint="33"/>
          </w:tcPr>
          <w:p w14:paraId="75F6A34E" w14:textId="4CBE45E0" w:rsidR="00706508" w:rsidRPr="00BC6C35" w:rsidRDefault="0070650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386927F" w:rsidR="00706508" w:rsidRPr="000306BD" w:rsidRDefault="00706508" w:rsidP="00CD6114">
            <w:pPr>
              <w:widowControl w:val="0"/>
              <w:contextualSpacing/>
              <w:jc w:val="both"/>
              <w:rPr>
                <w:rFonts w:ascii="Times New Roman" w:eastAsia="Times New Roman" w:hAnsi="Times New Roman"/>
                <w:iCs/>
                <w:highlight w:val="yellow"/>
              </w:rPr>
            </w:pPr>
          </w:p>
        </w:tc>
      </w:tr>
      <w:tr w:rsidR="00706508" w14:paraId="1B39348C" w14:textId="77777777" w:rsidTr="00706508">
        <w:tc>
          <w:tcPr>
            <w:tcW w:w="4280" w:type="dxa"/>
            <w:shd w:val="clear" w:color="auto" w:fill="D9E2F3" w:themeFill="accent1" w:themeFillTint="33"/>
          </w:tcPr>
          <w:p w14:paraId="373B6240" w14:textId="7883C1DF" w:rsidR="00706508" w:rsidRPr="00BC6C35" w:rsidRDefault="0070650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75D176E" w:rsidR="00706508" w:rsidRPr="000306BD" w:rsidRDefault="00706508" w:rsidP="00CD6114">
            <w:pPr>
              <w:widowControl w:val="0"/>
              <w:contextualSpacing/>
              <w:jc w:val="both"/>
              <w:rPr>
                <w:rFonts w:ascii="Times New Roman" w:eastAsia="Times New Roman" w:hAnsi="Times New Roman"/>
                <w:iCs/>
                <w:highlight w:val="yellow"/>
              </w:rPr>
            </w:pPr>
          </w:p>
        </w:tc>
      </w:tr>
      <w:tr w:rsidR="00706508" w14:paraId="3863AABC" w14:textId="77777777" w:rsidTr="00706508">
        <w:tc>
          <w:tcPr>
            <w:tcW w:w="4280" w:type="dxa"/>
            <w:shd w:val="clear" w:color="auto" w:fill="D9E2F3" w:themeFill="accent1" w:themeFillTint="33"/>
          </w:tcPr>
          <w:p w14:paraId="7CA190D5" w14:textId="533F00BE" w:rsidR="00706508" w:rsidRPr="00BC6C35" w:rsidRDefault="0070650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7F4FBDD" w:rsidR="00706508" w:rsidRPr="000306BD" w:rsidRDefault="0070650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1-16T00:00:00Z">
                <w:dateFormat w:val="dd.MM.yyyy"/>
                <w:lid w:val="ru-RU"/>
                <w:storeMappedDataAs w:val="dateTime"/>
                <w:calendar w:val="gregorian"/>
              </w:date>
            </w:sdtPr>
            <w:sdtEndPr>
              <w:rPr>
                <w:rStyle w:val="a0"/>
                <w:rFonts w:ascii="Calibri" w:eastAsia="Times New Roman" w:hAnsi="Calibri"/>
              </w:rPr>
            </w:sdtEndPr>
            <w:sdtContent>
              <w:p w14:paraId="02EA6130" w14:textId="63F713D5" w:rsidR="00D407F7" w:rsidRPr="00BF5CF1" w:rsidRDefault="001B4B60" w:rsidP="00D407F7">
                <w:pPr>
                  <w:widowControl w:val="0"/>
                  <w:tabs>
                    <w:tab w:val="left" w:pos="247"/>
                    <w:tab w:val="left" w:pos="1130"/>
                  </w:tabs>
                  <w:ind w:left="33"/>
                  <w:contextualSpacing/>
                  <w:jc w:val="both"/>
                  <w:rPr>
                    <w:rStyle w:val="1f4"/>
                  </w:rPr>
                </w:pPr>
                <w:r>
                  <w:rPr>
                    <w:rStyle w:val="1f4"/>
                  </w:rPr>
                  <w:t>16.01.2026</w:t>
                </w:r>
              </w:p>
            </w:sdtContent>
          </w:sdt>
          <w:p w14:paraId="749F231C" w14:textId="041DD91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06508">
              <w:rPr>
                <w:rFonts w:ascii="Times New Roman" w:eastAsia="Times New Roman" w:hAnsi="Times New Roman"/>
                <w:iCs/>
                <w:lang w:val="en-US"/>
              </w:rPr>
              <w:t>10</w:t>
            </w:r>
            <w:r w:rsidR="0070650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1-19T00:00:00Z">
                <w:dateFormat w:val="dd.MM.yyyy"/>
                <w:lid w:val="ru-RU"/>
                <w:storeMappedDataAs w:val="dateTime"/>
                <w:calendar w:val="gregorian"/>
              </w:date>
            </w:sdtPr>
            <w:sdtEndPr>
              <w:rPr>
                <w:rStyle w:val="a0"/>
                <w:rFonts w:ascii="Calibri" w:eastAsia="Times New Roman" w:hAnsi="Calibri"/>
              </w:rPr>
            </w:sdtEndPr>
            <w:sdtContent>
              <w:p w14:paraId="15E900F8" w14:textId="698B548F" w:rsidR="00D407F7" w:rsidRPr="00BF5CF1" w:rsidRDefault="001B4B60" w:rsidP="001B4B60">
                <w:pPr>
                  <w:widowControl w:val="0"/>
                  <w:tabs>
                    <w:tab w:val="left" w:pos="247"/>
                    <w:tab w:val="left" w:pos="1130"/>
                  </w:tabs>
                  <w:ind w:left="33"/>
                  <w:contextualSpacing/>
                  <w:jc w:val="both"/>
                  <w:rPr>
                    <w:rStyle w:val="1f4"/>
                  </w:rPr>
                </w:pPr>
                <w:r>
                  <w:rPr>
                    <w:rStyle w:val="1f4"/>
                  </w:rPr>
                  <w:t>19.01.2026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1-20T00:00:00Z">
                <w:dateFormat w:val="dd.MM.yyyy"/>
                <w:lid w:val="ru-RU"/>
                <w:storeMappedDataAs w:val="dateTime"/>
                <w:calendar w:val="gregorian"/>
              </w:date>
            </w:sdtPr>
            <w:sdtEndPr>
              <w:rPr>
                <w:rStyle w:val="a0"/>
                <w:rFonts w:ascii="Calibri" w:eastAsia="Times New Roman" w:hAnsi="Calibri"/>
              </w:rPr>
            </w:sdtEndPr>
            <w:sdtContent>
              <w:p w14:paraId="4178798E" w14:textId="1A0C8532" w:rsidR="00D407F7" w:rsidRPr="00BF5CF1" w:rsidRDefault="001B4B60" w:rsidP="00D407F7">
                <w:pPr>
                  <w:widowControl w:val="0"/>
                  <w:tabs>
                    <w:tab w:val="left" w:pos="247"/>
                    <w:tab w:val="left" w:pos="1130"/>
                  </w:tabs>
                  <w:ind w:left="33"/>
                  <w:contextualSpacing/>
                  <w:jc w:val="both"/>
                  <w:rPr>
                    <w:rStyle w:val="1f4"/>
                  </w:rPr>
                </w:pPr>
                <w:r>
                  <w:rPr>
                    <w:rStyle w:val="1f4"/>
                  </w:rPr>
                  <w:t>20.01.2026</w:t>
                </w:r>
              </w:p>
            </w:sdtContent>
          </w:sdt>
          <w:p w14:paraId="45DC14ED" w14:textId="2552D713" w:rsidR="00D407F7" w:rsidRPr="00BF5CF1" w:rsidRDefault="00D407F7" w:rsidP="001B4B60">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06508">
              <w:rPr>
                <w:rFonts w:ascii="Times New Roman" w:eastAsia="Times New Roman" w:hAnsi="Times New Roman"/>
                <w:iCs/>
              </w:rPr>
              <w:t>1</w:t>
            </w:r>
            <w:r w:rsidR="001B4B60">
              <w:rPr>
                <w:rFonts w:ascii="Times New Roman" w:eastAsia="Times New Roman" w:hAnsi="Times New Roman"/>
                <w:iCs/>
              </w:rPr>
              <w:t>0</w:t>
            </w:r>
            <w:r w:rsidR="0070650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1-21T00:00:00Z">
                <w:dateFormat w:val="dd.MM.yyyy"/>
                <w:lid w:val="ru-RU"/>
                <w:storeMappedDataAs w:val="dateTime"/>
                <w:calendar w:val="gregorian"/>
              </w:date>
            </w:sdtPr>
            <w:sdtEndPr>
              <w:rPr>
                <w:rStyle w:val="a0"/>
                <w:rFonts w:ascii="Calibri" w:eastAsia="Times New Roman" w:hAnsi="Calibri"/>
              </w:rPr>
            </w:sdtEndPr>
            <w:sdtContent>
              <w:p w14:paraId="7ADF8FAC" w14:textId="619A4E0B" w:rsidR="00D407F7" w:rsidRPr="00BF5CF1" w:rsidRDefault="001B4B60" w:rsidP="00D407F7">
                <w:pPr>
                  <w:widowControl w:val="0"/>
                  <w:tabs>
                    <w:tab w:val="left" w:pos="247"/>
                    <w:tab w:val="left" w:pos="1130"/>
                  </w:tabs>
                  <w:ind w:left="33"/>
                  <w:contextualSpacing/>
                  <w:jc w:val="both"/>
                  <w:rPr>
                    <w:rStyle w:val="1f4"/>
                  </w:rPr>
                </w:pPr>
                <w:r>
                  <w:rPr>
                    <w:rStyle w:val="1f4"/>
                  </w:rPr>
                  <w:t>21.01.2026</w:t>
                </w:r>
              </w:p>
            </w:sdtContent>
          </w:sdt>
          <w:p w14:paraId="6D97A54E" w14:textId="5A0BA49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06508">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1-16T00:00:00Z">
                <w:dateFormat w:val="dd.MM.yyyy"/>
                <w:lid w:val="ru-RU"/>
                <w:storeMappedDataAs w:val="dateTime"/>
                <w:calendar w:val="gregorian"/>
              </w:date>
            </w:sdtPr>
            <w:sdtEndPr>
              <w:rPr>
                <w:rStyle w:val="a0"/>
                <w:rFonts w:ascii="Calibri" w:eastAsia="Times New Roman" w:hAnsi="Calibri"/>
              </w:rPr>
            </w:sdtEndPr>
            <w:sdtContent>
              <w:p w14:paraId="6B3A6AE6" w14:textId="60019B95" w:rsidR="00D407F7" w:rsidRPr="00706508" w:rsidRDefault="001B4B60" w:rsidP="00D407F7">
                <w:pPr>
                  <w:widowControl w:val="0"/>
                  <w:tabs>
                    <w:tab w:val="left" w:pos="247"/>
                    <w:tab w:val="left" w:pos="1130"/>
                  </w:tabs>
                  <w:ind w:left="33"/>
                  <w:contextualSpacing/>
                  <w:jc w:val="both"/>
                  <w:rPr>
                    <w:rStyle w:val="1f4"/>
                  </w:rPr>
                </w:pPr>
                <w:r>
                  <w:rPr>
                    <w:rStyle w:val="1f4"/>
                  </w:rPr>
                  <w:t>16.01.2026</w:t>
                </w:r>
              </w:p>
            </w:sdtContent>
          </w:sdt>
          <w:p w14:paraId="3B23D831" w14:textId="3C2B5626" w:rsidR="00D407F7" w:rsidRPr="00706508" w:rsidRDefault="00D407F7" w:rsidP="00D407F7">
            <w:pPr>
              <w:widowControl w:val="0"/>
              <w:jc w:val="both"/>
              <w:rPr>
                <w:rFonts w:ascii="Times New Roman" w:eastAsia="Times New Roman" w:hAnsi="Times New Roman"/>
                <w:iCs/>
              </w:rPr>
            </w:pPr>
            <w:r w:rsidRPr="00706508">
              <w:rPr>
                <w:rFonts w:ascii="Times New Roman" w:eastAsia="Times New Roman" w:hAnsi="Times New Roman"/>
                <w:iCs/>
              </w:rPr>
              <w:t xml:space="preserve">в </w:t>
            </w:r>
            <w:r w:rsidR="00706508" w:rsidRPr="00706508">
              <w:rPr>
                <w:rFonts w:ascii="Times New Roman" w:eastAsia="Times New Roman" w:hAnsi="Times New Roman"/>
                <w:iCs/>
              </w:rPr>
              <w:t xml:space="preserve">10:00 </w:t>
            </w:r>
            <w:r w:rsidRPr="00706508">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47399DF" w:rsidR="00D407F7" w:rsidRPr="00706508" w:rsidRDefault="00706508" w:rsidP="00D407F7">
            <w:pPr>
              <w:widowControl w:val="0"/>
              <w:jc w:val="both"/>
              <w:rPr>
                <w:rFonts w:ascii="Times New Roman" w:eastAsia="Times New Roman" w:hAnsi="Times New Roman"/>
                <w:iCs/>
              </w:rPr>
            </w:pPr>
            <w:r w:rsidRPr="00706508">
              <w:rPr>
                <w:rFonts w:ascii="Times New Roman" w:eastAsia="Times New Roman" w:hAnsi="Times New Roman"/>
                <w:bCs/>
              </w:rPr>
              <w:t>-</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0562878" w:rsidR="00D407F7" w:rsidRPr="00706508" w:rsidRDefault="00D407F7" w:rsidP="00D407F7">
            <w:pPr>
              <w:widowControl w:val="0"/>
              <w:jc w:val="both"/>
              <w:rPr>
                <w:rFonts w:ascii="Times New Roman" w:eastAsia="Times New Roman" w:hAnsi="Times New Roman"/>
                <w:iCs/>
              </w:rPr>
            </w:pPr>
            <w:r w:rsidRPr="00706508">
              <w:rPr>
                <w:rFonts w:ascii="Times New Roman" w:eastAsia="Times New Roman" w:hAnsi="Times New Roman"/>
                <w:iCs/>
              </w:rPr>
              <w:t>В соответствии с пунктом 1</w:t>
            </w:r>
            <w:r w:rsidR="00706508" w:rsidRPr="00706508">
              <w:rPr>
                <w:rFonts w:ascii="Times New Roman" w:eastAsia="Times New Roman" w:hAnsi="Times New Roman"/>
                <w:iCs/>
              </w:rPr>
              <w:t>5</w:t>
            </w:r>
            <w:r w:rsidRPr="00706508">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2852323" w:rsidR="00D407F7" w:rsidRPr="00706508" w:rsidRDefault="00706508" w:rsidP="00D407F7">
            <w:pPr>
              <w:widowControl w:val="0"/>
              <w:jc w:val="both"/>
              <w:rPr>
                <w:rFonts w:ascii="Times New Roman" w:eastAsia="Times New Roman" w:hAnsi="Times New Roman"/>
                <w:iCs/>
              </w:rPr>
            </w:pPr>
            <w:r w:rsidRPr="00706508">
              <w:rPr>
                <w:rFonts w:ascii="Times New Roman" w:eastAsia="Times New Roman" w:hAnsi="Times New Roman"/>
                <w:bCs/>
              </w:rPr>
              <w:t>-</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371F697" w:rsidR="00D407F7" w:rsidRPr="00706508" w:rsidRDefault="00D407F7" w:rsidP="00D407F7">
            <w:pPr>
              <w:widowControl w:val="0"/>
              <w:jc w:val="both"/>
              <w:rPr>
                <w:rFonts w:ascii="Times New Roman" w:eastAsia="Times New Roman" w:hAnsi="Times New Roman"/>
                <w:iCs/>
              </w:rPr>
            </w:pPr>
            <w:r w:rsidRPr="00706508">
              <w:rPr>
                <w:rFonts w:ascii="Times New Roman" w:eastAsia="Times New Roman" w:hAnsi="Times New Roman"/>
                <w:iCs/>
              </w:rPr>
              <w:t>В соответствии с пунктом 1</w:t>
            </w:r>
            <w:r w:rsidR="00706508" w:rsidRPr="00706508">
              <w:rPr>
                <w:rFonts w:ascii="Times New Roman" w:eastAsia="Times New Roman" w:hAnsi="Times New Roman"/>
                <w:iCs/>
              </w:rPr>
              <w:t>6</w:t>
            </w:r>
            <w:r w:rsidRPr="00706508">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7E86F9A" w:rsidR="00D407F7" w:rsidRPr="00706508" w:rsidRDefault="00706508" w:rsidP="00D407F7">
            <w:pPr>
              <w:widowControl w:val="0"/>
              <w:jc w:val="both"/>
              <w:rPr>
                <w:rFonts w:ascii="Times New Roman" w:eastAsia="Times New Roman" w:hAnsi="Times New Roman"/>
                <w:iCs/>
              </w:rPr>
            </w:pPr>
            <w:r w:rsidRPr="00706508">
              <w:rPr>
                <w:rFonts w:ascii="Times New Roman" w:eastAsia="Times New Roman" w:hAnsi="Times New Roman"/>
                <w:bCs/>
              </w:rPr>
              <w:t>-</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6FAD2FE" w:rsidR="00D407F7" w:rsidRPr="00706508" w:rsidRDefault="00D407F7" w:rsidP="00D407F7">
            <w:pPr>
              <w:widowControl w:val="0"/>
              <w:jc w:val="both"/>
              <w:rPr>
                <w:rFonts w:ascii="Times New Roman" w:eastAsia="Times New Roman" w:hAnsi="Times New Roman"/>
                <w:iCs/>
              </w:rPr>
            </w:pPr>
            <w:r w:rsidRPr="00706508">
              <w:rPr>
                <w:rFonts w:ascii="Times New Roman" w:eastAsia="Times New Roman" w:hAnsi="Times New Roman"/>
                <w:iCs/>
              </w:rPr>
              <w:t>В соответствии с пунктом 1</w:t>
            </w:r>
            <w:r w:rsidR="00706508" w:rsidRPr="00706508">
              <w:rPr>
                <w:rFonts w:ascii="Times New Roman" w:eastAsia="Times New Roman" w:hAnsi="Times New Roman"/>
                <w:iCs/>
              </w:rPr>
              <w:t>7</w:t>
            </w:r>
            <w:r w:rsidRPr="00706508">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706508" w:rsidRDefault="00924333" w:rsidP="00924333">
            <w:pPr>
              <w:widowControl w:val="0"/>
              <w:ind w:firstLine="436"/>
              <w:jc w:val="both"/>
              <w:rPr>
                <w:rFonts w:ascii="Times New Roman" w:eastAsia="Times New Roman" w:hAnsi="Times New Roman"/>
                <w:iCs/>
              </w:rPr>
            </w:pPr>
            <w:r w:rsidRPr="00706508">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706508">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706508" w:rsidRDefault="00924333" w:rsidP="00924333">
            <w:pPr>
              <w:widowControl w:val="0"/>
              <w:ind w:firstLine="436"/>
              <w:jc w:val="both"/>
              <w:rPr>
                <w:rFonts w:ascii="Times New Roman" w:eastAsia="Times New Roman" w:hAnsi="Times New Roman"/>
                <w:iCs/>
              </w:rPr>
            </w:pPr>
            <w:r w:rsidRPr="00706508">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706508" w:rsidRDefault="00924333" w:rsidP="00924333">
            <w:pPr>
              <w:widowControl w:val="0"/>
              <w:ind w:firstLine="436"/>
              <w:jc w:val="both"/>
              <w:rPr>
                <w:rFonts w:ascii="Times New Roman" w:eastAsia="Times New Roman" w:hAnsi="Times New Roman"/>
                <w:iCs/>
              </w:rPr>
            </w:pPr>
            <w:r w:rsidRPr="00706508">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706508" w:rsidRDefault="00924333" w:rsidP="00924333">
            <w:pPr>
              <w:widowControl w:val="0"/>
              <w:ind w:firstLine="436"/>
              <w:jc w:val="both"/>
              <w:rPr>
                <w:rFonts w:ascii="Times New Roman" w:eastAsia="Times New Roman" w:hAnsi="Times New Roman"/>
                <w:iCs/>
              </w:rPr>
            </w:pPr>
            <w:r w:rsidRPr="00706508">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706508" w:rsidRDefault="00924333" w:rsidP="00924333">
            <w:pPr>
              <w:widowControl w:val="0"/>
              <w:ind w:firstLine="436"/>
              <w:jc w:val="both"/>
              <w:rPr>
                <w:rFonts w:ascii="Times New Roman" w:eastAsia="Times New Roman" w:hAnsi="Times New Roman"/>
                <w:iCs/>
              </w:rPr>
            </w:pPr>
            <w:r w:rsidRPr="00706508">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706508" w:rsidRDefault="00924333" w:rsidP="00924333">
            <w:pPr>
              <w:widowControl w:val="0"/>
              <w:ind w:firstLine="436"/>
              <w:jc w:val="both"/>
              <w:rPr>
                <w:rFonts w:ascii="Times New Roman" w:eastAsia="Times New Roman" w:hAnsi="Times New Roman"/>
                <w:iCs/>
              </w:rPr>
            </w:pPr>
            <w:r w:rsidRPr="00706508">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706508" w:rsidRDefault="00924333" w:rsidP="00924333">
            <w:pPr>
              <w:widowControl w:val="0"/>
              <w:ind w:firstLine="436"/>
              <w:jc w:val="both"/>
              <w:rPr>
                <w:rFonts w:ascii="Times New Roman" w:eastAsia="Times New Roman" w:hAnsi="Times New Roman"/>
                <w:iCs/>
              </w:rPr>
            </w:pPr>
            <w:r w:rsidRPr="00706508">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B592936" w:rsidR="00EA396D" w:rsidRPr="00BF5CF1" w:rsidRDefault="000F7AE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52A29A9" w14:textId="77777777" w:rsidR="000F7AEB" w:rsidRPr="000F7AEB" w:rsidRDefault="000F7AEB" w:rsidP="000F7AEB">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F7AEB">
              <w:rPr>
                <w:rFonts w:ascii="Times New Roman" w:eastAsia="Times New Roman" w:hAnsi="Times New Roman" w:cs="Times New Roman"/>
                <w:bCs/>
                <w:sz w:val="20"/>
                <w:szCs w:val="20"/>
                <w:lang w:eastAsia="ru-RU"/>
              </w:rPr>
              <w:t>Оказание прачечных услуг (стирка, сушка и глажение белья)</w:t>
            </w:r>
          </w:p>
          <w:p w14:paraId="35E342FA" w14:textId="6D8D378C" w:rsidR="0024495D" w:rsidRPr="004D717D" w:rsidRDefault="000F7AEB" w:rsidP="000F7AEB">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0F7AEB">
              <w:rPr>
                <w:rFonts w:ascii="Times New Roman" w:eastAsia="Times New Roman" w:hAnsi="Times New Roman" w:cs="Times New Roman"/>
                <w:bCs/>
                <w:sz w:val="20"/>
                <w:szCs w:val="20"/>
                <w:lang w:eastAsia="ru-RU"/>
              </w:rPr>
              <w:t xml:space="preserve"> для нужд ГАУЗ Красноусольский детский санаторий РБ</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4D3BB1D" w:rsidR="0024495D" w:rsidRPr="004D717D" w:rsidRDefault="0024495D" w:rsidP="00290FD7">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290FD7" w:rsidRPr="00290FD7">
              <w:rPr>
                <w:rFonts w:ascii="Times New Roman" w:hAnsi="Times New Roman" w:cs="Times New Roman"/>
                <w:b/>
                <w:bCs/>
                <w:sz w:val="20"/>
                <w:szCs w:val="20"/>
              </w:rPr>
              <w:t>1 709 400 (один миллион семьсот девять тысяч четыреста) руб. 00 коп.</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290FD7"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w:t>
            </w:r>
            <w:r w:rsidRPr="00290FD7">
              <w:rPr>
                <w:rStyle w:val="2f0"/>
                <w:rFonts w:eastAsia="Calibri"/>
                <w:sz w:val="20"/>
              </w:rPr>
              <w:t>,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290FD7"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90FD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90FD7">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A87D9F2" w:rsidR="0024495D" w:rsidRPr="004D717D" w:rsidRDefault="00F749A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3E39DB8" w:rsidR="0024495D" w:rsidRPr="004D717D" w:rsidRDefault="00F749A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294E23B" w:rsidR="0024495D" w:rsidRPr="004D717D" w:rsidRDefault="00F749A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4BC09DC"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3CD2E070"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00F90647"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C72803F"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7FAEE267"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733075FC"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252B4C65"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091E7E4F"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1E05857"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p>
          <w:p w14:paraId="46A9F1EC"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и административного наказания в виде дисквалификации; </w:t>
            </w:r>
          </w:p>
          <w:p w14:paraId="00B2CF5E"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w:t>
            </w:r>
          </w:p>
          <w:p w14:paraId="66C9FA73"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D99FB8C"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47541322"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w:t>
            </w:r>
            <w:r w:rsidRPr="005730FE">
              <w:rPr>
                <w:rFonts w:ascii="Times New Roman" w:eastAsia="Times New Roman" w:hAnsi="Times New Roman" w:cs="Times New Roman"/>
                <w:bCs/>
                <w:sz w:val="20"/>
                <w:szCs w:val="20"/>
                <w:lang w:eastAsia="ru-RU"/>
              </w:rPr>
              <w:lastRenderedPageBreak/>
              <w:t xml:space="preserve">органом хозяйственного общества (директором, генеральным директором, управляющим, президентом </w:t>
            </w:r>
          </w:p>
          <w:p w14:paraId="7F6EE121"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5BBFB0C3"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w:t>
            </w:r>
          </w:p>
          <w:p w14:paraId="63ED19C1"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и нисходящей линии (родителями и детьми, дедушкой, бабушкой и внуками), полнородными и неполнородными (имеющими общих отца или мать) братьями </w:t>
            </w:r>
          </w:p>
          <w:p w14:paraId="1A01F70E"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и сестрами), усыновителями или усыновленными указанных физических лиц; </w:t>
            </w:r>
          </w:p>
          <w:p w14:paraId="586F83D0"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920B773"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9) участник закупки не является офшорной компанией;</w:t>
            </w:r>
          </w:p>
          <w:p w14:paraId="072A9E68" w14:textId="77777777" w:rsidR="005730FE" w:rsidRPr="005730FE"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30FE">
              <w:rPr>
                <w:rFonts w:ascii="Times New Roman" w:eastAsia="Times New Roman" w:hAnsi="Times New Roman" w:cs="Times New Roman"/>
                <w:bCs/>
                <w:sz w:val="20"/>
                <w:szCs w:val="20"/>
                <w:lang w:eastAsia="ru-RU"/>
              </w:rPr>
              <w:t>10)</w:t>
            </w:r>
            <w:r w:rsidRPr="005730FE">
              <w:rPr>
                <w:rFonts w:ascii="Times New Roman" w:eastAsia="Times New Roman" w:hAnsi="Times New Roman" w:cs="Times New Roman"/>
                <w:bCs/>
                <w:sz w:val="20"/>
                <w:szCs w:val="20"/>
                <w:lang w:eastAsia="ru-RU"/>
              </w:rPr>
              <w:tab/>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Указ Президента России от 03.05.2022 № 252</w:t>
            </w:r>
          </w:p>
          <w:p w14:paraId="65B8F57C" w14:textId="090BB747" w:rsidR="0024495D" w:rsidRPr="004D717D" w:rsidRDefault="005730FE" w:rsidP="005730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0FE">
              <w:rPr>
                <w:rFonts w:ascii="Times New Roman" w:eastAsia="Times New Roman" w:hAnsi="Times New Roman" w:cs="Times New Roman"/>
                <w:bCs/>
                <w:sz w:val="20"/>
                <w:szCs w:val="20"/>
                <w:lang w:eastAsia="ru-RU"/>
              </w:rPr>
              <w:t>11)</w:t>
            </w:r>
            <w:r w:rsidRPr="005730FE">
              <w:rPr>
                <w:rFonts w:ascii="Times New Roman" w:eastAsia="Times New Roman" w:hAnsi="Times New Roman" w:cs="Times New Roman"/>
                <w:bCs/>
                <w:sz w:val="20"/>
                <w:szCs w:val="20"/>
                <w:lang w:eastAsia="ru-RU"/>
              </w:rPr>
              <w:tab/>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B6DFD8B" w:rsidR="0024495D" w:rsidRPr="004D717D" w:rsidRDefault="00F749A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FE57633"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Заявка на участие должна содержать следующую информацию:</w:t>
            </w:r>
          </w:p>
          <w:p w14:paraId="00F47459"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1) при заключении договора на поставку товара:</w:t>
            </w:r>
          </w:p>
          <w:p w14:paraId="3D202A70"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p>
          <w:p w14:paraId="1608D5B2"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BFAC5C8"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0E828BBC"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 xml:space="preserve">2) согласие участника аукциона на выполнение работы или оказание услуги на условиях, </w:t>
            </w:r>
            <w:r w:rsidRPr="002B4F65">
              <w:rPr>
                <w:rFonts w:ascii="Times New Roman" w:eastAsia="Times New Roman" w:hAnsi="Times New Roman" w:cs="Times New Roman"/>
                <w:sz w:val="20"/>
                <w:szCs w:val="20"/>
                <w:lang w:eastAsia="ru-RU"/>
              </w:rPr>
              <w:lastRenderedPageBreak/>
              <w:t>предусмотренных документацией об аукционе, при проведении такого аукциона на выполнение работы или оказание услуги;</w:t>
            </w:r>
          </w:p>
          <w:p w14:paraId="41376B5C"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061E8DE1"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D35A1F7"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2D7B7365" w14:textId="6D936788"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3EC23588"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2E525412" w14:textId="7406AA5A"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а) документы и информацию об участнике закупки:</w:t>
            </w:r>
          </w:p>
          <w:p w14:paraId="276FF82E"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0D90B4B0"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согласие участника закупки на обработку персональных данных (для физического лица);</w:t>
            </w:r>
          </w:p>
          <w:p w14:paraId="03706B5B"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w:t>
            </w:r>
            <w:r w:rsidRPr="002B4F65">
              <w:rPr>
                <w:rFonts w:ascii="Times New Roman" w:eastAsia="Times New Roman" w:hAnsi="Times New Roman" w:cs="Times New Roman"/>
                <w:sz w:val="20"/>
                <w:szCs w:val="20"/>
                <w:lang w:eastAsia="ru-RU"/>
              </w:rPr>
              <w:br/>
              <w:t xml:space="preserve">о государственной регистрации юридического лица или физического лица </w:t>
            </w:r>
            <w:r w:rsidRPr="002B4F65">
              <w:rPr>
                <w:rFonts w:ascii="Times New Roman" w:eastAsia="Times New Roman" w:hAnsi="Times New Roman" w:cs="Times New Roman"/>
                <w:sz w:val="20"/>
                <w:szCs w:val="20"/>
                <w:lang w:eastAsia="ru-RU"/>
              </w:rPr>
              <w:br/>
              <w:t xml:space="preserve">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AD32401"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 xml:space="preserve">документ, подтверждающий полномочия лица на осуществление действий </w:t>
            </w:r>
            <w:r w:rsidRPr="002B4F65">
              <w:rPr>
                <w:rFonts w:ascii="Times New Roman" w:eastAsia="Times New Roman" w:hAnsi="Times New Roman" w:cs="Times New Roman"/>
                <w:sz w:val="20"/>
                <w:szCs w:val="20"/>
                <w:lang w:eastAsia="ru-RU"/>
              </w:rPr>
              <w:br/>
              <w:t xml:space="preserve">от имени участника конкурса – юридического лица (копию решения о назначении или об избрании либо копию приказа о назначении физического лица </w:t>
            </w:r>
            <w:r w:rsidRPr="002B4F65">
              <w:rPr>
                <w:rFonts w:ascii="Times New Roman" w:eastAsia="Times New Roman" w:hAnsi="Times New Roman" w:cs="Times New Roman"/>
                <w:sz w:val="20"/>
                <w:szCs w:val="20"/>
                <w:lang w:eastAsia="ru-RU"/>
              </w:rPr>
              <w:br/>
              <w:t xml:space="preserve">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w:t>
            </w:r>
            <w:r w:rsidRPr="002B4F65">
              <w:rPr>
                <w:rFonts w:ascii="Times New Roman" w:eastAsia="Times New Roman" w:hAnsi="Times New Roman" w:cs="Times New Roman"/>
                <w:sz w:val="20"/>
                <w:szCs w:val="20"/>
                <w:lang w:eastAsia="ru-RU"/>
              </w:rPr>
              <w:br/>
              <w:t xml:space="preserve">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w:t>
            </w:r>
            <w:r w:rsidRPr="002B4F65">
              <w:rPr>
                <w:rFonts w:ascii="Times New Roman" w:eastAsia="Times New Roman" w:hAnsi="Times New Roman" w:cs="Times New Roman"/>
                <w:sz w:val="20"/>
                <w:szCs w:val="20"/>
                <w:lang w:eastAsia="ru-RU"/>
              </w:rPr>
              <w:br/>
              <w:t>на участие в конкурсе должна содержать также документ, подтверждающий полномочия такого лица;</w:t>
            </w:r>
          </w:p>
          <w:p w14:paraId="6118F8B4"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копии учредительных документов участника конкурса (для юридического лица);</w:t>
            </w:r>
          </w:p>
          <w:p w14:paraId="1609F007"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2B4F65">
              <w:rPr>
                <w:rFonts w:ascii="Times New Roman" w:eastAsia="Times New Roman" w:hAnsi="Times New Roman" w:cs="Times New Roman"/>
                <w:sz w:val="20"/>
                <w:szCs w:val="20"/>
                <w:lang w:eastAsia="ru-RU"/>
              </w:rPr>
              <w:lastRenderedPageBreak/>
              <w:t>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1649FFD5"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 xml:space="preserve">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w:t>
            </w:r>
            <w:r w:rsidRPr="002B4F65">
              <w:rPr>
                <w:rFonts w:ascii="Times New Roman" w:eastAsia="Times New Roman" w:hAnsi="Times New Roman" w:cs="Times New Roman"/>
                <w:sz w:val="20"/>
                <w:szCs w:val="20"/>
                <w:lang w:eastAsia="ru-RU"/>
              </w:rPr>
              <w:br/>
              <w:t xml:space="preserve">к компетенции которого относится вопрос об одобрении крупных сделок, участник процедуры закупки обязан представить письмо, содержащее обязательство </w:t>
            </w:r>
            <w:r w:rsidRPr="002B4F65">
              <w:rPr>
                <w:rFonts w:ascii="Times New Roman" w:eastAsia="Times New Roman" w:hAnsi="Times New Roman" w:cs="Times New Roman"/>
                <w:sz w:val="20"/>
                <w:szCs w:val="20"/>
                <w:lang w:eastAsia="ru-RU"/>
              </w:rPr>
              <w:br/>
              <w:t>в случае признания его победителем процедуры закупки представить вышеуказанное решение до момента заключения договора;</w:t>
            </w:r>
          </w:p>
          <w:p w14:paraId="2FE84634"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 xml:space="preserve">документы, подтверждающие соответствие участника закупки требованиям </w:t>
            </w:r>
            <w:r w:rsidRPr="002B4F65">
              <w:rPr>
                <w:rFonts w:ascii="Times New Roman" w:eastAsia="Times New Roman" w:hAnsi="Times New Roman" w:cs="Times New Roman"/>
                <w:sz w:val="20"/>
                <w:szCs w:val="20"/>
                <w:lang w:eastAsia="ru-RU"/>
              </w:rPr>
              <w:br/>
              <w:t>к участникам закупки в соответствии с подпунктом 1 пункта 3.9.1 настоящего Положения, или копии таких документов;</w:t>
            </w:r>
          </w:p>
          <w:p w14:paraId="7CD9F8BA"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документы, подтверждающие соответствие участника конкурса и (или) предлагаемых им товара, работы или услуги дополнительным требованиям (пункт 3.9.3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конкурсной документации, а также декларацию о соответствии участника конкурса требованиям, установленным в соответствии с подпунктами 2 – 8   пункта 3.9.1 настоящего Положения;</w:t>
            </w:r>
          </w:p>
          <w:p w14:paraId="5127EE7B"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б) предложение участника конкурса в отношении предмета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2B4F65">
              <w:rPr>
                <w:rFonts w:eastAsia="Times New Roman" w:cs="Times New Roman"/>
                <w:sz w:val="20"/>
                <w:szCs w:val="20"/>
                <w:lang w:eastAsia="ru-RU"/>
              </w:rPr>
              <w:footnoteReference w:id="2"/>
            </w:r>
            <w:r w:rsidRPr="002B4F65">
              <w:rPr>
                <w:rFonts w:ascii="Times New Roman" w:eastAsia="Times New Roman" w:hAnsi="Times New Roman" w:cs="Times New Roman"/>
                <w:sz w:val="20"/>
                <w:szCs w:val="20"/>
                <w:lang w:eastAsia="ru-RU"/>
              </w:rPr>
              <w:t xml:space="preserve"> </w:t>
            </w:r>
            <w:r w:rsidRPr="002B4F65">
              <w:rPr>
                <w:rFonts w:ascii="Times New Roman" w:eastAsia="Times New Roman" w:hAnsi="Times New Roman" w:cs="Times New Roman"/>
                <w:sz w:val="20"/>
                <w:szCs w:val="20"/>
                <w:lang w:eastAsia="ru-RU"/>
              </w:rPr>
              <w:br/>
              <w:t>и производителе товара;</w:t>
            </w:r>
          </w:p>
          <w:p w14:paraId="03F4C8B8"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60C4DAC3"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7B095336" w14:textId="77777777" w:rsidR="00B65BE3" w:rsidRPr="002B4F65" w:rsidRDefault="00B65BE3"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д)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23CEDEAA" w14:textId="15CE81B2" w:rsidR="0024495D" w:rsidRPr="002B4F65" w:rsidRDefault="0024495D" w:rsidP="00B65B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2B4F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B4F6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2B4F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B4F6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B46E8EC" w:rsidR="0024495D" w:rsidRPr="002B4F65" w:rsidRDefault="002B4F65"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B4F65">
              <w:rPr>
                <w:rFonts w:ascii="Times New Roman" w:eastAsia="Times New Roman" w:hAnsi="Times New Roman" w:cs="Times New Roman"/>
                <w:bCs/>
                <w:sz w:val="20"/>
                <w:szCs w:val="20"/>
                <w:lang w:eastAsia="ru-RU"/>
              </w:rPr>
              <w:t>-</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2B4F65"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2B4F65">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2B4F65"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B4F65">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2B4F65"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B4F65">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2B4F65"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B4F65">
              <w:rPr>
                <w:rFonts w:ascii="Times New Roman" w:eastAsia="Times New Roman" w:hAnsi="Times New Roman" w:cs="Times New Roman"/>
                <w:bCs/>
                <w:sz w:val="20"/>
                <w:szCs w:val="20"/>
                <w:lang w:eastAsia="ru-RU"/>
              </w:rPr>
              <w:lastRenderedPageBreak/>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2B4F65"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B4F65">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2B4F65"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B4F65">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2B4F65"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B4F65">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2B4F65"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B4F65">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2B4F6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B4F65">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368522C" w:rsidR="0024495D" w:rsidRPr="002B4F65" w:rsidRDefault="002B4F6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B4F65">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2B4F6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B4F6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2B4F6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2B4F6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 xml:space="preserve">Порядок подачи заявки на участие в </w:t>
            </w:r>
            <w:r w:rsidR="00436D85" w:rsidRPr="002B4F65">
              <w:rPr>
                <w:rFonts w:ascii="Times New Roman" w:eastAsia="Times New Roman" w:hAnsi="Times New Roman" w:cs="Times New Roman"/>
                <w:sz w:val="20"/>
                <w:szCs w:val="20"/>
                <w:lang w:eastAsia="ru-RU"/>
              </w:rPr>
              <w:t>закупке</w:t>
            </w:r>
            <w:r w:rsidRPr="002B4F65">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2B4F6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1)</w:t>
            </w:r>
            <w:r w:rsidRPr="002B4F65">
              <w:rPr>
                <w:rFonts w:ascii="Times New Roman" w:eastAsia="Times New Roman" w:hAnsi="Times New Roman" w:cs="Times New Roman"/>
                <w:sz w:val="20"/>
                <w:szCs w:val="20"/>
                <w:lang w:eastAsia="ru-RU"/>
              </w:rPr>
              <w:tab/>
              <w:t xml:space="preserve">подать заявку на участие в </w:t>
            </w:r>
            <w:r w:rsidR="00436D85" w:rsidRPr="002B4F65">
              <w:rPr>
                <w:rFonts w:ascii="Times New Roman" w:eastAsia="Times New Roman" w:hAnsi="Times New Roman" w:cs="Times New Roman"/>
                <w:sz w:val="20"/>
                <w:szCs w:val="20"/>
                <w:lang w:eastAsia="ru-RU"/>
              </w:rPr>
              <w:t>закупке</w:t>
            </w:r>
            <w:r w:rsidRPr="002B4F6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2B4F65">
              <w:rPr>
                <w:rFonts w:ascii="Times New Roman" w:eastAsia="Times New Roman" w:hAnsi="Times New Roman" w:cs="Times New Roman"/>
                <w:sz w:val="20"/>
                <w:szCs w:val="20"/>
                <w:lang w:eastAsia="ru-RU"/>
              </w:rPr>
              <w:t>закупка</w:t>
            </w:r>
            <w:r w:rsidRPr="002B4F65">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2B4F6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2)</w:t>
            </w:r>
            <w:r w:rsidRPr="002B4F65">
              <w:rPr>
                <w:rFonts w:ascii="Times New Roman" w:eastAsia="Times New Roman" w:hAnsi="Times New Roman" w:cs="Times New Roman"/>
                <w:sz w:val="20"/>
                <w:szCs w:val="20"/>
                <w:lang w:eastAsia="ru-RU"/>
              </w:rPr>
              <w:tab/>
              <w:t xml:space="preserve">участник </w:t>
            </w:r>
            <w:bookmarkStart w:id="1" w:name="OLE_LINK1"/>
            <w:r w:rsidR="00436D85" w:rsidRPr="002B4F65">
              <w:rPr>
                <w:rFonts w:ascii="Times New Roman" w:eastAsia="Times New Roman" w:hAnsi="Times New Roman" w:cs="Times New Roman"/>
                <w:sz w:val="20"/>
                <w:szCs w:val="20"/>
                <w:lang w:eastAsia="ru-RU"/>
              </w:rPr>
              <w:t>закупки</w:t>
            </w:r>
            <w:r w:rsidRPr="002B4F65">
              <w:rPr>
                <w:rFonts w:ascii="Times New Roman" w:eastAsia="Times New Roman" w:hAnsi="Times New Roman" w:cs="Times New Roman"/>
                <w:sz w:val="20"/>
                <w:szCs w:val="20"/>
                <w:lang w:eastAsia="ru-RU"/>
              </w:rPr>
              <w:t xml:space="preserve"> </w:t>
            </w:r>
            <w:bookmarkEnd w:id="1"/>
            <w:r w:rsidRPr="002B4F65">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2B4F6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3)</w:t>
            </w:r>
            <w:r w:rsidRPr="002B4F65">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2B4F65">
              <w:rPr>
                <w:rFonts w:ascii="Times New Roman" w:eastAsia="Times New Roman" w:hAnsi="Times New Roman" w:cs="Times New Roman"/>
                <w:sz w:val="20"/>
                <w:szCs w:val="20"/>
                <w:lang w:eastAsia="ru-RU"/>
              </w:rPr>
              <w:t xml:space="preserve">закупки </w:t>
            </w:r>
            <w:r w:rsidRPr="002B4F65">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2B4F6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4)</w:t>
            </w:r>
            <w:r w:rsidRPr="002B4F6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2B4F6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4F65">
              <w:rPr>
                <w:rFonts w:ascii="Times New Roman" w:eastAsia="Times New Roman" w:hAnsi="Times New Roman" w:cs="Times New Roman"/>
                <w:sz w:val="20"/>
                <w:szCs w:val="20"/>
                <w:lang w:eastAsia="ru-RU"/>
              </w:rPr>
              <w:t>5)</w:t>
            </w:r>
            <w:r w:rsidRPr="002B4F65">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2B4F65">
              <w:rPr>
                <w:rFonts w:ascii="Times New Roman" w:eastAsia="Times New Roman" w:hAnsi="Times New Roman" w:cs="Times New Roman"/>
                <w:sz w:val="20"/>
                <w:szCs w:val="20"/>
                <w:lang w:eastAsia="ru-RU"/>
              </w:rPr>
              <w:t>ой</w:t>
            </w:r>
            <w:r w:rsidRPr="002B4F65">
              <w:rPr>
                <w:rFonts w:ascii="Times New Roman" w:eastAsia="Times New Roman" w:hAnsi="Times New Roman" w:cs="Times New Roman"/>
                <w:sz w:val="20"/>
                <w:szCs w:val="20"/>
                <w:lang w:eastAsia="ru-RU"/>
              </w:rPr>
              <w:t xml:space="preserve"> </w:t>
            </w:r>
            <w:r w:rsidR="00436D85" w:rsidRPr="002B4F65">
              <w:rPr>
                <w:rFonts w:ascii="Times New Roman" w:eastAsia="Times New Roman" w:hAnsi="Times New Roman" w:cs="Times New Roman"/>
                <w:sz w:val="20"/>
                <w:szCs w:val="20"/>
                <w:lang w:eastAsia="ru-RU"/>
              </w:rPr>
              <w:t xml:space="preserve">закупки </w:t>
            </w:r>
            <w:r w:rsidRPr="002B4F65">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2B4F6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B4F65">
              <w:rPr>
                <w:rFonts w:ascii="Times New Roman" w:eastAsia="Times New Roman" w:hAnsi="Times New Roman" w:cs="Times New Roman"/>
                <w:sz w:val="20"/>
                <w:szCs w:val="20"/>
                <w:lang w:eastAsia="ru-RU"/>
              </w:rPr>
              <w:t>6)</w:t>
            </w:r>
            <w:r w:rsidRPr="002B4F65">
              <w:rPr>
                <w:rFonts w:ascii="Times New Roman" w:eastAsia="Times New Roman" w:hAnsi="Times New Roman" w:cs="Times New Roman"/>
                <w:sz w:val="20"/>
                <w:szCs w:val="20"/>
                <w:lang w:eastAsia="ru-RU"/>
              </w:rPr>
              <w:tab/>
              <w:t xml:space="preserve">участник </w:t>
            </w:r>
            <w:r w:rsidR="00436D85" w:rsidRPr="002B4F65">
              <w:rPr>
                <w:rFonts w:ascii="Times New Roman" w:eastAsia="Times New Roman" w:hAnsi="Times New Roman" w:cs="Times New Roman"/>
                <w:sz w:val="20"/>
                <w:szCs w:val="20"/>
                <w:lang w:eastAsia="ru-RU"/>
              </w:rPr>
              <w:t xml:space="preserve">закупки </w:t>
            </w:r>
            <w:r w:rsidRPr="002B4F65">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8A81CB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46FC4221"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r w:rsidR="0045454A">
              <w:rPr>
                <w:rFonts w:ascii="Times New Roman" w:eastAsia="Times New Roman" w:hAnsi="Times New Roman" w:cs="Times New Roman"/>
                <w:sz w:val="20"/>
                <w:szCs w:val="20"/>
                <w:lang w:eastAsia="ru-RU"/>
              </w:rPr>
              <w:t>;</w:t>
            </w:r>
          </w:p>
          <w:p w14:paraId="5681BB09" w14:textId="0495F7CE" w:rsidR="0045454A" w:rsidRPr="00390F7D" w:rsidRDefault="0045454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95688DB" w:rsidR="0024495D" w:rsidRPr="001B4B60" w:rsidRDefault="0024495D" w:rsidP="002B4F6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0ECA78C" w:rsidR="0024495D" w:rsidRPr="004D717D" w:rsidRDefault="002B4F6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68933" w14:textId="77777777" w:rsidR="00141546" w:rsidRDefault="00141546">
      <w:pPr>
        <w:spacing w:after="0" w:line="240" w:lineRule="auto"/>
      </w:pPr>
      <w:r>
        <w:separator/>
      </w:r>
    </w:p>
  </w:endnote>
  <w:endnote w:type="continuationSeparator" w:id="0">
    <w:p w14:paraId="5DE7302A" w14:textId="77777777" w:rsidR="00141546" w:rsidRDefault="0014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E3260E">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19019" w14:textId="77777777" w:rsidR="00141546" w:rsidRDefault="00141546">
      <w:pPr>
        <w:spacing w:after="0" w:line="240" w:lineRule="auto"/>
      </w:pPr>
      <w:r>
        <w:separator/>
      </w:r>
    </w:p>
  </w:footnote>
  <w:footnote w:type="continuationSeparator" w:id="0">
    <w:p w14:paraId="1503BFF2" w14:textId="77777777" w:rsidR="00141546" w:rsidRDefault="00141546">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2FCA3FCB" w14:textId="77777777" w:rsidR="00B65BE3" w:rsidRPr="00FF0F19" w:rsidRDefault="00B65BE3" w:rsidP="00B65BE3">
      <w:pPr>
        <w:pStyle w:val="af7"/>
        <w:jc w:val="both"/>
        <w:rPr>
          <w:sz w:val="24"/>
          <w:szCs w:val="24"/>
        </w:rPr>
      </w:pPr>
      <w:r w:rsidRPr="00FF0F19">
        <w:rPr>
          <w:rStyle w:val="aff0"/>
          <w:sz w:val="24"/>
          <w:szCs w:val="24"/>
        </w:rPr>
        <w:footnoteRef/>
      </w:r>
      <w:r w:rsidRPr="00FF0F19">
        <w:rPr>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w:t>
      </w:r>
      <w:r>
        <w:rPr>
          <w:sz w:val="24"/>
          <w:szCs w:val="24"/>
        </w:rPr>
        <w:t>,</w:t>
      </w:r>
      <w:r w:rsidRPr="00FF0F19">
        <w:rPr>
          <w:sz w:val="24"/>
          <w:szCs w:val="24"/>
        </w:rPr>
        <w:t xml:space="preserve"> </w:t>
      </w:r>
      <w:r>
        <w:rPr>
          <w:sz w:val="24"/>
          <w:szCs w:val="24"/>
        </w:rPr>
        <w:br/>
      </w:r>
      <w:r w:rsidRPr="00FF0F19">
        <w:rPr>
          <w:sz w:val="24"/>
          <w:szCs w:val="24"/>
        </w:rPr>
        <w:t>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D6463"/>
    <w:rsid w:val="000F7AEB"/>
    <w:rsid w:val="001077B4"/>
    <w:rsid w:val="00125726"/>
    <w:rsid w:val="00141546"/>
    <w:rsid w:val="0015530A"/>
    <w:rsid w:val="0015588A"/>
    <w:rsid w:val="00164454"/>
    <w:rsid w:val="001844F3"/>
    <w:rsid w:val="00190446"/>
    <w:rsid w:val="001935A9"/>
    <w:rsid w:val="001B4B60"/>
    <w:rsid w:val="001B7A9F"/>
    <w:rsid w:val="001F7182"/>
    <w:rsid w:val="0024495D"/>
    <w:rsid w:val="00252418"/>
    <w:rsid w:val="0025284C"/>
    <w:rsid w:val="00256C00"/>
    <w:rsid w:val="00290FD7"/>
    <w:rsid w:val="002B4F65"/>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C7A70"/>
    <w:rsid w:val="004D6F4B"/>
    <w:rsid w:val="004D717D"/>
    <w:rsid w:val="004F40AA"/>
    <w:rsid w:val="005125C6"/>
    <w:rsid w:val="0054310E"/>
    <w:rsid w:val="005467B3"/>
    <w:rsid w:val="005660A5"/>
    <w:rsid w:val="005730FE"/>
    <w:rsid w:val="005E1214"/>
    <w:rsid w:val="00612C81"/>
    <w:rsid w:val="0064252D"/>
    <w:rsid w:val="0064253C"/>
    <w:rsid w:val="00653E09"/>
    <w:rsid w:val="00662C6E"/>
    <w:rsid w:val="00695C75"/>
    <w:rsid w:val="006A6602"/>
    <w:rsid w:val="006B11A4"/>
    <w:rsid w:val="006B3403"/>
    <w:rsid w:val="00706508"/>
    <w:rsid w:val="007075FC"/>
    <w:rsid w:val="007178C5"/>
    <w:rsid w:val="00731559"/>
    <w:rsid w:val="007342CC"/>
    <w:rsid w:val="007B7712"/>
    <w:rsid w:val="007C3E28"/>
    <w:rsid w:val="007D331B"/>
    <w:rsid w:val="007E6159"/>
    <w:rsid w:val="00836FFF"/>
    <w:rsid w:val="00850314"/>
    <w:rsid w:val="00864B13"/>
    <w:rsid w:val="00866D4A"/>
    <w:rsid w:val="00883093"/>
    <w:rsid w:val="00894AA9"/>
    <w:rsid w:val="008C549A"/>
    <w:rsid w:val="008D2D62"/>
    <w:rsid w:val="008E092F"/>
    <w:rsid w:val="008E42F2"/>
    <w:rsid w:val="00905540"/>
    <w:rsid w:val="00914A56"/>
    <w:rsid w:val="00924333"/>
    <w:rsid w:val="0098502E"/>
    <w:rsid w:val="009A532F"/>
    <w:rsid w:val="009D684C"/>
    <w:rsid w:val="00A03BF4"/>
    <w:rsid w:val="00A53448"/>
    <w:rsid w:val="00A95710"/>
    <w:rsid w:val="00B23783"/>
    <w:rsid w:val="00B65BE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D6114"/>
    <w:rsid w:val="00D033E1"/>
    <w:rsid w:val="00D274C9"/>
    <w:rsid w:val="00D407F7"/>
    <w:rsid w:val="00D4767B"/>
    <w:rsid w:val="00D55FB8"/>
    <w:rsid w:val="00D720E3"/>
    <w:rsid w:val="00D72AA2"/>
    <w:rsid w:val="00D850BC"/>
    <w:rsid w:val="00D858EB"/>
    <w:rsid w:val="00DD537F"/>
    <w:rsid w:val="00DF0802"/>
    <w:rsid w:val="00E02BB5"/>
    <w:rsid w:val="00E3260E"/>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749A0"/>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afff6">
    <w:basedOn w:val="a"/>
    <w:next w:val="af3"/>
    <w:uiPriority w:val="99"/>
    <w:unhideWhenUsed/>
    <w:rsid w:val="00B65B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1B4B60"/>
    <w:pPr>
      <w:autoSpaceDE w:val="0"/>
      <w:autoSpaceDN w:val="0"/>
      <w:spacing w:after="0" w:line="240" w:lineRule="auto"/>
      <w:jc w:val="both"/>
    </w:pPr>
    <w:rPr>
      <w:rFonts w:ascii="Arial" w:eastAsia="Times New Roman" w:hAnsi="Arial" w:cs="Calibri"/>
      <w:sz w:val="24"/>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1B4B60"/>
    <w:rPr>
      <w:rFonts w:ascii="Arial" w:eastAsia="Times New Roman" w:hAnsi="Arial" w:cs="Calibri"/>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15062D"/>
    <w:rsid w:val="001B6778"/>
    <w:rsid w:val="001F0377"/>
    <w:rsid w:val="0020152A"/>
    <w:rsid w:val="00274A39"/>
    <w:rsid w:val="003646EE"/>
    <w:rsid w:val="004513CA"/>
    <w:rsid w:val="00520195"/>
    <w:rsid w:val="00535AB8"/>
    <w:rsid w:val="00615A73"/>
    <w:rsid w:val="00765ABC"/>
    <w:rsid w:val="007E059C"/>
    <w:rsid w:val="00851BFF"/>
    <w:rsid w:val="009E3A10"/>
    <w:rsid w:val="00A064FA"/>
    <w:rsid w:val="00AA2C4E"/>
    <w:rsid w:val="00BF119F"/>
    <w:rsid w:val="00C06FB2"/>
    <w:rsid w:val="00C37B34"/>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8453-AD40-4D16-AF01-242030A9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13</Pages>
  <Words>6561</Words>
  <Characters>37399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DOC-MARKER-X0t8GBeYHLYw9ImuvEG4Jw</dc:description>
  <cp:lastModifiedBy>Алёна</cp:lastModifiedBy>
  <cp:revision>29</cp:revision>
  <dcterms:created xsi:type="dcterms:W3CDTF">2025-03-16T12:00:00Z</dcterms:created>
  <dcterms:modified xsi:type="dcterms:W3CDTF">2025-12-29T10:21:00Z</dcterms:modified>
</cp:coreProperties>
</file>