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129B2" w14:textId="77777777" w:rsidR="008C76E0" w:rsidRDefault="00196502">
      <w:pPr>
        <w:pStyle w:val="afc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ТЕ​⁠⁠​‍﻿⁠‍⁠‍​﻿​﻿‌‌‌‌‌‌​‍⁠‍​⁠‌‌⁠‍​​​⁠​​‌﻿⁠⁠​‍‍‌ХНИЧЕСКОЕ ЗАДАНИЕ</w:t>
      </w:r>
    </w:p>
    <w:p w14:paraId="5E095EB0" w14:textId="77777777" w:rsidR="008C76E0" w:rsidRDefault="00196502">
      <w:pPr>
        <w:pStyle w:val="afc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на поставку цветочной рассады на 2026 год для нужд ООО "ДЕЛАЙ ГОРОД"</w:t>
      </w:r>
    </w:p>
    <w:p w14:paraId="28827BA7" w14:textId="77777777" w:rsidR="008C76E0" w:rsidRDefault="008C76E0">
      <w:pPr>
        <w:pStyle w:val="afc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30CE76DB" w14:textId="77777777" w:rsidR="008C76E0" w:rsidRDefault="0019650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 случае,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модели, промышленные образцы,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наименования или эквивалент», «пате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</w:p>
    <w:p w14:paraId="7BB28A71" w14:textId="77777777" w:rsidR="008C76E0" w:rsidRDefault="008C76E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0B761DEB" w14:textId="77777777" w:rsidR="008C76E0" w:rsidRDefault="00196502">
      <w:pPr>
        <w:pStyle w:val="afc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tbl>
      <w:tblPr>
        <w:tblW w:w="10418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1701"/>
        <w:gridCol w:w="1418"/>
        <w:gridCol w:w="4961"/>
        <w:gridCol w:w="709"/>
        <w:gridCol w:w="992"/>
      </w:tblGrid>
      <w:tr w:rsidR="008C76E0" w14:paraId="3C680181" w14:textId="77777777">
        <w:trPr>
          <w:trHeight w:val="480"/>
        </w:trPr>
        <w:tc>
          <w:tcPr>
            <w:tcW w:w="637" w:type="dxa"/>
          </w:tcPr>
          <w:p w14:paraId="4D66866E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FFD6E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товара 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A4C23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61" w:type="dxa"/>
          </w:tcPr>
          <w:p w14:paraId="3D77B933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8B53E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14:paraId="2A1DCB97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81EF2" w14:textId="77777777" w:rsidR="008C76E0" w:rsidRDefault="00196502">
            <w:pPr>
              <w:tabs>
                <w:tab w:val="left" w:pos="15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C76E0" w14:paraId="6BEE7EC8" w14:textId="77777777">
        <w:trPr>
          <w:trHeight w:val="321"/>
        </w:trPr>
        <w:tc>
          <w:tcPr>
            <w:tcW w:w="637" w:type="dxa"/>
          </w:tcPr>
          <w:p w14:paraId="7D0E98A9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393B1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5B05E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14:paraId="748BA910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1BD61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B01BC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8C76E0" w14:paraId="06A87F6A" w14:textId="77777777">
        <w:trPr>
          <w:trHeight w:val="669"/>
        </w:trPr>
        <w:tc>
          <w:tcPr>
            <w:tcW w:w="637" w:type="dxa"/>
          </w:tcPr>
          <w:p w14:paraId="3782B7A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CDC16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Петуния </w:t>
            </w:r>
          </w:p>
          <w:p w14:paraId="4A23FDFA" w14:textId="77777777" w:rsidR="008C76E0" w:rsidRDefault="008C7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32C52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4961" w:type="dxa"/>
          </w:tcPr>
          <w:p w14:paraId="7D583115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однолетняя прямостоящая, низкорослая</w:t>
            </w:r>
          </w:p>
          <w:p w14:paraId="3B5FF707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Крупноцветковая, цвет бутона: белый, в цветущем состоянии, одинаковые по высоте, не выше 15 см.</w:t>
            </w:r>
          </w:p>
          <w:p w14:paraId="6B949FE2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по фитосанитарному состоянию должен соответствовать следующим требованиям:</w:t>
            </w:r>
          </w:p>
          <w:p w14:paraId="3FC680DC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вирусных, грибных и бактериальных заболеваний на стеблях, листьях,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соцветиях и корневой системе;</w:t>
            </w:r>
          </w:p>
          <w:p w14:paraId="3D4A5728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отсутствие внешних признаков поражения: на цветках – серой гнили и мозаичности лепестков; на листьях – мучнистого налета, пятнистостей различной окраски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корневой системе – гнили корневой шейки, потемнения и заг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нивания корней, наличие увядающих и засыхающих нижних листьев вследствие поражения растений сосудистыми увяданиями;</w:t>
            </w:r>
          </w:p>
          <w:p w14:paraId="67FE6E33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внешних признаков наличия вредителей: на цветках – обесцвечивание и пожелтение лепестков вследствие повреждения сосущими насеко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мыми; наличие признаков объедания или обгрызания от повреждения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листогрызущими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насекомыми на листьях и стеблях; искривление, скручивание, изменение окраски, наличие признаков объедания, обгрызания или минирования;</w:t>
            </w:r>
          </w:p>
          <w:p w14:paraId="26D67E1C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рассада не должна иметь следов нанесения ядохимикатов.</w:t>
            </w:r>
          </w:p>
          <w:p w14:paraId="0DB0BB03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Цветочная рассада, должна быть хорошо окоренившейся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 развитой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равномерно облиственной, не должна быть втянутой и переплетенной между собой, растения компактно развиты. У каждого растени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должен быть хороший цветонос и не менее 5 цветков и бутонов.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31677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1ABCC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</w:tr>
      <w:tr w:rsidR="008C76E0" w14:paraId="25E1F620" w14:textId="77777777">
        <w:trPr>
          <w:trHeight w:val="835"/>
        </w:trPr>
        <w:tc>
          <w:tcPr>
            <w:tcW w:w="637" w:type="dxa"/>
          </w:tcPr>
          <w:p w14:paraId="092CB1DE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5982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Петуния</w:t>
            </w:r>
          </w:p>
          <w:p w14:paraId="12668B20" w14:textId="77777777" w:rsidR="008C76E0" w:rsidRDefault="008C7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F543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4961" w:type="dxa"/>
          </w:tcPr>
          <w:p w14:paraId="6414CC60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однолетняя прямостоящая, низкорослая </w:t>
            </w:r>
          </w:p>
          <w:p w14:paraId="0CF17232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Крупноцветковая, цвет бутона: голубой (синий), в цветущем состоянии, одинаковые по высоте, не выше 15 см.</w:t>
            </w:r>
          </w:p>
          <w:p w14:paraId="25B6A130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по фитосанитарному состоянию должен соответствовать следующим требованиям:</w:t>
            </w:r>
          </w:p>
          <w:p w14:paraId="6A526AAD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вирусных, грибных и бактериальных заболеваний на стеблях, листьях, соцветиях и корневой системе;</w:t>
            </w:r>
          </w:p>
          <w:p w14:paraId="76D3708C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внешних признаков поражения: на цветках – серой гнил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мозаичности лепестков; на листьях – мучнистого налета, пятнистостей различной окраски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корневой системе – гнили корневой шейки, потемнения и загнивания корней, наличие увядающих и засыхающих нижних листьев вследствие поражения растений сосу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дистыми увяданиями;</w:t>
            </w:r>
          </w:p>
          <w:p w14:paraId="289194CF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отсутствие внешних признаков наличия вредителей: на цветках – обесцвечивание и пожелтение лепестков вследствие повреждения сосущими насекомыми; наличие признаков объедания или обгрызания от повреждения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листогрызущими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насекомыми на лис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тьях и стеблях; искривление, скручивание, изменение окраски, наличие признаков объедания, обгрызания или минирования;</w:t>
            </w:r>
          </w:p>
          <w:p w14:paraId="74069D0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рассада не должна иметь следов нанесения ядохимикатов.</w:t>
            </w:r>
          </w:p>
          <w:p w14:paraId="3CC392A7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Цветочная рассада, должна быть хорошо окоренившейся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 развитой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номерно облиственной, не должна быть втянутой и переплетенной между собой, растения компактно развиты. У каждого растения должен быть хороший цветонос и не менее 5 цветков и бутонов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DDAA0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8EA51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8C76E0" w14:paraId="43E689EC" w14:textId="77777777">
        <w:trPr>
          <w:trHeight w:val="835"/>
        </w:trPr>
        <w:tc>
          <w:tcPr>
            <w:tcW w:w="637" w:type="dxa"/>
          </w:tcPr>
          <w:p w14:paraId="68ABF527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8B69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Петуния</w:t>
            </w:r>
          </w:p>
          <w:p w14:paraId="25B21F31" w14:textId="77777777" w:rsidR="008C76E0" w:rsidRDefault="008C7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36E32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4961" w:type="dxa"/>
          </w:tcPr>
          <w:p w14:paraId="2A875460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однолетняя прямостоящая, низкорослая </w:t>
            </w:r>
          </w:p>
          <w:p w14:paraId="24BCA30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Крупноцветковая, цвет бутона: красный, в цветущем состоянии, одинаковые по высоте, не выше 15 см.</w:t>
            </w:r>
          </w:p>
          <w:p w14:paraId="73C7B15D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по фитосанитарному состоянию должен соответствовать следующим требованиям:</w:t>
            </w:r>
          </w:p>
          <w:p w14:paraId="4EEC2AD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 вирусных, грибных и бактериальных заболеваний на стеблях, листьях, соцветиях и корневой системе;</w:t>
            </w:r>
          </w:p>
          <w:p w14:paraId="5534E6F4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внешних признаков поражения: на цветках – серой гнили и мозаичности лепестков; на листьях – мучнистого налета, пятнистостей различной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корневой системе – гнили корневой шейки, потемнения и загнивания корней, наличие увядающих и засыхающих нижних листьев вследствие поражения растений сосудистыми увяданиями;</w:t>
            </w:r>
          </w:p>
          <w:p w14:paraId="698CFED9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внешних признаков наличия вредителей: на цветках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обесцвечивание и пожелтение лепестков вследствие повреждения сосущими насекомыми; наличие признаков объедания или обгрызания от повреждения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листогрызущими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насекомыми на листьях и стеблях; искривление, скручивание, изменение окраски, наличие признаков объе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дания, обгрызания или минирования;</w:t>
            </w:r>
          </w:p>
          <w:p w14:paraId="6119AD5C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рассада не должна иметь следов нанесения ядохимикатов.</w:t>
            </w:r>
          </w:p>
          <w:p w14:paraId="311C9D28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Цветочная рассада, должна быть хорошо окоренившейся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 развитой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равномерно облиственной, не должна быть втянутой и переплетенной между собой, растения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компактно развиты. У каждого растения должен быть хороший цветонос и не менее 5 цветков и бутонов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5CF3D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C2A7C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</w:tr>
      <w:tr w:rsidR="008C76E0" w14:paraId="0CCA01AC" w14:textId="77777777">
        <w:trPr>
          <w:trHeight w:val="261"/>
        </w:trPr>
        <w:tc>
          <w:tcPr>
            <w:tcW w:w="637" w:type="dxa"/>
          </w:tcPr>
          <w:p w14:paraId="7E460962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2EEF5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Петуния</w:t>
            </w:r>
          </w:p>
          <w:p w14:paraId="1FF61EAC" w14:textId="77777777" w:rsidR="008C76E0" w:rsidRDefault="008C7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37504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4961" w:type="dxa"/>
          </w:tcPr>
          <w:p w14:paraId="5FACEDB2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Сорт-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Тритуния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</w:t>
            </w:r>
          </w:p>
          <w:p w14:paraId="0827BE4D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однолетняя прямостоящая, низкорослая </w:t>
            </w:r>
          </w:p>
          <w:p w14:paraId="77BC5461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Крупноцветковая, в цветущем состоянии, одинаковые по высоте, не выше 15 см.</w:t>
            </w:r>
          </w:p>
          <w:p w14:paraId="0EFE073A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бутона по согласованию с заказчиком</w:t>
            </w:r>
          </w:p>
          <w:p w14:paraId="4267E475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по фитосанитарному состоянию должен соответствовать следующим требованиям:</w:t>
            </w:r>
          </w:p>
          <w:p w14:paraId="26B432AC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вирусных, грибных и бактериальных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стеблях, листьях, соцветиях и корневой системе;</w:t>
            </w:r>
          </w:p>
          <w:p w14:paraId="6A08C5FA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внешних признаков поражения: на цветках – серой гнили и мозаичности лепестков; на листьях – мучнистого налета, пятнистостей различной окраски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корневой системе – гнили корневой шейки, потемнения и загнивания корней, наличие увядающих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засыхающих нижних листьев вследствие поражения растений сосудистыми увяданиями;</w:t>
            </w:r>
          </w:p>
          <w:p w14:paraId="6D9FEB53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внешних признаков наличия вредителей: на цветках – обесцвечивание и пожелтение лепестков вследствие повреждения сосущими насекомыми; наличие признаков объедания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обгрызания от повреждения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листогрызущими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насекомыми на листьях и стеблях; искривление, скручивание, изменение окраски, наличие признаков объедания, обгрызания или минирования;</w:t>
            </w:r>
          </w:p>
          <w:p w14:paraId="2B13B163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рассада не должна иметь следов нанесения ядохимикатов.</w:t>
            </w:r>
          </w:p>
          <w:p w14:paraId="2D88DB8A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Цветочная рассада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должна быть хорошо окоренившейся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 развитой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равномерно облиственной, не должна быть втянутой и переплетенной между собой, растения компактно развиты. У каждого растения должен быть хороший цветонос и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5 цветков и бутонов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AF5ED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9792A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8C76E0" w14:paraId="515FBB2A" w14:textId="77777777">
        <w:trPr>
          <w:trHeight w:val="623"/>
        </w:trPr>
        <w:tc>
          <w:tcPr>
            <w:tcW w:w="637" w:type="dxa"/>
          </w:tcPr>
          <w:p w14:paraId="3CAEECEA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3A726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Бархатцы </w:t>
            </w:r>
          </w:p>
          <w:p w14:paraId="75F023FC" w14:textId="77777777" w:rsidR="008C76E0" w:rsidRDefault="008C7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169D1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4961" w:type="dxa"/>
          </w:tcPr>
          <w:p w14:paraId="036546BA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однолетние, отклоненные </w:t>
            </w:r>
          </w:p>
          <w:p w14:paraId="5F571234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выше 15 см. по высоте</w:t>
            </w:r>
          </w:p>
          <w:p w14:paraId="2A623D6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бутона по согласованию с заказчиком</w:t>
            </w:r>
          </w:p>
          <w:p w14:paraId="15DAF443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по фитосанитарному состоянию должен соответствовать следующим требованиям:</w:t>
            </w:r>
          </w:p>
          <w:p w14:paraId="0BD95F46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вирусных, грибных и бактериальных заболеваний на стеблях, листьях, соцветиях и корневой системе;</w:t>
            </w:r>
          </w:p>
          <w:p w14:paraId="2D28A4FF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внешних признаков поражения: на цветках – серой гнил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мозаичности лепестков; на листьях – мучнистого налета, пятнистостей различной окраски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корневой системе – гнили корневой шейки, потемнения и загнивания корней, наличие увядающих и засыхающих нижних листьев вследствие поражения растений сосу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дистыми увяданиями;</w:t>
            </w:r>
          </w:p>
          <w:p w14:paraId="0B4E96B1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отсутствие внешних признаков наличия вредителей: на цветках – обесцвечивание и пожелтение лепестков вследствие повреждения сосущими насекомыми; наличие признаков объедания или обгрызания от повреждения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листогрызущими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насекомыми на лис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тьях и стеблях; искривление, скручивание, изменение окраски, наличие признаков объедания, обгрызания или минирования;</w:t>
            </w:r>
          </w:p>
          <w:p w14:paraId="60F7C5C9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рассада не должна иметь следов нанесения ядохимикатов.</w:t>
            </w:r>
          </w:p>
          <w:p w14:paraId="1C6BA6C9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Цветочная рассада, должна быть хорошо окоренившейся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 развитой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номерно облиственной, не должна быть втянутой и переплетенной между собой, растения компактно развиты. У каждого растения должен быть хороший цветонос и не менее 5 цветков и бутонов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A1CAC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AE067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8C76E0" w14:paraId="06D626B4" w14:textId="77777777">
        <w:trPr>
          <w:trHeight w:val="533"/>
        </w:trPr>
        <w:tc>
          <w:tcPr>
            <w:tcW w:w="637" w:type="dxa"/>
          </w:tcPr>
          <w:p w14:paraId="609C1BE3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6C74D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Целозия гребенчатая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8CE22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4961" w:type="dxa"/>
          </w:tcPr>
          <w:p w14:paraId="3C88BD2D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однолетние </w:t>
            </w:r>
          </w:p>
          <w:p w14:paraId="64CE447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выше 15 см. по высоте </w:t>
            </w:r>
          </w:p>
          <w:p w14:paraId="58261A6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бутона по согласованию с заказчиком</w:t>
            </w:r>
          </w:p>
          <w:p w14:paraId="48D05EC0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по фитосанитарному состоянию должен соответствовать следующим требованиям:</w:t>
            </w:r>
          </w:p>
          <w:p w14:paraId="7CCFCA75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вирусных, грибных и бактериальных заболеваний на стеблях, листьях, соцветиях и корневой системе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96DB1F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отсутствие внешних признаков поражения: на цветках – серой гнили и мозаичности лепестков; на листьях – мучнистого налета, пятнистостей различной окраски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корневой системе – гнили корневой шейки, потемнения и загнивания корней, наличие увяда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ющих и засыхающих нижних листьев вследствие поражения растений сосудистыми увяданиями;</w:t>
            </w:r>
          </w:p>
          <w:p w14:paraId="18610E67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отсутствие внешних признаков наличия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вредителей: на цветках – обесцвечивание и пожелтение лепестков вследствие повреждения сосущими насекомыми; наличие признаков объед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ания или обгрызания от повреждения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листогрызущими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насекомыми на листьях и стеблях; искривление, скручивание, изменение окраски, наличие признаков объедания, обгрызания или минирования;</w:t>
            </w:r>
          </w:p>
          <w:p w14:paraId="5E724C99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рассада не должна иметь следов нанесения ядохимикатов.</w:t>
            </w:r>
          </w:p>
          <w:p w14:paraId="61F178D9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Цветочная рассада, должна быть хорошо окоренившейся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 развитой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равномерно облиственной, не должна быть втянутой и переплетенной между собой, растения компактно развиты. У каждого растени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должен быть хороший цветонос и не менее 5 цветков и бутонов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612EC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0A566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8C76E0" w14:paraId="271A0CD6" w14:textId="77777777">
        <w:trPr>
          <w:trHeight w:val="240"/>
        </w:trPr>
        <w:tc>
          <w:tcPr>
            <w:tcW w:w="637" w:type="dxa"/>
          </w:tcPr>
          <w:p w14:paraId="6097898D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4CEF9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Портулак 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4FDBF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4961" w:type="dxa"/>
          </w:tcPr>
          <w:p w14:paraId="448779AE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однолетние </w:t>
            </w:r>
          </w:p>
          <w:p w14:paraId="1C53D444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выше 15 см. по высоте</w:t>
            </w:r>
          </w:p>
          <w:p w14:paraId="5702F630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 бутона по согласованию с заказчиком</w:t>
            </w:r>
          </w:p>
          <w:p w14:paraId="27AB8633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по фитосанитарному состоянию должен соответствовать следующим требованиям:</w:t>
            </w:r>
          </w:p>
          <w:p w14:paraId="7A48288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вирусных, грибных и бактериальных заболеваний на стеблях, листьях, соцветиях и корневой системе;</w:t>
            </w:r>
          </w:p>
          <w:p w14:paraId="3D484A6B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внешних признаков поражения: на цветках – серой гнил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мозаичности лепестков; на листьях – мучнистого налета, пятнистостей различной окраски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корневой системе – гнили корневой шейки, потемнения и загнивания корней, наличие увядающих и засыхающих нижних листьев вследствие поражения растений сосу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дистыми увяданиями;</w:t>
            </w:r>
          </w:p>
          <w:p w14:paraId="195BB055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отсутствие внешних признаков наличия вредителей: на цветках – обесцвечивание и пожелтение лепестков вследствие повреждения сосущими насекомыми; наличие признаков объедания или обгрызания от повреждения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листогрызущими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насекомыми на лис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тьях и стеблях; искривление, скручивание, изменение окраски, наличие признаков объедания, обгрызания или минирования;</w:t>
            </w:r>
          </w:p>
          <w:p w14:paraId="6D886EF7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рассада не должна иметь следов нанесения ядохимикатов.</w:t>
            </w:r>
          </w:p>
          <w:p w14:paraId="2615DB84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Цветочная рассада, должна быть хорошо окоренившейся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 развитой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номерно облиственной, не должна быть втянутой и переплетенной между собой, растения компактно развиты. У каждого растения должен быть хороший цветонос и не менее 5 цветков и бутонов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30C14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2CCA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8C76E0" w14:paraId="21D2A487" w14:textId="77777777">
        <w:trPr>
          <w:trHeight w:val="240"/>
        </w:trPr>
        <w:tc>
          <w:tcPr>
            <w:tcW w:w="637" w:type="dxa"/>
          </w:tcPr>
          <w:p w14:paraId="2D6B4436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496A0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Сальвия красная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324C9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4961" w:type="dxa"/>
          </w:tcPr>
          <w:p w14:paraId="7096F062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однолетние </w:t>
            </w:r>
          </w:p>
          <w:p w14:paraId="6990D6BC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выше 15 см. по высоте</w:t>
            </w:r>
          </w:p>
          <w:p w14:paraId="748AE34E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цвет бутона по согласованию с заказчиком</w:t>
            </w:r>
          </w:p>
          <w:p w14:paraId="0F3F0E97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по фитосанитарному состоянию должен соответствовать следующим требованиям:</w:t>
            </w:r>
          </w:p>
          <w:p w14:paraId="011F7606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вирусных, грибных и бактериальных заболеваний на стеблях, листьях, соцветиях и корневой системе;</w:t>
            </w:r>
          </w:p>
          <w:p w14:paraId="2EFF7C61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 xml:space="preserve">отсутствие внешних признаков поражения: на цветках – серой гнили и мозаичности лепестков; на листьях – мучнистого налета, пятнистостей различной окраски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гнилей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корневой системе – гнили корневой шейки, потемнения и загнивания корней, наличие увядаю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 и засыхающих нижних листьев вследствие поражения растений сосудистыми увяданиями;</w:t>
            </w:r>
          </w:p>
          <w:p w14:paraId="1A53518F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отсутствие внешних признаков наличия вредителей: на цветках – обесцвечивание и пожелтение лепестков вследствие повреждения сосущими насекомыми; наличие признаков объеда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ния или обгрызания от повреждения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листогрызущими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насекомыми на листьях и стеблях; искривление, скручивание, изменение окраски, наличие признаков объедания, обгрызания или минирования;</w:t>
            </w:r>
          </w:p>
          <w:p w14:paraId="096CA266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рассада не должна иметь следов нанесения ядохимикатов.</w:t>
            </w:r>
          </w:p>
          <w:p w14:paraId="279ECACE" w14:textId="77777777" w:rsidR="008C76E0" w:rsidRDefault="00196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Цветочная расс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ада, должна быть хорошо окоренившейся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 развитой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равномерно облиственной, не должна быть втянутой и переплетенной между собой, растения компактно развиты. У каждого растения должен быть хороший цветонос и не менее 5 цветков и бутонов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71552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9A9C5" w14:textId="77777777" w:rsidR="008C76E0" w:rsidRDefault="00196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8FE827C" w14:textId="77777777" w:rsidR="008C76E0" w:rsidRDefault="008C76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E08A0E" w14:textId="77777777" w:rsidR="008C76E0" w:rsidRDefault="0019650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Срок поставки товара: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15.04.2026 г. по 30.04.2026 г.</w:t>
      </w:r>
    </w:p>
    <w:p w14:paraId="2F1D035B" w14:textId="77777777" w:rsidR="008C76E0" w:rsidRDefault="0019650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поставки: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Оренбургская область, город Бузулук, улица Губкина, стр. 16В.</w:t>
      </w:r>
    </w:p>
    <w:p w14:paraId="07168823" w14:textId="77777777" w:rsidR="008C76E0" w:rsidRDefault="0019650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 Доставка, погрузочно-разгрузочные работы производятся за счет Поставщика.</w:t>
      </w:r>
    </w:p>
    <w:p w14:paraId="06716489" w14:textId="77777777" w:rsidR="008C76E0" w:rsidRDefault="001965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Требования к качеству, безопасности поставляемого товара:</w:t>
      </w:r>
    </w:p>
    <w:p w14:paraId="472A89A0" w14:textId="77777777" w:rsidR="008C76E0" w:rsidRDefault="001965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5EE9F42" w14:textId="77777777" w:rsidR="008C76E0" w:rsidRDefault="001965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4.2. Поставл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E608289" w14:textId="77777777" w:rsidR="008C76E0" w:rsidRDefault="001965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 Требования к упаковке и маркировке поставляемого товара:</w:t>
      </w:r>
    </w:p>
    <w:p w14:paraId="077CC0A0" w14:textId="77777777" w:rsidR="008C76E0" w:rsidRDefault="001965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5.1. Товар поставляется в таре и упаковке, с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7F68188" w14:textId="77777777" w:rsidR="008C76E0" w:rsidRDefault="001965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5.2. Поставщик должен 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26D41C38" w14:textId="77777777" w:rsidR="008C76E0" w:rsidRDefault="00196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5.3. Поставщик не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сет ответственность за ненадлежащую упаковку, не обеспечивающую сохранность товара при его хранении и транспортировании;</w:t>
      </w:r>
    </w:p>
    <w:p w14:paraId="324B53B5" w14:textId="77777777" w:rsidR="008C76E0" w:rsidRDefault="001965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Требования к гарантийному сроку товара и (или) объему предоставления гарантий качества товара:</w:t>
      </w:r>
    </w:p>
    <w:p w14:paraId="0ED7058C" w14:textId="77777777" w:rsidR="008C76E0" w:rsidRDefault="00196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6.1. Поставщик обязан при обнаружении недостатков у поставляемого товара заменить товар ненадлежащего качества, при несоответствии товара установленному ассор</w:t>
      </w:r>
      <w:r>
        <w:rPr>
          <w:rFonts w:ascii="Times New Roman" w:eastAsia="Times New Roman" w:hAnsi="Times New Roman" w:cs="Times New Roman"/>
          <w:color w:val="000000"/>
          <w:sz w:val="24"/>
        </w:rPr>
        <w:t>тименту, заменить товар на соответствующий, своим транспортом и за свой счет, в сроки, определенные договором.</w:t>
      </w:r>
    </w:p>
    <w:p w14:paraId="69FC8793" w14:textId="77777777" w:rsidR="008C76E0" w:rsidRDefault="008C7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7EA09B1" w14:textId="77777777" w:rsidR="008C76E0" w:rsidRDefault="008C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8828560" w14:textId="77777777" w:rsidR="008C76E0" w:rsidRDefault="008C76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435E96" w14:textId="77777777" w:rsidR="008C76E0" w:rsidRDefault="001965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hyperlink r:id="rId7" w:tooltip="https://zakupki.gov.ru/epz/main/public/quiz/list.html" w:history="1">
        <w:r>
          <w:rPr>
            <w:rFonts w:ascii="Times New Roman" w:hAnsi="Times New Roman" w:cs="Times New Roman"/>
            <w:b/>
            <w:bCs/>
            <w:caps/>
            <w:color w:val="0065DD"/>
            <w:spacing w:val="12"/>
            <w:sz w:val="24"/>
            <w:szCs w:val="24"/>
          </w:rPr>
          <w:br/>
        </w:r>
      </w:hyperlink>
    </w:p>
    <w:sectPr w:rsidR="008C76E0">
      <w:pgSz w:w="11906" w:h="16838"/>
      <w:pgMar w:top="851" w:right="851" w:bottom="851" w:left="1134" w:header="709" w:footer="709" w:gutter="0"/>
      <w:cols w:space="708"/>
      <w:docGrid w:linePitch="360"/>
    </w:sectPr>
    <!-- MKR-892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991C7" w14:textId="77777777" w:rsidR="00196502" w:rsidRDefault="00196502">
      <w:pPr>
        <w:spacing w:after="0" w:line="240" w:lineRule="auto"/>
      </w:pPr>
      <w:r>
        <w:separator/>
      </w:r>
    </w:p>
  </w:endnote>
  <w:endnote w:type="continuationSeparator" w:id="0">
    <w:p w14:paraId="7959F44D" w14:textId="77777777" w:rsidR="00196502" w:rsidRDefault="0019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3255" w14:textId="77777777" w:rsidR="00196502" w:rsidRDefault="00196502">
      <w:pPr>
        <w:spacing w:after="0" w:line="240" w:lineRule="auto"/>
      </w:pPr>
      <w:r>
        <w:separator/>
      </w:r>
    </w:p>
  </w:footnote>
  <w:footnote w:type="continuationSeparator" w:id="0">
    <w:p w14:paraId="2F69417C" w14:textId="77777777" w:rsidR="00196502" w:rsidRDefault="00196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628F"/>
    <w:multiLevelType w:val="hybridMultilevel"/>
    <w:tmpl w:val="88C2DE76"/>
    <w:lvl w:ilvl="0" w:tplc="03D8E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E2716">
      <w:start w:val="1"/>
      <w:numFmt w:val="lowerLetter"/>
      <w:lvlText w:val="%2."/>
      <w:lvlJc w:val="left"/>
      <w:pPr>
        <w:ind w:left="1440" w:hanging="360"/>
      </w:pPr>
    </w:lvl>
    <w:lvl w:ilvl="2" w:tplc="E84A1DC2">
      <w:start w:val="1"/>
      <w:numFmt w:val="lowerRoman"/>
      <w:lvlText w:val="%3."/>
      <w:lvlJc w:val="right"/>
      <w:pPr>
        <w:ind w:left="2160" w:hanging="180"/>
      </w:pPr>
    </w:lvl>
    <w:lvl w:ilvl="3" w:tplc="21B69108">
      <w:start w:val="1"/>
      <w:numFmt w:val="decimal"/>
      <w:lvlText w:val="%4."/>
      <w:lvlJc w:val="left"/>
      <w:pPr>
        <w:ind w:left="2880" w:hanging="360"/>
      </w:pPr>
    </w:lvl>
    <w:lvl w:ilvl="4" w:tplc="8C644746">
      <w:start w:val="1"/>
      <w:numFmt w:val="lowerLetter"/>
      <w:lvlText w:val="%5."/>
      <w:lvlJc w:val="left"/>
      <w:pPr>
        <w:ind w:left="3600" w:hanging="360"/>
      </w:pPr>
    </w:lvl>
    <w:lvl w:ilvl="5" w:tplc="D1265E06">
      <w:start w:val="1"/>
      <w:numFmt w:val="lowerRoman"/>
      <w:lvlText w:val="%6."/>
      <w:lvlJc w:val="right"/>
      <w:pPr>
        <w:ind w:left="4320" w:hanging="180"/>
      </w:pPr>
    </w:lvl>
    <w:lvl w:ilvl="6" w:tplc="7272EC04">
      <w:start w:val="1"/>
      <w:numFmt w:val="decimal"/>
      <w:lvlText w:val="%7."/>
      <w:lvlJc w:val="left"/>
      <w:pPr>
        <w:ind w:left="5040" w:hanging="360"/>
      </w:pPr>
    </w:lvl>
    <w:lvl w:ilvl="7" w:tplc="1B7250CC">
      <w:start w:val="1"/>
      <w:numFmt w:val="lowerLetter"/>
      <w:lvlText w:val="%8."/>
      <w:lvlJc w:val="left"/>
      <w:pPr>
        <w:ind w:left="5760" w:hanging="360"/>
      </w:pPr>
    </w:lvl>
    <w:lvl w:ilvl="8" w:tplc="25B845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6487"/>
    <w:multiLevelType w:val="hybridMultilevel"/>
    <w:tmpl w:val="D0561D58"/>
    <w:lvl w:ilvl="0" w:tplc="08E81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62A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C2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C7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A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823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6E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8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AF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4B0"/>
    <w:multiLevelType w:val="hybridMultilevel"/>
    <w:tmpl w:val="69E051C8"/>
    <w:lvl w:ilvl="0" w:tplc="CEBA3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88C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0A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89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042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2D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62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8BA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A6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D2EC3"/>
    <w:multiLevelType w:val="hybridMultilevel"/>
    <w:tmpl w:val="78E6A290"/>
    <w:lvl w:ilvl="0" w:tplc="E4E26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44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24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07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2CF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09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2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A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67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905AB"/>
    <w:multiLevelType w:val="hybridMultilevel"/>
    <w:tmpl w:val="5DE459AC"/>
    <w:lvl w:ilvl="0" w:tplc="AFD4D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4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86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4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3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AD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AF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0E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46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3D12"/>
    <w:multiLevelType w:val="hybridMultilevel"/>
    <w:tmpl w:val="2ADEF1EC"/>
    <w:lvl w:ilvl="0" w:tplc="A3D6C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C9B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8F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4D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A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A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EF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890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CCE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A244E"/>
    <w:multiLevelType w:val="hybridMultilevel"/>
    <w:tmpl w:val="EB023BD8"/>
    <w:lvl w:ilvl="0" w:tplc="2086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2E5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0A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A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4B2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8A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0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FA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65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73966"/>
    <w:multiLevelType w:val="hybridMultilevel"/>
    <w:tmpl w:val="6EDA1F6C"/>
    <w:lvl w:ilvl="0" w:tplc="B6E29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9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62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6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0CA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9C1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4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E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0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C62D2"/>
    <w:multiLevelType w:val="hybridMultilevel"/>
    <w:tmpl w:val="BAA6F7B6"/>
    <w:lvl w:ilvl="0" w:tplc="B9CEC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0AF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48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85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4CB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C2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AF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55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8E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F40C9"/>
    <w:multiLevelType w:val="hybridMultilevel"/>
    <w:tmpl w:val="5B9624DC"/>
    <w:lvl w:ilvl="0" w:tplc="63123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209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8C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04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30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C2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05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E3D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8E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E0"/>
    <w:rsid w:val="00196502"/>
    <w:rsid w:val="006F5C60"/>
    <w:rsid w:val="008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1AE5"/>
  <w15:docId w15:val="{26B44DB4-0725-42CC-92D3-5771DE80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customStyle="1" w:styleId="m968e83a4">
    <w:name w:val="m968e83a4"/>
    <w:basedOn w:val="a0"/>
  </w:style>
  <w:style w:type="character" w:customStyle="1" w:styleId="f9f831671">
    <w:name w:val="f9f831671"/>
    <w:basedOn w:val="a0"/>
  </w:style>
  <w:style w:type="character" w:customStyle="1" w:styleId="o37248f">
    <w:name w:val="o37248f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a0"/>
    <w:link w:val="afd"/>
  </w:style>
  <w:style w:type="character" w:customStyle="1" w:styleId="aff">
    <w:name w:val="Гипертекстовая ссылка"/>
    <w:basedOn w:val="a0"/>
    <w:uiPriority w:val="99"/>
    <w:rPr>
      <w:color w:val="106BBE"/>
    </w:rPr>
  </w:style>
  <w:style w:type="paragraph" w:customStyle="1" w:styleId="aff0">
    <w:name w:val="Комментарий"/>
    <w:basedOn w:val="a"/>
    <w:next w:val="a"/>
    <w:uiPriority w:val="99"/>
    <w:pPr>
      <w:widowControl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1">
    <w:name w:val="Информация о версии"/>
    <w:basedOn w:val="aff0"/>
    <w:next w:val="a"/>
    <w:uiPriority w:val="99"/>
    <w:rPr>
      <w:i/>
      <w:iCs/>
    </w:rPr>
  </w:style>
  <w:style w:type="paragraph" w:customStyle="1" w:styleId="13">
    <w:name w:val="Без интервала1"/>
    <w:link w:val="NoSpacingChar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rPr>
      <w:rFonts w:ascii="Calibri" w:eastAsia="Times New Roman" w:hAnsi="Calibri" w:cs="Times New Roman"/>
    </w:rPr>
  </w:style>
  <w:style w:type="character" w:customStyle="1" w:styleId="sectioninfo">
    <w:name w:val="section__info"/>
    <w:basedOn w:val="a0"/>
  </w:style>
  <w:style w:type="character" w:customStyle="1" w:styleId="sectiontitle">
    <w:name w:val="section__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main/public/quiz/l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2067</Words>
  <Characters>11783</Characters>
  <Application>Microsoft Office Word</Application>
  <DocSecurity>0</DocSecurity>
  <Lines>98</Lines>
  <Paragraphs>27</Paragraphs>
  <ScaleCrop>false</ScaleCrop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KomtraktUpav</dc:creator>
  <cp:keywords/>
  <dc:description>DOC-MARKER-0XB-xJJaaazs5f-_5PF3pg</dc:description>
  <cp:lastModifiedBy>User119</cp:lastModifiedBy>
  <cp:revision>2</cp:revision>
  <dcterms:created xsi:type="dcterms:W3CDTF">2026-01-27T07:25:00Z</dcterms:created>
  <dcterms:modified xsi:type="dcterms:W3CDTF">2026-01-27T07:25:00Z</dcterms:modified>
</cp:coreProperties>
</file>