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7EE4F10B" w:rsidR="00B11618" w:rsidRPr="003C1FA7" w:rsidRDefault="00E869FF" w:rsidP="00B11618">
      <w:pPr>
        <w:jc w:val="center"/>
        <w:rPr>
          <w:sz w:val="28"/>
          <w:szCs w:val="28"/>
        </w:rPr>
      </w:pPr>
      <w:r>
        <w:rPr>
          <w:sz w:val="28"/>
          <w:szCs w:val="28"/>
        </w:rPr>
        <w:t>Поставка</w:t>
      </w:r>
      <w:r w:rsidR="003C1FA7">
        <w:rPr>
          <w:sz w:val="28"/>
          <w:szCs w:val="28"/>
        </w:rPr>
        <w:t xml:space="preserve"> </w:t>
      </w:r>
      <w:r w:rsidRPr="00E869FF">
        <w:rPr>
          <w:sz w:val="28"/>
          <w:szCs w:val="28"/>
        </w:rPr>
        <w:t>Эскаватор</w:t>
      </w:r>
      <w:r>
        <w:rPr>
          <w:sz w:val="28"/>
          <w:szCs w:val="28"/>
        </w:rPr>
        <w:t>а</w:t>
      </w:r>
      <w:r w:rsidRPr="00E869FF">
        <w:rPr>
          <w:sz w:val="28"/>
          <w:szCs w:val="28"/>
        </w:rPr>
        <w:t>-погрузчик</w:t>
      </w:r>
      <w:r>
        <w:rPr>
          <w:sz w:val="28"/>
          <w:szCs w:val="28"/>
        </w:rPr>
        <w:t>а</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3B73AF"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3A3FACA9" w:rsidR="006F3B59" w:rsidRDefault="00E8424E" w:rsidP="00E869FF">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E869FF" w:rsidRPr="00E869FF">
        <w:rPr>
          <w:rFonts w:ascii="Times New Roman" w:eastAsia="Times New Roman" w:hAnsi="Times New Roman"/>
          <w:sz w:val="28"/>
          <w:szCs w:val="28"/>
          <w:lang w:eastAsia="ru-RU" w:bidi="ru-RU"/>
        </w:rPr>
        <w:t>Поставка Эскаватора-погрузчика</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68DC448A" w:rsidR="006F3B59" w:rsidRPr="006F3B59" w:rsidRDefault="00B11618" w:rsidP="00E869FF">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E869FF" w:rsidRPr="00E869FF">
        <w:rPr>
          <w:rFonts w:ascii="Times New Roman" w:eastAsia="Times New Roman" w:hAnsi="Times New Roman"/>
          <w:sz w:val="28"/>
          <w:szCs w:val="28"/>
          <w:lang w:eastAsia="ru-RU" w:bidi="ru-RU"/>
        </w:rPr>
        <w:t>Поставка Эскаватора-погрузчика</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В соответствии с Техническими 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1D486C5F"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E869FF">
        <w:rPr>
          <w:bCs/>
        </w:rPr>
        <w:t>7 366 666</w:t>
      </w:r>
      <w:r w:rsidR="00A67074">
        <w:rPr>
          <w:bCs/>
        </w:rPr>
        <w:t xml:space="preserve"> (</w:t>
      </w:r>
      <w:r w:rsidR="00E869FF">
        <w:rPr>
          <w:bCs/>
        </w:rPr>
        <w:t>семь миллионов триста шестьдесят шесть тысяч шестьсот шестьдесят шесть</w:t>
      </w:r>
      <w:r w:rsidR="006F3B59">
        <w:rPr>
          <w:color w:val="000000" w:themeColor="text1"/>
        </w:rPr>
        <w:t xml:space="preserve">) рублей, </w:t>
      </w:r>
      <w:r w:rsidR="003C1FA7">
        <w:rPr>
          <w:color w:val="000000" w:themeColor="text1"/>
        </w:rPr>
        <w:t>67</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01A48084"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 xml:space="preserve">астие в закупке: </w:t>
      </w:r>
      <w:r w:rsidR="004E4F52">
        <w:rPr>
          <w:rFonts w:ascii="Times New Roman" w:hAnsi="Times New Roman"/>
          <w:sz w:val="28"/>
          <w:szCs w:val="28"/>
        </w:rPr>
        <w:t>5 %</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1"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1"/>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2"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2"/>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22879010"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в сети «Интернет» по адресу: </w:t>
      </w:r>
      <w:hyperlink r:id="rId18" w:history="1">
        <w:r w:rsidR="003C1FA7" w:rsidRPr="00BA4FD1">
          <w:rPr>
            <w:rStyle w:val="aff0"/>
          </w:rPr>
          <w:t>https://torgi.etp-region.ru</w:t>
        </w:r>
      </w:hyperlink>
      <w:r w:rsidR="003C1FA7">
        <w:t xml:space="preserve"> </w:t>
      </w:r>
    </w:p>
    <w:p w14:paraId="645E5BC7" w14:textId="1821D461"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Формы, порядок, дата начала и дата окончания срока предоставления участникам закупки разъяснений положений закупочной документации:</w:t>
      </w:r>
      <w:r w:rsidR="00B11618" w:rsidRPr="00632257">
        <w:rPr>
          <w:rFonts w:ascii="Times New Roman" w:hAnsi="Times New Roman"/>
          <w:spacing w:val="-6"/>
          <w:sz w:val="28"/>
          <w:szCs w:val="28"/>
        </w:rPr>
        <w:t xml:space="preserve"> </w:t>
      </w:r>
      <w:r w:rsidRPr="00632257">
        <w:rPr>
          <w:rFonts w:ascii="Times New Roman" w:hAnsi="Times New Roman"/>
          <w:spacing w:val="-6"/>
          <w:sz w:val="28"/>
          <w:szCs w:val="28"/>
        </w:rPr>
        <w:t xml:space="preserve"> </w:t>
      </w:r>
    </w:p>
    <w:p w14:paraId="770AFEAD" w14:textId="32B6FC6C" w:rsidR="00916248" w:rsidRDefault="00916248" w:rsidP="00916248">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w:t>
      </w:r>
      <w:r w:rsidR="00A67074">
        <w:rPr>
          <w:bCs/>
          <w:spacing w:val="-6"/>
          <w:sz w:val="28"/>
          <w:szCs w:val="28"/>
        </w:rPr>
        <w:t>ж</w:t>
      </w:r>
      <w:r w:rsidR="00AA09C5">
        <w:rPr>
          <w:bCs/>
          <w:spacing w:val="-6"/>
          <w:sz w:val="28"/>
          <w:szCs w:val="28"/>
        </w:rPr>
        <w:t>ений закупочной документации: 09.02</w:t>
      </w:r>
      <w:r w:rsidR="003C1FA7">
        <w:rPr>
          <w:bCs/>
          <w:spacing w:val="-6"/>
          <w:sz w:val="28"/>
          <w:szCs w:val="28"/>
        </w:rPr>
        <w:t>.2026</w:t>
      </w:r>
    </w:p>
    <w:p w14:paraId="7BD93B5D" w14:textId="10E3A75E" w:rsidR="00916248" w:rsidRDefault="00916248" w:rsidP="00916248">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w:t>
      </w:r>
      <w:r w:rsidR="00A67074">
        <w:rPr>
          <w:bCs/>
          <w:spacing w:val="-6"/>
          <w:sz w:val="28"/>
          <w:szCs w:val="28"/>
        </w:rPr>
        <w:t xml:space="preserve">анизатору закупки: не </w:t>
      </w:r>
      <w:r w:rsidR="00AA09C5">
        <w:rPr>
          <w:bCs/>
          <w:spacing w:val="-6"/>
          <w:sz w:val="28"/>
          <w:szCs w:val="28"/>
        </w:rPr>
        <w:t>позднее 19</w:t>
      </w:r>
      <w:r>
        <w:rPr>
          <w:bCs/>
          <w:spacing w:val="-6"/>
          <w:sz w:val="28"/>
          <w:szCs w:val="28"/>
        </w:rPr>
        <w:t>.</w:t>
      </w:r>
      <w:r w:rsidR="003C1FA7">
        <w:rPr>
          <w:bCs/>
          <w:spacing w:val="-6"/>
          <w:sz w:val="28"/>
          <w:szCs w:val="28"/>
        </w:rPr>
        <w:t>02.2026</w:t>
      </w:r>
      <w:r>
        <w:rPr>
          <w:bCs/>
          <w:spacing w:val="-6"/>
          <w:sz w:val="28"/>
          <w:szCs w:val="28"/>
        </w:rPr>
        <w:t xml:space="preserve"> 12:00 (время московское)</w:t>
      </w:r>
    </w:p>
    <w:p w14:paraId="57C75D30" w14:textId="03642F39" w:rsidR="00916248" w:rsidRDefault="00916248" w:rsidP="00916248">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w:t>
      </w:r>
      <w:r w:rsidR="00A67074">
        <w:rPr>
          <w:rFonts w:ascii="Times New Roman" w:hAnsi="Times New Roman"/>
          <w:spacing w:val="-6"/>
          <w:sz w:val="28"/>
          <w:szCs w:val="28"/>
        </w:rPr>
        <w:t>и</w:t>
      </w:r>
      <w:r w:rsidR="00AA09C5">
        <w:rPr>
          <w:rFonts w:ascii="Times New Roman" w:hAnsi="Times New Roman"/>
          <w:spacing w:val="-6"/>
          <w:sz w:val="28"/>
          <w:szCs w:val="28"/>
        </w:rPr>
        <w:t xml:space="preserve"> заявок на участие в закупке: 09</w:t>
      </w:r>
      <w:r>
        <w:rPr>
          <w:rFonts w:ascii="Times New Roman" w:hAnsi="Times New Roman"/>
          <w:spacing w:val="-6"/>
          <w:sz w:val="28"/>
          <w:szCs w:val="28"/>
        </w:rPr>
        <w:t>.</w:t>
      </w:r>
      <w:r w:rsidR="003C1FA7">
        <w:rPr>
          <w:rFonts w:ascii="Times New Roman" w:hAnsi="Times New Roman"/>
          <w:spacing w:val="-6"/>
          <w:sz w:val="28"/>
          <w:szCs w:val="28"/>
        </w:rPr>
        <w:t>0</w:t>
      </w:r>
      <w:r w:rsidR="00AA09C5">
        <w:rPr>
          <w:rFonts w:ascii="Times New Roman" w:hAnsi="Times New Roman"/>
          <w:spacing w:val="-6"/>
          <w:sz w:val="28"/>
          <w:szCs w:val="28"/>
        </w:rPr>
        <w:t>2</w:t>
      </w:r>
      <w:r w:rsidR="003C1FA7">
        <w:rPr>
          <w:rFonts w:ascii="Times New Roman" w:hAnsi="Times New Roman"/>
          <w:spacing w:val="-6"/>
          <w:sz w:val="28"/>
          <w:szCs w:val="28"/>
        </w:rPr>
        <w:t>.2026</w:t>
      </w:r>
    </w:p>
    <w:p w14:paraId="164EE4C3" w14:textId="2957F5CB" w:rsidR="00916248" w:rsidRDefault="00916248" w:rsidP="00916248">
      <w:pPr>
        <w:tabs>
          <w:tab w:val="left" w:pos="1134"/>
        </w:tabs>
        <w:jc w:val="both"/>
        <w:rPr>
          <w:spacing w:val="-6"/>
          <w:sz w:val="28"/>
          <w:szCs w:val="28"/>
        </w:rPr>
      </w:pPr>
      <w:r>
        <w:rPr>
          <w:spacing w:val="-6"/>
          <w:sz w:val="28"/>
          <w:szCs w:val="28"/>
        </w:rPr>
        <w:t>Дата и время окончания срока подачи</w:t>
      </w:r>
      <w:r w:rsidR="00D8728F">
        <w:rPr>
          <w:spacing w:val="-6"/>
          <w:sz w:val="28"/>
          <w:szCs w:val="28"/>
        </w:rPr>
        <w:t xml:space="preserve"> заявок на участие в закупке: </w:t>
      </w:r>
      <w:r w:rsidR="00AA09C5">
        <w:rPr>
          <w:spacing w:val="-6"/>
          <w:sz w:val="28"/>
          <w:szCs w:val="28"/>
        </w:rPr>
        <w:t>25</w:t>
      </w:r>
      <w:r w:rsidR="00841419">
        <w:rPr>
          <w:spacing w:val="-6"/>
          <w:sz w:val="28"/>
          <w:szCs w:val="28"/>
        </w:rPr>
        <w:t>.02.2026</w:t>
      </w:r>
      <w:r>
        <w:rPr>
          <w:spacing w:val="-6"/>
          <w:sz w:val="28"/>
          <w:szCs w:val="28"/>
        </w:rPr>
        <w:t xml:space="preserve"> 12:00 (время московское) .</w:t>
      </w:r>
    </w:p>
    <w:p w14:paraId="6BAADD03" w14:textId="77777777" w:rsidR="00916248" w:rsidRDefault="00916248" w:rsidP="00916248">
      <w:pPr>
        <w:tabs>
          <w:tab w:val="left" w:pos="0"/>
        </w:tabs>
        <w:jc w:val="both"/>
        <w:rPr>
          <w:sz w:val="28"/>
          <w:szCs w:val="28"/>
        </w:rPr>
      </w:pPr>
      <w:r>
        <w:rPr>
          <w:sz w:val="28"/>
          <w:szCs w:val="28"/>
        </w:rPr>
        <w:t xml:space="preserve">Дата рассмотрения заявок и подведения итогов закупки: </w:t>
      </w:r>
    </w:p>
    <w:p w14:paraId="14EDA392" w14:textId="77777777" w:rsidR="00916248" w:rsidRDefault="00916248" w:rsidP="00916248">
      <w:pPr>
        <w:tabs>
          <w:tab w:val="left" w:pos="0"/>
        </w:tabs>
        <w:jc w:val="both"/>
        <w:rPr>
          <w:sz w:val="28"/>
          <w:szCs w:val="28"/>
        </w:rPr>
      </w:pPr>
      <w:r>
        <w:rPr>
          <w:sz w:val="28"/>
          <w:szCs w:val="28"/>
        </w:rPr>
        <w:t xml:space="preserve">Рассмотрение заявок на участие в закупке: </w:t>
      </w:r>
    </w:p>
    <w:p w14:paraId="7BA8C5AB" w14:textId="4566D27B" w:rsidR="00916248" w:rsidRDefault="00AA09C5" w:rsidP="00916248">
      <w:pPr>
        <w:tabs>
          <w:tab w:val="left" w:pos="0"/>
        </w:tabs>
        <w:jc w:val="both"/>
        <w:rPr>
          <w:sz w:val="28"/>
          <w:szCs w:val="28"/>
        </w:rPr>
      </w:pPr>
      <w:r>
        <w:rPr>
          <w:sz w:val="28"/>
          <w:szCs w:val="28"/>
        </w:rPr>
        <w:t>первых частей не позднее 25</w:t>
      </w:r>
      <w:r w:rsidR="00841419">
        <w:rPr>
          <w:spacing w:val="-6"/>
          <w:sz w:val="28"/>
          <w:szCs w:val="28"/>
        </w:rPr>
        <w:t>.02</w:t>
      </w:r>
      <w:r w:rsidR="00916248">
        <w:rPr>
          <w:spacing w:val="-6"/>
          <w:sz w:val="28"/>
          <w:szCs w:val="28"/>
        </w:rPr>
        <w:t>.202</w:t>
      </w:r>
      <w:r w:rsidR="00841419">
        <w:rPr>
          <w:spacing w:val="-6"/>
          <w:sz w:val="28"/>
          <w:szCs w:val="28"/>
        </w:rPr>
        <w:t>6</w:t>
      </w:r>
      <w:r w:rsidR="00916248">
        <w:rPr>
          <w:sz w:val="28"/>
          <w:szCs w:val="28"/>
        </w:rPr>
        <w:t xml:space="preserve">, </w:t>
      </w:r>
    </w:p>
    <w:p w14:paraId="14B422B7" w14:textId="56974436" w:rsidR="00916248" w:rsidRDefault="00916248" w:rsidP="00916248">
      <w:pPr>
        <w:tabs>
          <w:tab w:val="left" w:pos="0"/>
        </w:tabs>
        <w:jc w:val="both"/>
        <w:rPr>
          <w:sz w:val="28"/>
          <w:szCs w:val="28"/>
        </w:rPr>
      </w:pPr>
      <w:r>
        <w:rPr>
          <w:sz w:val="28"/>
          <w:szCs w:val="28"/>
        </w:rPr>
        <w:t xml:space="preserve">вторых частей не позднее </w:t>
      </w:r>
      <w:r w:rsidR="00AA09C5">
        <w:rPr>
          <w:sz w:val="28"/>
          <w:szCs w:val="28"/>
        </w:rPr>
        <w:t>27</w:t>
      </w:r>
      <w:r w:rsidR="00841419">
        <w:rPr>
          <w:spacing w:val="-6"/>
          <w:sz w:val="28"/>
          <w:szCs w:val="28"/>
        </w:rPr>
        <w:t>.02</w:t>
      </w:r>
      <w:r>
        <w:rPr>
          <w:spacing w:val="-6"/>
          <w:sz w:val="28"/>
          <w:szCs w:val="28"/>
        </w:rPr>
        <w:t>.202</w:t>
      </w:r>
      <w:r w:rsidR="00841419">
        <w:rPr>
          <w:spacing w:val="-6"/>
          <w:sz w:val="28"/>
          <w:szCs w:val="28"/>
        </w:rPr>
        <w:t>6</w:t>
      </w:r>
      <w:r>
        <w:rPr>
          <w:sz w:val="28"/>
          <w:szCs w:val="28"/>
        </w:rPr>
        <w:t xml:space="preserve">. </w:t>
      </w:r>
    </w:p>
    <w:p w14:paraId="5DA4880B" w14:textId="703DD90A" w:rsidR="00916248" w:rsidRDefault="00916248" w:rsidP="00916248">
      <w:pPr>
        <w:tabs>
          <w:tab w:val="left" w:pos="0"/>
        </w:tabs>
        <w:jc w:val="both"/>
        <w:rPr>
          <w:sz w:val="28"/>
          <w:szCs w:val="28"/>
        </w:rPr>
      </w:pPr>
      <w:r>
        <w:rPr>
          <w:sz w:val="28"/>
          <w:szCs w:val="28"/>
        </w:rPr>
        <w:t>Дата нача</w:t>
      </w:r>
      <w:r w:rsidR="00A67074">
        <w:rPr>
          <w:sz w:val="28"/>
          <w:szCs w:val="28"/>
        </w:rPr>
        <w:t>л</w:t>
      </w:r>
      <w:r w:rsidR="00AA09C5">
        <w:rPr>
          <w:sz w:val="28"/>
          <w:szCs w:val="28"/>
        </w:rPr>
        <w:t>а подачи ценовых предложений: 26</w:t>
      </w:r>
      <w:r w:rsidR="00841419">
        <w:rPr>
          <w:sz w:val="28"/>
          <w:szCs w:val="28"/>
        </w:rPr>
        <w:t>.02.2026</w:t>
      </w:r>
      <w:r>
        <w:rPr>
          <w:sz w:val="28"/>
          <w:szCs w:val="28"/>
        </w:rPr>
        <w:t xml:space="preserve"> 11:00 (время московское).</w:t>
      </w:r>
    </w:p>
    <w:p w14:paraId="0C03E55E" w14:textId="3E07F50F" w:rsidR="00916248" w:rsidRDefault="00916248" w:rsidP="00916248">
      <w:pPr>
        <w:tabs>
          <w:tab w:val="left" w:pos="0"/>
          <w:tab w:val="left" w:pos="1134"/>
        </w:tabs>
        <w:jc w:val="both"/>
        <w:rPr>
          <w:spacing w:val="-6"/>
          <w:sz w:val="28"/>
          <w:szCs w:val="28"/>
        </w:rPr>
      </w:pPr>
      <w:r>
        <w:rPr>
          <w:sz w:val="28"/>
          <w:szCs w:val="28"/>
        </w:rPr>
        <w:t>Дата подведен</w:t>
      </w:r>
      <w:r w:rsidR="00AA09C5">
        <w:rPr>
          <w:sz w:val="28"/>
          <w:szCs w:val="28"/>
        </w:rPr>
        <w:t>ия итогов закупки: не позднее 27</w:t>
      </w:r>
      <w:bookmarkStart w:id="13" w:name="_GoBack"/>
      <w:bookmarkEnd w:id="13"/>
      <w:r w:rsidR="00841419">
        <w:rPr>
          <w:sz w:val="28"/>
          <w:szCs w:val="28"/>
        </w:rPr>
        <w:t>.02.2026</w:t>
      </w:r>
      <w:r>
        <w:rPr>
          <w:sz w:val="28"/>
          <w:szCs w:val="28"/>
        </w:rPr>
        <w:t>.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2F24F3BC"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5EFE9E31"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4E4F52">
        <w:rPr>
          <w:rFonts w:ascii="Times New Roman" w:hAnsi="Times New Roman"/>
          <w:spacing w:val="-6"/>
          <w:sz w:val="28"/>
          <w:szCs w:val="28"/>
        </w:rPr>
        <w:t>5 %</w:t>
      </w:r>
      <w:r w:rsidR="004E296E" w:rsidRPr="00632257">
        <w:rPr>
          <w:rFonts w:ascii="Times New Roman" w:hAnsi="Times New Roman"/>
          <w:spacing w:val="-6"/>
          <w:sz w:val="28"/>
          <w:szCs w:val="28"/>
        </w:rPr>
        <w:t xml:space="preserve">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4" w:name="_Toc398564571"/>
      <w:bookmarkStart w:id="15" w:name="_Toc399408081"/>
      <w:bookmarkStart w:id="16" w:name="_Toc53402255"/>
      <w:bookmarkStart w:id="17" w:name="_Ref442945539"/>
      <w:bookmarkStart w:id="18" w:name="_Toc27405629"/>
      <w:bookmarkStart w:id="19" w:name="_Toc30089555"/>
      <w:bookmarkStart w:id="20" w:name="_Toc37339666"/>
      <w:bookmarkStart w:id="21" w:name="_Toc52908996"/>
      <w:bookmarkStart w:id="22" w:name="_Ref317252392"/>
      <w:bookmarkStart w:id="23" w:name="_Ref317252770"/>
      <w:bookmarkStart w:id="24" w:name="_Ref317258826"/>
      <w:bookmarkStart w:id="25" w:name="_Ref317258847"/>
      <w:bookmarkStart w:id="26" w:name="_Ref317258884"/>
      <w:bookmarkStart w:id="27" w:name="_Ref317259078"/>
      <w:bookmarkStart w:id="28" w:name="_Ref317259086"/>
      <w:bookmarkStart w:id="29" w:name="_Ref317259097"/>
      <w:bookmarkStart w:id="30" w:name="_Ref317259107"/>
      <w:bookmarkStart w:id="31" w:name="_Ref317259121"/>
      <w:bookmarkStart w:id="32" w:name="_Ref317259138"/>
      <w:bookmarkStart w:id="33" w:name="_Ref317259149"/>
      <w:bookmarkStart w:id="34" w:name="_Ref317259167"/>
      <w:bookmarkStart w:id="35" w:name="_Ref317259176"/>
      <w:bookmarkStart w:id="36" w:name="_Ref317259188"/>
      <w:bookmarkStart w:id="37" w:name="_Ref317259197"/>
      <w:bookmarkStart w:id="38" w:name="_Ref317259206"/>
      <w:bookmarkStart w:id="39" w:name="_Ref317259217"/>
      <w:bookmarkStart w:id="40" w:name="_Ref317259233"/>
      <w:bookmarkStart w:id="41" w:name="_Toc255987070"/>
      <w:r w:rsidRPr="00632257">
        <w:rPr>
          <w:b/>
          <w:sz w:val="28"/>
          <w:szCs w:val="28"/>
        </w:rPr>
        <w:lastRenderedPageBreak/>
        <w:t>ЧАСТЬ 1</w:t>
      </w:r>
      <w:bookmarkEnd w:id="14"/>
      <w:bookmarkEnd w:id="15"/>
      <w:bookmarkEnd w:id="16"/>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2" w:name="_Toc395190383"/>
      <w:bookmarkStart w:id="43" w:name="_Ref396490008"/>
      <w:bookmarkStart w:id="44" w:name="_Ref442946065"/>
      <w:bookmarkStart w:id="45" w:name="_Toc53402256"/>
      <w:r w:rsidRPr="00632257">
        <w:rPr>
          <w:sz w:val="28"/>
          <w:szCs w:val="28"/>
        </w:rPr>
        <w:t>ТРЕБОВАНИЯ. ДОКУМЕНТЫ. СОСТАВ ЗАЯВКИ НА УЧАСТИЕ В ЗАКУПКЕ.</w:t>
      </w:r>
      <w:bookmarkEnd w:id="42"/>
      <w:bookmarkEnd w:id="43"/>
      <w:bookmarkEnd w:id="44"/>
      <w:bookmarkEnd w:id="45"/>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6" w:name="_Ref394995094"/>
      <w:bookmarkStart w:id="47" w:name="_Toc395190384"/>
      <w:bookmarkStart w:id="48" w:name="_Toc53402257"/>
      <w:r w:rsidRPr="00632257">
        <w:rPr>
          <w:sz w:val="28"/>
          <w:szCs w:val="28"/>
        </w:rPr>
        <w:t>ТРЕБОВАНИЯ. ДОКУМЕНТЫ, ПОДТВЕРЖДАЮЩИЕ СООТВЕТСТВИЕ УСТАНОВЛЕННЫМ ТРЕБОВАНИЯМ.</w:t>
      </w:r>
      <w:bookmarkEnd w:id="46"/>
      <w:bookmarkEnd w:id="47"/>
      <w:bookmarkEnd w:id="48"/>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9" w:name="_Toc53402258"/>
      <w:r w:rsidRPr="00632257">
        <w:rPr>
          <w:sz w:val="28"/>
          <w:szCs w:val="28"/>
        </w:rPr>
        <w:t>Требования к участникам закупки</w:t>
      </w:r>
      <w:bookmarkEnd w:id="49"/>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0941"/>
          </w:p>
        </w:tc>
        <w:bookmarkEnd w:id="50"/>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6"/>
          </w:p>
        </w:tc>
        <w:bookmarkEnd w:id="51"/>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2" w:name="_Ref405791537"/>
          </w:p>
        </w:tc>
        <w:bookmarkEnd w:id="52"/>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3" w:name="_Toc53402259"/>
      <w:r w:rsidRPr="00632257">
        <w:rPr>
          <w:sz w:val="28"/>
          <w:szCs w:val="28"/>
        </w:rPr>
        <w:t>Требования к продукции</w:t>
      </w:r>
      <w:bookmarkEnd w:id="17"/>
      <w:bookmarkEnd w:id="18"/>
      <w:bookmarkEnd w:id="19"/>
      <w:bookmarkEnd w:id="20"/>
      <w:bookmarkEnd w:id="21"/>
      <w:bookmarkEnd w:id="53"/>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4" w:name="_План_распределения_объемов_выполнен"/>
      <w:bookmarkStart w:id="55" w:name="_Ref395172188"/>
      <w:bookmarkStart w:id="56" w:name="_Toc395190385"/>
      <w:bookmarkStart w:id="57" w:name="_Toc52908997"/>
      <w:bookmarkStart w:id="58" w:name="_Toc470006194"/>
      <w:bookmarkStart w:id="59" w:name="_Toc534022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r w:rsidRPr="00632257">
        <w:rPr>
          <w:b/>
          <w:sz w:val="28"/>
          <w:szCs w:val="28"/>
        </w:rPr>
        <w:lastRenderedPageBreak/>
        <w:t>СОСТАВ ЗАЯВКИ НА УЧАСТИЕ В ЗАКУПКЕ</w:t>
      </w:r>
      <w:bookmarkEnd w:id="55"/>
      <w:bookmarkEnd w:id="56"/>
      <w:bookmarkEnd w:id="57"/>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60" w:name="_Ref319837991"/>
      <w:bookmarkStart w:id="61"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60"/>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1"/>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2" w:name="_Ref321475870"/>
      <w:bookmarkStart w:id="63" w:name="_Toc398564600"/>
      <w:bookmarkStart w:id="64" w:name="_Toc399408089"/>
      <w:bookmarkStart w:id="65" w:name="_Toc53402262"/>
      <w:r w:rsidRPr="00632257">
        <w:rPr>
          <w:b/>
        </w:rPr>
        <w:t>КРИТЕРИИ И МЕТОДИКА ОЦЕНКИ ЗАЯВОК НА УЧАСТИЕ В ЗАКУПКЕ</w:t>
      </w:r>
      <w:bookmarkEnd w:id="62"/>
      <w:bookmarkEnd w:id="63"/>
      <w:bookmarkEnd w:id="64"/>
      <w:bookmarkEnd w:id="65"/>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6" w:name="_Toc395190388"/>
      <w:bookmarkStart w:id="67" w:name="_Ref396487846"/>
      <w:bookmarkStart w:id="68" w:name="_Ref396489236"/>
      <w:bookmarkStart w:id="69" w:name="_Toc53402263"/>
      <w:bookmarkStart w:id="70" w:name="_Toc260130025"/>
      <w:bookmarkStart w:id="71" w:name="_Toc367283798"/>
      <w:bookmarkStart w:id="72" w:name="_Ref317252426"/>
      <w:bookmarkStart w:id="73" w:name="_Ref55335821"/>
      <w:bookmarkStart w:id="74" w:name="_Ref55336345"/>
      <w:bookmarkStart w:id="75" w:name="_Toc57314674"/>
      <w:bookmarkStart w:id="76" w:name="_Toc69728988"/>
      <w:bookmarkStart w:id="77" w:name="_Toc98251754"/>
      <w:r w:rsidRPr="00632257">
        <w:rPr>
          <w:b/>
        </w:rPr>
        <w:t>ОБРАЗЦЫ ФОРМ ОСНОВНЫХ ДОКУМЕНТОВ</w:t>
      </w:r>
      <w:bookmarkEnd w:id="66"/>
      <w:bookmarkEnd w:id="67"/>
      <w:bookmarkEnd w:id="68"/>
      <w:bookmarkEnd w:id="69"/>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8" w:name="_Письмо_о_подаче"/>
      <w:bookmarkStart w:id="79" w:name="_Анкета_Претендента_на"/>
      <w:bookmarkStart w:id="80" w:name="_Анкета_Участника_процедуры"/>
      <w:bookmarkStart w:id="81" w:name="_АНКЕТА_УЧАСТНИКА_КОНКУРСА"/>
      <w:bookmarkStart w:id="82" w:name="_Ref401131967"/>
      <w:bookmarkEnd w:id="78"/>
      <w:bookmarkEnd w:id="79"/>
      <w:bookmarkEnd w:id="80"/>
      <w:bookmarkEnd w:id="81"/>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3" w:name="_Toc11658281"/>
      <w:bookmarkStart w:id="84" w:name="_Toc11658374"/>
      <w:bookmarkStart w:id="85" w:name="_Toc13651224"/>
      <w:bookmarkStart w:id="86" w:name="_Toc13735500"/>
      <w:bookmarkStart w:id="87" w:name="_Toc14344076"/>
      <w:bookmarkStart w:id="88" w:name="_Toc18588294"/>
      <w:bookmarkStart w:id="89" w:name="_Toc27488855"/>
      <w:bookmarkStart w:id="90" w:name="_Toc27490576"/>
      <w:bookmarkStart w:id="91" w:name="_Toc33516942"/>
      <w:bookmarkStart w:id="92" w:name="_Toc33516971"/>
      <w:bookmarkStart w:id="93" w:name="_Toc35877608"/>
      <w:bookmarkStart w:id="94" w:name="_Toc38386162"/>
      <w:bookmarkStart w:id="95" w:name="_Toc42187689"/>
      <w:bookmarkStart w:id="96" w:name="_Toc45206347"/>
      <w:bookmarkStart w:id="97" w:name="_Toc47702010"/>
      <w:bookmarkStart w:id="98" w:name="_Toc53402128"/>
      <w:bookmarkStart w:id="99" w:name="_Toc534022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100" w:name="_Toc53402265"/>
      <w:r w:rsidRPr="00632257">
        <w:t>Образцы форм основных документов, включаемых в заявку на участие в закупке</w:t>
      </w:r>
      <w:bookmarkEnd w:id="82"/>
      <w:bookmarkEnd w:id="100"/>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1" w:name="_ЧАСТЬ_1_ЗАЯВКИ"/>
      <w:bookmarkStart w:id="102" w:name="_Toc308092765"/>
      <w:bookmarkStart w:id="103" w:name="_Toc390267718"/>
      <w:bookmarkStart w:id="104" w:name="_Toc438219380"/>
      <w:bookmarkStart w:id="105" w:name="_Toc53402266"/>
      <w:bookmarkEnd w:id="101"/>
      <w:r w:rsidRPr="00632257">
        <w:rPr>
          <w:iCs/>
        </w:rPr>
        <w:t xml:space="preserve">ЧАСТЬ 1 ЗАЯВКИ НА УЧАСТИЕ В </w:t>
      </w:r>
      <w:bookmarkEnd w:id="102"/>
      <w:r w:rsidRPr="00632257">
        <w:rPr>
          <w:iCs/>
        </w:rPr>
        <w:t xml:space="preserve">ЗАКУПКЕ </w:t>
      </w:r>
      <w:bookmarkStart w:id="106" w:name="_Toc308092766"/>
      <w:r w:rsidRPr="00632257">
        <w:rPr>
          <w:iCs/>
        </w:rPr>
        <w:t>(Форма 1)</w:t>
      </w:r>
      <w:bookmarkEnd w:id="103"/>
      <w:bookmarkEnd w:id="104"/>
      <w:bookmarkEnd w:id="105"/>
      <w:bookmarkEnd w:id="106"/>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7" w:name="_Toc447568680"/>
      <w:bookmarkStart w:id="108" w:name="_Toc456214911"/>
      <w:bookmarkStart w:id="109" w:name="_Toc516690698"/>
      <w:r w:rsidRPr="00632257">
        <w:rPr>
          <w:rFonts w:ascii="Cambria" w:hAnsi="Cambria"/>
          <w:b/>
        </w:rPr>
        <w:t>Общие технические характеристики оборудования</w:t>
      </w:r>
      <w:bookmarkEnd w:id="107"/>
      <w:bookmarkEnd w:id="108"/>
      <w:bookmarkEnd w:id="109"/>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10" w:name="_Toc474753310"/>
    </w:p>
    <w:bookmarkEnd w:id="110"/>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1" w:name="_Toc438219381"/>
      <w:bookmarkStart w:id="112" w:name="_Toc53402268"/>
      <w:r w:rsidRPr="00632257">
        <w:rPr>
          <w:rFonts w:ascii="Times New Roman" w:hAnsi="Times New Roman" w:cs="Times New Roman"/>
          <w:b w:val="0"/>
          <w:bCs w:val="0"/>
          <w:i w:val="0"/>
          <w:sz w:val="24"/>
          <w:szCs w:val="24"/>
        </w:rPr>
        <w:t>ЧАСТЬ 2 ЗАЯВКИ НА УЧАСТИЕ В ЗАКУПКЕ (Форма 3)</w:t>
      </w:r>
      <w:bookmarkEnd w:id="111"/>
      <w:bookmarkEnd w:id="112"/>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3" w:name="_СВЕДЕНИЯ_О_ПРИНАДЛЕЖНОСТИ"/>
      <w:bookmarkStart w:id="114" w:name="_СВЕДЕНИЯ_О_ЦЕПОЧКЕ"/>
      <w:bookmarkStart w:id="115" w:name="_Toc517442180"/>
      <w:bookmarkStart w:id="116" w:name="_Toc519074456"/>
      <w:bookmarkStart w:id="117" w:name="_Toc526860823"/>
      <w:bookmarkStart w:id="118" w:name="_Toc526861053"/>
      <w:bookmarkStart w:id="119" w:name="_Toc527020364"/>
      <w:bookmarkStart w:id="120" w:name="_Toc527644144"/>
      <w:bookmarkStart w:id="121" w:name="_Toc75364131"/>
      <w:bookmarkStart w:id="122" w:name="_Toc402520354"/>
      <w:bookmarkStart w:id="123" w:name="_Toc435012870"/>
      <w:bookmarkEnd w:id="113"/>
      <w:bookmarkEnd w:id="114"/>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5"/>
      <w:bookmarkEnd w:id="116"/>
      <w:bookmarkEnd w:id="117"/>
      <w:bookmarkEnd w:id="118"/>
      <w:bookmarkEnd w:id="119"/>
      <w:bookmarkEnd w:id="120"/>
      <w:bookmarkEnd w:id="121"/>
      <w:r w:rsidRPr="00632257">
        <w:rPr>
          <w:rFonts w:ascii="Times New Roman" w:hAnsi="Times New Roman" w:cs="Times New Roman"/>
          <w:b w:val="0"/>
          <w:i w:val="0"/>
        </w:rPr>
        <w:t xml:space="preserve"> </w:t>
      </w:r>
      <w:bookmarkEnd w:id="122"/>
      <w:bookmarkEnd w:id="123"/>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4" w:name="_Toc517442181"/>
      <w:bookmarkStart w:id="125" w:name="_Toc519074457"/>
      <w:bookmarkStart w:id="126" w:name="_Toc526860824"/>
      <w:bookmarkStart w:id="127" w:name="_Toc526861054"/>
      <w:bookmarkStart w:id="128" w:name="_Toc527020365"/>
      <w:bookmarkStart w:id="129"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4"/>
      <w:bookmarkEnd w:id="125"/>
      <w:bookmarkEnd w:id="126"/>
      <w:bookmarkEnd w:id="127"/>
      <w:bookmarkEnd w:id="128"/>
      <w:bookmarkEnd w:id="129"/>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30" w:name="_MON_1426416245"/>
      <w:bookmarkStart w:id="131" w:name="_MON_1426416250"/>
      <w:bookmarkStart w:id="132" w:name="_MON_1426416312"/>
      <w:bookmarkStart w:id="133" w:name="_MON_1426416335"/>
      <w:bookmarkStart w:id="134" w:name="_MON_1426416354"/>
      <w:bookmarkStart w:id="135" w:name="_MON_1426416433"/>
      <w:bookmarkStart w:id="136" w:name="_MON_1426416994"/>
      <w:bookmarkStart w:id="137" w:name="_MON_1426417038"/>
      <w:bookmarkStart w:id="138" w:name="_MON_1426417063"/>
      <w:bookmarkStart w:id="139" w:name="_MON_1426417113"/>
      <w:bookmarkStart w:id="140" w:name="_MON_1426416101"/>
      <w:bookmarkStart w:id="141" w:name="_MON_1426416143"/>
      <w:bookmarkStart w:id="142" w:name="_MON_1426416150"/>
      <w:bookmarkEnd w:id="130"/>
      <w:bookmarkEnd w:id="131"/>
      <w:bookmarkEnd w:id="132"/>
      <w:bookmarkEnd w:id="133"/>
      <w:bookmarkEnd w:id="134"/>
      <w:bookmarkEnd w:id="135"/>
      <w:bookmarkEnd w:id="136"/>
      <w:bookmarkEnd w:id="137"/>
      <w:bookmarkEnd w:id="138"/>
      <w:bookmarkEnd w:id="139"/>
      <w:bookmarkEnd w:id="140"/>
      <w:bookmarkEnd w:id="141"/>
      <w:bookmarkEnd w:id="142"/>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3" w:name="_Toc3456835"/>
      <w:bookmarkStart w:id="144" w:name="_Toc3801976"/>
      <w:bookmarkStart w:id="145" w:name="_Toc62826776"/>
      <w:r w:rsidRPr="00632257">
        <w:rPr>
          <w:b/>
        </w:rPr>
        <w:t xml:space="preserve">Справка об информированности (Форма </w:t>
      </w:r>
      <w:r w:rsidR="00920982" w:rsidRPr="00632257">
        <w:rPr>
          <w:b/>
        </w:rPr>
        <w:t>7</w:t>
      </w:r>
      <w:r w:rsidRPr="00632257">
        <w:rPr>
          <w:b/>
        </w:rPr>
        <w:t>)</w:t>
      </w:r>
      <w:bookmarkEnd w:id="143"/>
      <w:bookmarkEnd w:id="144"/>
      <w:bookmarkEnd w:id="145"/>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70"/>
    <w:bookmarkEnd w:id="71"/>
    <w:bookmarkEnd w:id="72"/>
    <w:bookmarkEnd w:id="73"/>
    <w:bookmarkEnd w:id="74"/>
    <w:bookmarkEnd w:id="75"/>
    <w:bookmarkEnd w:id="76"/>
    <w:bookmarkEnd w:id="77"/>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6" w:name="_Toc54788916"/>
      <w:bookmarkStart w:id="147" w:name="_Toc58936275"/>
      <w:bookmarkStart w:id="148"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6"/>
      <w:bookmarkEnd w:id="147"/>
      <w:bookmarkEnd w:id="148"/>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8"/>
    <w:bookmarkEnd w:id="59"/>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2EE5D" w14:textId="77777777" w:rsidR="003B73AF" w:rsidRDefault="003B73AF">
      <w:r>
        <w:separator/>
      </w:r>
    </w:p>
  </w:endnote>
  <w:endnote w:type="continuationSeparator" w:id="0">
    <w:p w14:paraId="6DC56940" w14:textId="77777777" w:rsidR="003B73AF" w:rsidRDefault="003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1A7BA602" w:rsidR="003C1FA7" w:rsidRDefault="003C1FA7">
        <w:pPr>
          <w:pStyle w:val="ac"/>
          <w:jc w:val="center"/>
        </w:pPr>
        <w:r>
          <w:rPr>
            <w:noProof/>
          </w:rPr>
          <w:fldChar w:fldCharType="begin"/>
        </w:r>
        <w:r>
          <w:rPr>
            <w:noProof/>
          </w:rPr>
          <w:instrText>PAGE   \* MERGEFORMAT</w:instrText>
        </w:r>
        <w:r>
          <w:rPr>
            <w:noProof/>
          </w:rPr>
          <w:fldChar w:fldCharType="separate"/>
        </w:r>
        <w:r w:rsidR="00AA09C5">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67F48E1A" w:rsidR="003C1FA7" w:rsidRDefault="003C1FA7">
        <w:pPr>
          <w:pStyle w:val="ac"/>
          <w:jc w:val="center"/>
        </w:pPr>
        <w:r>
          <w:rPr>
            <w:noProof/>
          </w:rPr>
          <w:fldChar w:fldCharType="begin"/>
        </w:r>
        <w:r>
          <w:rPr>
            <w:noProof/>
          </w:rPr>
          <w:instrText>PAGE   \* MERGEFORMAT</w:instrText>
        </w:r>
        <w:r>
          <w:rPr>
            <w:noProof/>
          </w:rPr>
          <w:fldChar w:fldCharType="separate"/>
        </w:r>
        <w:r w:rsidR="00AA09C5">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1EB3" w14:textId="77777777" w:rsidR="003B73AF" w:rsidRDefault="003B73AF">
      <w:r>
        <w:separator/>
      </w:r>
    </w:p>
  </w:footnote>
  <w:footnote w:type="continuationSeparator" w:id="0">
    <w:p w14:paraId="351E31E9" w14:textId="77777777" w:rsidR="003B73AF" w:rsidRDefault="003B73AF">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36FCF70F" w:rsidR="003C1FA7" w:rsidRPr="00BA0CAE" w:rsidRDefault="003C1FA7">
        <w:pPr>
          <w:pStyle w:val="aa"/>
          <w:jc w:val="center"/>
        </w:pPr>
        <w:r>
          <w:rPr>
            <w:noProof/>
          </w:rPr>
          <w:fldChar w:fldCharType="begin"/>
        </w:r>
        <w:r>
          <w:rPr>
            <w:noProof/>
          </w:rPr>
          <w:instrText>PAGE   \* MERGEFORMAT</w:instrText>
        </w:r>
        <w:r>
          <w:rPr>
            <w:noProof/>
          </w:rPr>
          <w:fldChar w:fldCharType="separate"/>
        </w:r>
        <w:r w:rsidR="00AA09C5">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30AE5051" w:rsidR="003C1FA7" w:rsidRPr="00BA0CAE" w:rsidRDefault="003C1FA7">
        <w:pPr>
          <w:pStyle w:val="aa"/>
          <w:jc w:val="center"/>
        </w:pPr>
        <w:r>
          <w:rPr>
            <w:noProof/>
          </w:rPr>
          <w:fldChar w:fldCharType="begin"/>
        </w:r>
        <w:r>
          <w:rPr>
            <w:noProof/>
          </w:rPr>
          <w:instrText>PAGE   \* MERGEFORMAT</w:instrText>
        </w:r>
        <w:r>
          <w:rPr>
            <w:noProof/>
          </w:rPr>
          <w:fldChar w:fldCharType="separate"/>
        </w:r>
        <w:r w:rsidR="00AA09C5">
          <w:rPr>
            <w:noProof/>
          </w:rPr>
          <w:t>2</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3C96F643" w:rsidR="003C1FA7" w:rsidRPr="00BA0CAE" w:rsidRDefault="003C1FA7">
        <w:pPr>
          <w:pStyle w:val="aa"/>
          <w:jc w:val="center"/>
        </w:pPr>
        <w:r>
          <w:rPr>
            <w:noProof/>
          </w:rPr>
          <w:fldChar w:fldCharType="begin"/>
        </w:r>
        <w:r>
          <w:rPr>
            <w:noProof/>
          </w:rPr>
          <w:instrText>PAGE   \* MERGEFORMAT</w:instrText>
        </w:r>
        <w:r>
          <w:rPr>
            <w:noProof/>
          </w:rPr>
          <w:fldChar w:fldCharType="separate"/>
        </w:r>
        <w:r w:rsidR="00AA09C5">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0F3D42EE"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AA09C5">
      <w:rPr>
        <w:noProof/>
      </w:rPr>
      <w:t>26</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208C"/>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B73AF"/>
    <w:rsid w:val="003C1FA7"/>
    <w:rsid w:val="003C2131"/>
    <w:rsid w:val="003D09B7"/>
    <w:rsid w:val="003D0C5C"/>
    <w:rsid w:val="003D400A"/>
    <w:rsid w:val="003F0804"/>
    <w:rsid w:val="003F2494"/>
    <w:rsid w:val="004006AD"/>
    <w:rsid w:val="00402ED7"/>
    <w:rsid w:val="00403235"/>
    <w:rsid w:val="00404D92"/>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E4F52"/>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4CE1"/>
    <w:rsid w:val="005E6571"/>
    <w:rsid w:val="005E7AFA"/>
    <w:rsid w:val="005F19A8"/>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C26"/>
    <w:rsid w:val="007A4F3E"/>
    <w:rsid w:val="007A6605"/>
    <w:rsid w:val="007A7215"/>
    <w:rsid w:val="007B523F"/>
    <w:rsid w:val="007B7899"/>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E66"/>
    <w:rsid w:val="00810D07"/>
    <w:rsid w:val="0081309F"/>
    <w:rsid w:val="00816200"/>
    <w:rsid w:val="00817437"/>
    <w:rsid w:val="0082370A"/>
    <w:rsid w:val="00833957"/>
    <w:rsid w:val="00833D58"/>
    <w:rsid w:val="00841419"/>
    <w:rsid w:val="00842135"/>
    <w:rsid w:val="00847801"/>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09C5"/>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45B11"/>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869FF"/>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115D"/>
    <w:rsid w:val="00EE556F"/>
    <w:rsid w:val="00EE5620"/>
    <w:rsid w:val="00EE5CAF"/>
    <w:rsid w:val="00EF2429"/>
    <w:rsid w:val="00EF6EE4"/>
    <w:rsid w:val="00EF7C4F"/>
    <w:rsid w:val="00F02863"/>
    <w:rsid w:val="00F03610"/>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78E6-05D7-4D33-8E7C-DE1573D7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7528</Words>
  <Characters>42916</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66</cp:revision>
  <cp:lastPrinted>2025-03-31T07:54:00Z</cp:lastPrinted>
  <dcterms:created xsi:type="dcterms:W3CDTF">2023-10-24T07:08:00Z</dcterms:created>
  <dcterms:modified xsi:type="dcterms:W3CDTF">2026-02-09T08:02:00Z</dcterms:modified>
</cp:coreProperties>
</file>