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lang w:val="ru-RU"/>
              </w:rPr>
              <w:t>«1</w:t>
            </w:r>
            <w:r>
              <w:rPr>
                <w:rStyle w:val="Strong"/>
                <w:rFonts w:eastAsia="Times New Roman" w:cs="Times New Roman"/>
                <w:b/>
                <w:bCs/>
                <w:color w:val="auto"/>
                <w:kern w:val="0"/>
                <w:sz w:val="24"/>
                <w:szCs w:val="22"/>
                <w:lang w:val="ru-RU" w:eastAsia="en-US" w:bidi="en-US"/>
              </w:rPr>
              <w:t>9</w:t>
            </w:r>
            <w:r>
              <w:rPr>
                <w:rStyle w:val="Strong"/>
                <w:lang w:val="ru-RU"/>
              </w:rPr>
              <w:t>» ф</w:t>
            </w:r>
            <w:r>
              <w:rPr>
                <w:rStyle w:val="Strong"/>
                <w:rFonts w:eastAsia="Times New Roman" w:cs="Times New Roman"/>
                <w:b/>
                <w:bCs/>
                <w:color w:val="auto"/>
                <w:kern w:val="0"/>
                <w:sz w:val="24"/>
                <w:szCs w:val="22"/>
                <w:lang w:val="ru-RU" w:eastAsia="en-US" w:bidi="en-US"/>
              </w:rPr>
              <w:t xml:space="preserve">евраля </w:t>
            </w:r>
            <w:r>
              <w:rPr>
                <w:rStyle w:val="Strong"/>
                <w:lang w:val="ru-RU"/>
              </w:rPr>
              <w:t xml:space="preserve"> 2026</w:t>
            </w:r>
            <w:r>
              <w:rPr>
                <w:rStyle w:val="31"/>
                <w:lang w:val="ru-RU"/>
              </w:rPr>
              <w:t xml:space="preserve"> г.</w:t>
            </w:r>
          </w:p>
          <w:p>
            <w:pPr>
              <w:pStyle w:val="Normal"/>
              <w:widowControl w:val="false"/>
              <w:spacing w:before="0" w:after="0"/>
              <w:ind w:left="0" w:right="0" w:hanging="0"/>
              <w:contextualSpacing/>
              <w:jc w:val="center"/>
              <w:rPr>
                <w:rStyle w:val="31"/>
                <w:lang w:val="ru-RU"/>
              </w:rPr>
            </w:pPr>
            <w:r>
              <w:rPr>
                <w:lang w:val="ru-RU"/>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pPr>
      <w:r>
        <w:rPr>
          <w:b/>
          <w:sz w:val="32"/>
          <w:szCs w:val="32"/>
          <w:lang w:val="ru-RU"/>
        </w:rPr>
        <w:t xml:space="preserve"> </w:t>
      </w:r>
    </w:p>
    <w:p>
      <w:pPr>
        <w:pStyle w:val="Normal"/>
        <w:widowControl w:val="false"/>
        <w:suppressLineNumbers/>
        <w:ind w:left="0" w:right="-258" w:hanging="0"/>
        <w:jc w:val="center"/>
        <w:rPr>
          <w:b/>
          <w:sz w:val="32"/>
          <w:szCs w:val="32"/>
          <w:lang w:val="ru-RU"/>
        </w:rPr>
      </w:pPr>
      <w:r>
        <w:rPr>
          <w:b/>
          <w:sz w:val="32"/>
          <w:szCs w:val="32"/>
          <w:lang w:val="ru-RU"/>
        </w:rPr>
      </w:r>
    </w:p>
    <w:p>
      <w:pPr>
        <w:pStyle w:val="Normal"/>
        <w:widowControl w:val="false"/>
        <w:suppressLineNumbers/>
        <w:ind w:left="0" w:right="-258" w:hanging="0"/>
        <w:jc w:val="center"/>
        <w:rPr>
          <w:rFonts w:ascii="Times New Roman" w:hAnsi="Times New Roman"/>
          <w:sz w:val="28"/>
          <w:szCs w:val="28"/>
        </w:rPr>
      </w:pPr>
      <w:r>
        <w:rPr>
          <w:sz w:val="28"/>
          <w:szCs w:val="28"/>
        </w:rPr>
      </w:r>
    </w:p>
    <w:p>
      <w:pPr>
        <w:pStyle w:val="Style38"/>
        <w:spacing w:lineRule="auto" w:line="276"/>
        <w:ind w:left="0" w:right="-258" w:hanging="0"/>
        <w:rPr/>
      </w:pPr>
      <w:r>
        <w:rPr>
          <w:b/>
          <w:bCs/>
          <w:sz w:val="24"/>
          <w:szCs w:val="24"/>
        </w:rPr>
        <w:t xml:space="preserve">на право заключения договора на </w:t>
      </w:r>
    </w:p>
    <w:p>
      <w:pPr>
        <w:pStyle w:val="Style38"/>
        <w:spacing w:lineRule="auto" w:line="276"/>
        <w:ind w:left="0" w:right="-258" w:hanging="0"/>
        <w:jc w:val="center"/>
        <w:rPr/>
      </w:pPr>
      <w:r>
        <w:rPr>
          <w:rStyle w:val="3Cambria"/>
          <w:rFonts w:cs="Times New Roman"/>
          <w:b/>
          <w:bCs/>
          <w:i/>
          <w:iCs/>
          <w:color w:val="000000"/>
          <w:sz w:val="24"/>
          <w:szCs w:val="24"/>
          <w:u w:val="none"/>
          <w:lang w:val="ru-RU"/>
        </w:rPr>
        <w:t>О</w:t>
      </w:r>
      <w:r>
        <w:rPr>
          <w:rStyle w:val="3Cambria"/>
          <w:rFonts w:cs="Times New Roman"/>
          <w:b/>
          <w:bCs/>
          <w:i/>
          <w:iCs/>
          <w:color w:val="000000"/>
          <w:sz w:val="24"/>
          <w:szCs w:val="24"/>
          <w:u w:val="none"/>
        </w:rPr>
        <w:t xml:space="preserve">казание услуг </w:t>
      </w:r>
      <w:r>
        <w:rPr>
          <w:rStyle w:val="3Cambria"/>
          <w:rFonts w:eastAsia="Calibri" w:cs="Times New Roman"/>
          <w:b/>
          <w:bCs/>
          <w:i/>
          <w:iCs/>
          <w:color w:val="000000"/>
          <w:spacing w:val="0"/>
          <w:w w:val="100"/>
          <w:kern w:val="2"/>
          <w:sz w:val="24"/>
          <w:szCs w:val="24"/>
          <w:u w:val="none"/>
          <w:lang w:val="ru-RU" w:eastAsia="ru-RU" w:bidi="ru-RU"/>
        </w:rPr>
        <w:t xml:space="preserve">по предоставлению автотранспорта (спецтехники) </w:t>
      </w:r>
      <w:r>
        <w:rPr>
          <w:rStyle w:val="3Cambria"/>
          <w:rFonts w:cs="Times New Roman"/>
          <w:b/>
          <w:bCs/>
          <w:i/>
          <w:iCs/>
          <w:color w:val="000000"/>
          <w:sz w:val="24"/>
          <w:szCs w:val="24"/>
          <w:u w:val="none"/>
        </w:rPr>
        <w:t xml:space="preserve"> </w:t>
      </w:r>
    </w:p>
    <w:p>
      <w:pPr>
        <w:pStyle w:val="Style38"/>
        <w:spacing w:lineRule="auto" w:line="276"/>
        <w:ind w:left="0" w:right="-258" w:hanging="0"/>
        <w:jc w:val="center"/>
        <w:rPr/>
      </w:pPr>
      <w:r>
        <w:rPr>
          <w:rStyle w:val="3Cambria"/>
          <w:rFonts w:cs="Times New Roman"/>
          <w:b/>
          <w:bCs/>
          <w:i/>
          <w:iCs/>
          <w:color w:val="000000"/>
          <w:sz w:val="24"/>
          <w:szCs w:val="24"/>
          <w:u w:val="none"/>
        </w:rPr>
        <w:t>для нужд АО «Региональная сетевая компания»</w:t>
      </w:r>
    </w:p>
    <w:p>
      <w:pPr>
        <w:pStyle w:val="Normal"/>
        <w:bidi w:val="0"/>
        <w:spacing w:lineRule="auto" w:line="276"/>
        <w:ind w:left="0" w:right="0" w:firstLine="635"/>
        <w:jc w:val="both"/>
        <w:rPr>
          <w:rFonts w:ascii="Times New Roman" w:hAnsi="Times New Roman" w:cs="Times New Roman"/>
          <w:b/>
          <w:bCs/>
          <w:i/>
          <w:i/>
          <w:iCs/>
          <w:color w:val="000000"/>
          <w:sz w:val="24"/>
          <w:szCs w:val="24"/>
          <w:u w:val="none"/>
        </w:rPr>
      </w:pPr>
      <w:r>
        <w:rPr>
          <w:rFonts w:cs="Times New Roman"/>
          <w:b/>
          <w:bCs/>
          <w:i/>
          <w:iCs/>
          <w:color w:val="000000"/>
          <w:sz w:val="24"/>
          <w:szCs w:val="24"/>
          <w:u w:val="none"/>
        </w:rPr>
      </w:r>
    </w:p>
    <w:p>
      <w:pPr>
        <w:pStyle w:val="Normal"/>
        <w:bidi w:val="0"/>
        <w:ind w:left="0" w:right="0" w:firstLine="635"/>
        <w:jc w:val="both"/>
        <w:rPr>
          <w:rStyle w:val="3Cambria"/>
          <w:rFonts w:cs="Times New Roman"/>
          <w:b w:val="false"/>
          <w:bCs w:val="false"/>
          <w:i/>
          <w:i/>
          <w:iCs/>
          <w:color w:val="000000"/>
          <w:sz w:val="24"/>
          <w:szCs w:val="24"/>
          <w:u w:val="none"/>
        </w:rPr>
      </w:pPr>
      <w:r>
        <w:rPr>
          <w:rFonts w:cs="Times New Roman"/>
          <w:b w:val="false"/>
          <w:bCs w:val="false"/>
          <w:i/>
          <w:iCs/>
          <w:color w:val="000000"/>
          <w:sz w:val="24"/>
          <w:szCs w:val="24"/>
          <w:u w:val="none"/>
        </w:rPr>
      </w:r>
    </w:p>
    <w:p>
      <w:pPr>
        <w:pStyle w:val="Normal"/>
        <w:jc w:val="center"/>
        <w:rPr>
          <w:rFonts w:ascii="Times New Roman" w:hAnsi="Times New Roman"/>
          <w:b/>
          <w:bCs/>
          <w:i w:val="false"/>
          <w:i w:val="false"/>
          <w:iCs w:val="false"/>
          <w:color w:val="000000"/>
        </w:rPr>
      </w:pPr>
      <w:r>
        <w:rPr>
          <w:b/>
          <w:bCs/>
          <w:i w:val="false"/>
          <w:iCs w:val="false"/>
          <w:color w:val="000000"/>
        </w:rPr>
      </w:r>
    </w:p>
    <w:p>
      <w:pPr>
        <w:pStyle w:val="Style38"/>
        <w:ind w:left="0" w:right="-258" w:hanging="0"/>
        <w:rPr>
          <w:sz w:val="24"/>
          <w:szCs w:val="24"/>
        </w:rPr>
      </w:pPr>
      <w:r>
        <w:rPr>
          <w:sz w:val="24"/>
          <w:szCs w:val="24"/>
        </w:rPr>
      </w:r>
    </w:p>
    <w:p>
      <w:pPr>
        <w:pStyle w:val="Style38"/>
        <w:ind w:left="0" w:right="-258" w:hanging="0"/>
        <w:rPr>
          <w:sz w:val="24"/>
          <w:szCs w:val="24"/>
        </w:rPr>
      </w:pPr>
      <w:r>
        <w:rPr>
          <w:sz w:val="24"/>
          <w:szCs w:val="24"/>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г. Екатеринбург</w:t>
      </w:r>
    </w:p>
    <w:p>
      <w:pPr>
        <w:pStyle w:val="Normal"/>
        <w:ind w:left="0" w:right="0" w:hanging="0"/>
        <w:jc w:val="center"/>
        <w:rPr/>
      </w:pPr>
      <w:r>
        <w:rPr>
          <w:rStyle w:val="Strong"/>
          <w:lang w:val="ru-RU"/>
        </w:rPr>
        <w:t>2026 г.</w:t>
      </w:r>
    </w:p>
    <w:p>
      <w:pPr>
        <w:pStyle w:val="Normal"/>
        <w:ind w:left="0" w:right="0" w:hanging="0"/>
        <w:jc w:val="center"/>
        <w:rPr>
          <w:lang w:val="ru-RU"/>
        </w:rPr>
      </w:pPr>
      <w:r>
        <w:rPr>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b/>
              <w:bCs/>
              <w:sz w:val="32"/>
              <w:szCs w:val="32"/>
            </w:rPr>
            <w:t>Оглавление</w:t>
          </w:r>
        </w:p>
        <w:p>
          <w:pPr>
            <w:pStyle w:val="37"/>
            <w:tabs>
              <w:tab w:val="clear" w:pos="720"/>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20"/>
              <w:tab w:val="right" w:pos="10066" w:leader="dot"/>
            </w:tabs>
            <w:rPr/>
          </w:pPr>
          <w:hyperlink w:anchor="__RefHeading___Toc10245_953328800">
            <w:r>
              <w:rPr>
                <w:rStyle w:val="Style31"/>
              </w:rPr>
              <w:t>ТЕРМИНЫ И ОПРЕДЕЛЕНИЯ</w:t>
              <w:tab/>
              <w:t>3</w:t>
            </w:r>
          </w:hyperlink>
        </w:p>
        <w:p>
          <w:pPr>
            <w:pStyle w:val="37"/>
            <w:tabs>
              <w:tab w:val="clear" w:pos="720"/>
              <w:tab w:val="right" w:pos="10066" w:leader="dot"/>
            </w:tabs>
            <w:rPr/>
          </w:pPr>
          <w:hyperlink w:anchor="__RefHeading___Toc10247_953328800">
            <w:r>
              <w:rPr>
                <w:rStyle w:val="Style31"/>
              </w:rPr>
              <w:t>1. ОБЩИЕ СВЕДЕНИЯ</w:t>
              <w:tab/>
              <w:t>4</w:t>
            </w:r>
          </w:hyperlink>
        </w:p>
        <w:p>
          <w:pPr>
            <w:pStyle w:val="37"/>
            <w:tabs>
              <w:tab w:val="clear" w:pos="720"/>
              <w:tab w:val="right" w:pos="10066" w:leader="dot"/>
            </w:tabs>
            <w:rPr/>
          </w:pPr>
          <w:hyperlink w:anchor="__RefHeading___Toc10249_953328800">
            <w:r>
              <w:rPr>
                <w:rStyle w:val="Style31"/>
              </w:rPr>
              <w:t>2.  ДОКУМЕНТАЦИЯ О ЗАКУПКЕ</w:t>
              <w:tab/>
              <w:t>5</w:t>
            </w:r>
          </w:hyperlink>
        </w:p>
        <w:p>
          <w:pPr>
            <w:pStyle w:val="37"/>
            <w:tabs>
              <w:tab w:val="clear" w:pos="720"/>
              <w:tab w:val="right" w:pos="10066" w:leader="dot"/>
            </w:tabs>
            <w:rPr/>
          </w:pPr>
          <w:hyperlink w:anchor="__RefHeading___Toc10251_953328800">
            <w:r>
              <w:rPr>
                <w:rStyle w:val="Style31"/>
              </w:rPr>
              <w:t>3. УЧАСТНИКИ ЗАКУПКИ</w:t>
              <w:tab/>
              <w:t>6</w:t>
            </w:r>
          </w:hyperlink>
        </w:p>
        <w:p>
          <w:pPr>
            <w:pStyle w:val="37"/>
            <w:tabs>
              <w:tab w:val="clear" w:pos="720"/>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20"/>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20"/>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20"/>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20"/>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20"/>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20"/>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20"/>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20"/>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20"/>
              <w:tab w:val="right" w:pos="10066" w:leader="dot"/>
            </w:tabs>
            <w:rPr/>
          </w:pPr>
          <w:hyperlink w:anchor="__RefHeading___Toc5755_1322379191">
            <w:r>
              <w:rPr>
                <w:rStyle w:val="Style31"/>
              </w:rPr>
              <w:t>РАЗДЕЛ 3. ТЕХНИЧЕСКОЕ ЗАДАНИЕ</w:t>
              <w:tab/>
              <w:t>25</w:t>
            </w:r>
          </w:hyperlink>
        </w:p>
        <w:p>
          <w:pPr>
            <w:pStyle w:val="37"/>
            <w:tabs>
              <w:tab w:val="clear" w:pos="720"/>
              <w:tab w:val="right" w:pos="10066" w:leader="dot"/>
            </w:tabs>
            <w:rPr/>
          </w:pPr>
          <w:hyperlink w:anchor="__RefHeading___Toc5757_1322379191">
            <w:r>
              <w:rPr>
                <w:rStyle w:val="Style31"/>
                <w:i w:val="false"/>
                <w:iCs w:val="false"/>
              </w:rPr>
              <w:t>РАЗДЕЛ 4. ПРОЕКТ ДОГОВОРА</w:t>
            </w:r>
            <w:r>
              <w:rPr>
                <w:rStyle w:val="Style31"/>
              </w:rPr>
              <w:tab/>
              <w:t>26</w:t>
            </w:r>
          </w:hyperlink>
        </w:p>
        <w:p>
          <w:pPr>
            <w:pStyle w:val="37"/>
            <w:tabs>
              <w:tab w:val="clear" w:pos="720"/>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20"/>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20"/>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left="0" w:right="0" w:hanging="0"/>
        <w:jc w:val="center"/>
        <w:rPr>
          <w:b/>
          <w:sz w:val="20"/>
          <w:szCs w:val="20"/>
          <w:lang w:val="ru-RU"/>
        </w:rPr>
      </w:pPr>
      <w:r>
        <w:rPr>
          <w:b/>
          <w:sz w:val="20"/>
          <w:szCs w:val="20"/>
          <w:lang w:val="ru-RU"/>
        </w:rPr>
      </w:r>
    </w:p>
    <w:p>
      <w:pPr>
        <w:pStyle w:val="Normal"/>
        <w:ind w:left="0" w:right="0" w:hanging="0"/>
        <w:jc w:val="center"/>
        <w:rPr>
          <w:b/>
          <w:sz w:val="20"/>
          <w:szCs w:val="20"/>
          <w:lang w:val="ru-RU"/>
        </w:rPr>
      </w:pPr>
      <w:r>
        <w:rPr>
          <w:b/>
          <w:sz w:val="20"/>
          <w:szCs w:val="20"/>
          <w:lang w:val="ru-RU"/>
        </w:rPr>
      </w:r>
    </w:p>
    <w:p>
      <w:pPr>
        <w:pStyle w:val="Normal"/>
        <w:ind w:left="0" w:right="0" w:hanging="0"/>
        <w:jc w:val="center"/>
        <w:rPr>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412532376"/>
      <w:bookmarkStart w:id="4" w:name="_Toc520982930"/>
      <w:bookmarkEnd w:id="2"/>
      <w:r>
        <w:rPr>
          <w:rFonts w:eastAsia="Times New Roman" w:cs="Times New Roman"/>
          <w:b/>
          <w:bCs/>
          <w:color w:val="auto"/>
          <w:kern w:val="0"/>
          <w:sz w:val="22"/>
          <w:szCs w:val="22"/>
          <w:u w:val="single"/>
          <w:lang w:val="ru-RU" w:eastAsia="en-US" w:bidi="en-US"/>
        </w:rPr>
        <w:t>Р</w:t>
      </w:r>
      <w:bookmarkEnd w:id="3"/>
      <w:bookmarkEnd w:id="4"/>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5" w:name="__RefHeading___Toc10245_953328800"/>
      <w:bookmarkStart w:id="6" w:name="_Toc412532377"/>
      <w:bookmarkStart w:id="7" w:name="_Toc520982931"/>
      <w:bookmarkEnd w:id="5"/>
      <w:r>
        <w:rPr>
          <w:sz w:val="22"/>
        </w:rPr>
        <w:t>ТЕРМИНЫ И ОПРЕДЕЛЕНИЯ</w:t>
      </w:r>
      <w:bookmarkEnd w:id="6"/>
      <w:bookmarkEnd w:id="7"/>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Акционерное общество «Региональная сетевая компания» (ИНН 6670018981, ОГРН 1026604950800).</w:t>
      </w:r>
    </w:p>
    <w:p>
      <w:pPr>
        <w:pStyle w:val="Default"/>
        <w:ind w:left="0" w:right="0"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pPr>
      <w:r>
        <w:rPr>
          <w:b/>
          <w:bCs/>
          <w:sz w:val="22"/>
          <w:lang w:val="ru-RU"/>
        </w:rPr>
        <w:t xml:space="preserve">Участник закупки </w:t>
      </w:r>
      <w:r>
        <w:rPr>
          <w:sz w:val="22"/>
          <w:lang w:val="ru-RU"/>
        </w:rPr>
        <w:t xml:space="preserve">– </w:t>
      </w:r>
      <w:r>
        <w:rPr>
          <w:bCs/>
          <w:sz w:val="22"/>
          <w:lang w:val="ru-RU"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Положением о закупке.</w:t>
      </w:r>
    </w:p>
    <w:p>
      <w:pPr>
        <w:pStyle w:val="Normal"/>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3"/>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3"/>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8" w:name="__RefHeading___Toc10247_953328800"/>
      <w:bookmarkStart w:id="9" w:name="_Toc412532378"/>
      <w:bookmarkStart w:id="10" w:name="_Toc520982932"/>
      <w:bookmarkEnd w:id="8"/>
      <w:r>
        <w:rPr>
          <w:sz w:val="22"/>
        </w:rPr>
        <w:t>ОБЩИЕ СВЕДЕНИЯ</w:t>
      </w:r>
      <w:bookmarkEnd w:id="9"/>
      <w:bookmarkEnd w:id="10"/>
    </w:p>
    <w:p>
      <w:pPr>
        <w:pStyle w:val="4"/>
        <w:numPr>
          <w:ilvl w:val="0"/>
          <w:numId w:val="9"/>
        </w:numPr>
        <w:tabs>
          <w:tab w:val="clear" w:pos="720"/>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20"/>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20"/>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20"/>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20"/>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20"/>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20"/>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20"/>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20"/>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5"/>
        </w:numPr>
        <w:tabs>
          <w:tab w:val="clear" w:pos="720"/>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5"/>
        </w:numPr>
        <w:tabs>
          <w:tab w:val="clear" w:pos="720"/>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20"/>
          <w:tab w:val="left" w:pos="1276" w:leader="none"/>
        </w:tabs>
        <w:ind w:left="568" w:right="0" w:hanging="0"/>
        <w:rPr>
          <w:sz w:val="22"/>
          <w:lang w:val="ru-RU" w:eastAsia="ru-RU"/>
        </w:rPr>
      </w:pPr>
      <w:r>
        <w:rPr>
          <w:sz w:val="22"/>
          <w:lang w:val="ru-RU" w:eastAsia="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20"/>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20"/>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20"/>
          <w:tab w:val="left" w:pos="1276" w:leader="none"/>
        </w:tabs>
        <w:ind w:left="0" w:right="0" w:firstLine="567"/>
        <w:rPr>
          <w:sz w:val="22"/>
          <w:lang w:val="ru-RU"/>
        </w:rPr>
      </w:pPr>
      <w:r>
        <w:rPr>
          <w:sz w:val="22"/>
          <w:lang w:val="ru-RU"/>
        </w:rPr>
      </w:r>
    </w:p>
    <w:p>
      <w:pPr>
        <w:pStyle w:val="4"/>
        <w:numPr>
          <w:ilvl w:val="0"/>
          <w:numId w:val="11"/>
        </w:numPr>
        <w:tabs>
          <w:tab w:val="clear" w:pos="720"/>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20"/>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20"/>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tabs>
          <w:tab w:val="clear" w:pos="720"/>
          <w:tab w:val="left" w:pos="1276" w:leader="none"/>
        </w:tabs>
        <w:spacing w:before="120" w:after="120"/>
        <w:ind w:left="0" w:right="0" w:firstLine="567"/>
        <w:contextualSpacing/>
        <w:rPr/>
      </w:pPr>
      <w:bookmarkStart w:id="11" w:name="__RefHeading___Toc10249_953328800"/>
      <w:bookmarkEnd w:id="11"/>
      <w:r>
        <w:rPr>
          <w:sz w:val="22"/>
        </w:rPr>
        <w:t xml:space="preserve"> </w:t>
      </w:r>
      <w:bookmarkStart w:id="12" w:name="_Toc412532379"/>
      <w:bookmarkStart w:id="13" w:name="_Toc520982933"/>
      <w:r>
        <w:rPr>
          <w:sz w:val="22"/>
        </w:rPr>
        <w:t>ДОКУМЕНТАЦИЯ О ЗАКУПКЕ</w:t>
      </w:r>
      <w:bookmarkEnd w:id="12"/>
      <w:bookmarkEnd w:id="13"/>
    </w:p>
    <w:p>
      <w:pPr>
        <w:pStyle w:val="4"/>
        <w:numPr>
          <w:ilvl w:val="0"/>
          <w:numId w:val="2"/>
        </w:numPr>
        <w:tabs>
          <w:tab w:val="clear" w:pos="720"/>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20"/>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20"/>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20"/>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20"/>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20"/>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20"/>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20"/>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20"/>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20"/>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20"/>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20"/>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6"/>
        </w:numPr>
        <w:tabs>
          <w:tab w:val="clear" w:pos="720"/>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6"/>
        </w:numPr>
        <w:tabs>
          <w:tab w:val="clear" w:pos="720"/>
          <w:tab w:val="left" w:pos="1276" w:leader="none"/>
        </w:tabs>
        <w:ind w:left="0" w:right="0" w:firstLine="567"/>
        <w:rPr>
          <w:sz w:val="22"/>
          <w:lang w:val="ru-RU" w:eastAsia="ru-RU"/>
        </w:rPr>
      </w:pPr>
      <w:r>
        <w:rPr>
          <w:sz w:val="22"/>
          <w:lang w:val="ru-RU" w:eastAsia="ru-RU"/>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данной закупке, установленного положением о закупке для данного способа закупки.</w:t>
      </w:r>
    </w:p>
    <w:p>
      <w:pPr>
        <w:pStyle w:val="ListParagraph"/>
        <w:tabs>
          <w:tab w:val="clear" w:pos="720"/>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412532380"/>
      <w:bookmarkStart w:id="16" w:name="_Toc520982934"/>
      <w:bookmarkEnd w:id="14"/>
      <w:r>
        <w:rPr>
          <w:sz w:val="22"/>
        </w:rPr>
        <w:t>УЧАСТНИКИ ЗАКУПКИ</w:t>
      </w:r>
      <w:bookmarkEnd w:id="15"/>
      <w:bookmarkEnd w:id="16"/>
    </w:p>
    <w:p>
      <w:pPr>
        <w:pStyle w:val="4"/>
        <w:numPr>
          <w:ilvl w:val="0"/>
          <w:numId w:val="7"/>
        </w:numPr>
        <w:tabs>
          <w:tab w:val="clear" w:pos="720"/>
          <w:tab w:val="left" w:pos="1276" w:leader="none"/>
        </w:tabs>
        <w:ind w:left="0" w:right="0" w:firstLine="567"/>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20"/>
          <w:tab w:val="left" w:pos="0" w:leader="none"/>
          <w:tab w:val="left" w:pos="1276" w:leader="none"/>
          <w:tab w:val="left" w:pos="1560" w:leader="none"/>
        </w:tabs>
        <w:ind w:left="0" w:right="0" w:firstLine="567"/>
        <w:rPr>
          <w:sz w:val="22"/>
          <w:lang w:val="ru-RU"/>
        </w:rPr>
      </w:pPr>
      <w:r>
        <w:rPr>
          <w:b w:val="false"/>
          <w:i w:val="false"/>
          <w:strike w:val="false"/>
          <w:dstrike w:val="false"/>
          <w:color w:val="000000"/>
          <w:sz w:val="22"/>
          <w:szCs w:val="22"/>
          <w:u w:val="none"/>
          <w:lang w:val="ru-RU" w:eastAsia="en-US" w:bidi="en-U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pPr>
        <w:pStyle w:val="ListParagraph"/>
        <w:numPr>
          <w:ilvl w:val="0"/>
          <w:numId w:val="8"/>
        </w:numPr>
        <w:tabs>
          <w:tab w:val="clear" w:pos="720"/>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7" w:name="Par576"/>
      <w:bookmarkEnd w:id="17"/>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20"/>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20"/>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20"/>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20"/>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20"/>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6"/>
        </w:numPr>
        <w:tabs>
          <w:tab w:val="clear" w:pos="720"/>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6"/>
        </w:numPr>
        <w:tabs>
          <w:tab w:val="clear" w:pos="720"/>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6"/>
        </w:numPr>
        <w:tabs>
          <w:tab w:val="clear" w:pos="720"/>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20"/>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20"/>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20"/>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20"/>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6"/>
        </w:numPr>
        <w:tabs>
          <w:tab w:val="clear" w:pos="720"/>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20"/>
          <w:tab w:val="left" w:pos="1276" w:leader="none"/>
        </w:tabs>
        <w:spacing w:before="0" w:after="0"/>
        <w:contextualSpacing/>
        <w:rPr>
          <w:sz w:val="22"/>
          <w:lang w:val="ru-RU"/>
        </w:rPr>
      </w:pPr>
      <w:r>
        <w:rPr>
          <w:sz w:val="22"/>
          <w:lang w:val="ru-RU"/>
        </w:rPr>
      </w:r>
    </w:p>
    <w:p>
      <w:pPr>
        <w:pStyle w:val="3"/>
        <w:numPr>
          <w:ilvl w:val="0"/>
          <w:numId w:val="1"/>
        </w:numPr>
        <w:tabs>
          <w:tab w:val="clear" w:pos="720"/>
          <w:tab w:val="left" w:pos="993" w:leader="none"/>
        </w:tabs>
        <w:spacing w:before="120" w:after="120"/>
        <w:ind w:left="0" w:right="26" w:firstLine="567"/>
        <w:contextualSpacing/>
        <w:rPr>
          <w:sz w:val="22"/>
        </w:rPr>
      </w:pPr>
      <w:bookmarkStart w:id="18" w:name="__RefHeading___Toc10253_953328800"/>
      <w:bookmarkStart w:id="19" w:name="_Toc412532381"/>
      <w:bookmarkStart w:id="20" w:name="_Toc520982935"/>
      <w:bookmarkEnd w:id="18"/>
      <w:r>
        <w:rPr>
          <w:sz w:val="22"/>
        </w:rPr>
        <w:t>ТРЕБОВАНИЯ К СОДЕРЖАНИЮ, ФОРМЕ, ОФОРМЛЕНИЮ И СОСТАВУ ЗАЯВКИ НА УЧАСТИЕ В АУКЦИОНЕ В ЭЛЕКТРОННОЙ ФОРМЕ</w:t>
      </w:r>
      <w:bookmarkEnd w:id="19"/>
      <w:bookmarkEnd w:id="20"/>
    </w:p>
    <w:p>
      <w:pPr>
        <w:pStyle w:val="4"/>
        <w:numPr>
          <w:ilvl w:val="0"/>
          <w:numId w:val="27"/>
        </w:numPr>
        <w:tabs>
          <w:tab w:val="clear" w:pos="720"/>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8"/>
        </w:numPr>
        <w:tabs>
          <w:tab w:val="clear" w:pos="720"/>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20"/>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8"/>
        </w:numPr>
        <w:tabs>
          <w:tab w:val="clear" w:pos="720"/>
          <w:tab w:val="left" w:pos="142" w:leader="none"/>
          <w:tab w:val="left" w:pos="1276" w:leader="none"/>
        </w:tabs>
        <w:spacing w:before="0" w:after="0"/>
        <w:ind w:left="0" w:righ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8"/>
        </w:numPr>
        <w:tabs>
          <w:tab w:val="clear" w:pos="720"/>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20"/>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20"/>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20"/>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20"/>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20"/>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20"/>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8"/>
        </w:numPr>
        <w:shd w:val="clear" w:fill="FFFFFF"/>
        <w:tabs>
          <w:tab w:val="clear" w:pos="720"/>
          <w:tab w:val="left" w:pos="993" w:leader="none"/>
        </w:tabs>
        <w:ind w:left="0" w:right="0" w:firstLine="567"/>
        <w:rPr/>
      </w:pPr>
      <w:bookmarkStart w:id="21" w:name="dst100855"/>
      <w:bookmarkEnd w:id="21"/>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8"/>
        </w:numPr>
        <w:shd w:val="clear" w:fill="FFFFFF"/>
        <w:tabs>
          <w:tab w:val="clear" w:pos="720"/>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20"/>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20"/>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20"/>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20"/>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20"/>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20"/>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20"/>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20"/>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8"/>
        </w:numPr>
        <w:tabs>
          <w:tab w:val="clear" w:pos="720"/>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8"/>
        </w:numPr>
        <w:tabs>
          <w:tab w:val="clear" w:pos="720"/>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20"/>
          <w:tab w:val="left" w:pos="1276" w:leader="none"/>
          <w:tab w:val="left" w:pos="1418" w:leader="none"/>
        </w:tabs>
        <w:ind w:left="1287" w:right="0" w:hanging="0"/>
        <w:rPr>
          <w:sz w:val="22"/>
          <w:lang w:val="ru-RU" w:eastAsia="ru-RU"/>
        </w:rPr>
      </w:pPr>
      <w:r>
        <w:rPr>
          <w:sz w:val="22"/>
          <w:lang w:val="ru-RU" w:eastAsia="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9"/>
        </w:numPr>
        <w:tabs>
          <w:tab w:val="clear" w:pos="720"/>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9"/>
        </w:numPr>
        <w:tabs>
          <w:tab w:val="clear" w:pos="720"/>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7"/>
        </w:numPr>
        <w:tabs>
          <w:tab w:val="clear" w:pos="720"/>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5"/>
        </w:numPr>
        <w:tabs>
          <w:tab w:val="clear" w:pos="720"/>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5"/>
        </w:numPr>
        <w:tabs>
          <w:tab w:val="clear" w:pos="720"/>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7"/>
        </w:numPr>
        <w:tabs>
          <w:tab w:val="clear" w:pos="720"/>
          <w:tab w:val="left" w:pos="1134" w:leader="none"/>
          <w:tab w:val="left" w:pos="1418" w:leader="none"/>
          <w:tab w:val="left" w:pos="1560" w:leader="none"/>
        </w:tabs>
        <w:spacing w:before="0" w:after="0"/>
        <w:ind w:left="0" w:righ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40"/>
        </w:numPr>
        <w:tabs>
          <w:tab w:val="clear" w:pos="720"/>
          <w:tab w:val="left" w:pos="1276" w:leader="none"/>
        </w:tabs>
        <w:spacing w:before="0" w:after="0"/>
        <w:ind w:left="0" w:righ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2" w:name="__RefHeading___Toc10255_953328800"/>
      <w:bookmarkStart w:id="23" w:name="_Toc412532382"/>
      <w:bookmarkStart w:id="24" w:name="_Toc520982936"/>
      <w:bookmarkEnd w:id="22"/>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3"/>
      <w:bookmarkEnd w:id="24"/>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7"/>
        </w:numPr>
        <w:tabs>
          <w:tab w:val="clear" w:pos="720"/>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41"/>
        </w:numPr>
        <w:tabs>
          <w:tab w:val="clear" w:pos="720"/>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7"/>
        </w:numPr>
        <w:tabs>
          <w:tab w:val="clear" w:pos="720"/>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7"/>
        </w:numPr>
        <w:tabs>
          <w:tab w:val="clear" w:pos="720"/>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20"/>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5" w:name="__RefHeading___Toc10257_953328800"/>
      <w:bookmarkStart w:id="26" w:name="_Toc520982937"/>
      <w:bookmarkStart w:id="27" w:name="_Toc412532383"/>
      <w:bookmarkEnd w:id="25"/>
      <w:r>
        <w:rPr>
          <w:sz w:val="22"/>
        </w:rPr>
        <w:t>УСЛОВИЯ ДОПУСКА К УЧАСТИЮ В АУКЦИОНЕ</w:t>
      </w:r>
      <w:bookmarkEnd w:id="26"/>
      <w:bookmarkEnd w:id="27"/>
    </w:p>
    <w:p>
      <w:pPr>
        <w:pStyle w:val="4"/>
        <w:numPr>
          <w:ilvl w:val="0"/>
          <w:numId w:val="22"/>
        </w:numPr>
        <w:ind w:left="0" w:right="0" w:firstLine="567"/>
        <w:rPr>
          <w:sz w:val="22"/>
          <w:lang w:val="ru-RU"/>
        </w:rPr>
      </w:pPr>
      <w:r>
        <w:rPr>
          <w:sz w:val="22"/>
          <w:lang w:val="ru-RU"/>
        </w:rPr>
        <w:t>Условия допуска к участию в аукционе</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отклоняет заявку на участие в аукционе в следующих случаях:</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непредставление Участником обязательных документов, установленных документацией о закупке, входящих в состав заявки на участие в закупке;</w:t>
      </w:r>
    </w:p>
    <w:p>
      <w:pPr>
        <w:pStyle w:val="Normal"/>
        <w:numPr>
          <w:ilvl w:val="0"/>
          <w:numId w:val="30"/>
        </w:numPr>
        <w:tabs>
          <w:tab w:val="clear" w:pos="720"/>
          <w:tab w:val="left" w:pos="993" w:leader="none"/>
        </w:tabs>
        <w:spacing w:before="0" w:after="200"/>
        <w:ind w:left="0" w:right="0" w:firstLine="567"/>
        <w:contextualSpacing/>
        <w:rPr>
          <w:sz w:val="22"/>
          <w:lang w:val="ru-RU"/>
        </w:rPr>
      </w:pPr>
      <w:r>
        <w:rPr>
          <w:sz w:val="22"/>
          <w:lang w:val="ru-RU"/>
        </w:rPr>
        <w:t>несоответствие Участника требованиям, указанным в документации о закупке;</w:t>
      </w:r>
    </w:p>
    <w:p>
      <w:pPr>
        <w:pStyle w:val="Normal"/>
        <w:numPr>
          <w:ilvl w:val="0"/>
          <w:numId w:val="30"/>
        </w:numPr>
        <w:tabs>
          <w:tab w:val="clear" w:pos="720"/>
          <w:tab w:val="left" w:pos="993" w:leader="none"/>
        </w:tabs>
        <w:spacing w:before="0" w:after="0"/>
        <w:ind w:left="0" w:right="0" w:firstLine="567"/>
        <w:contextualSpacing/>
        <w:rPr>
          <w:sz w:val="22"/>
          <w:lang w:val="ru-RU"/>
        </w:rPr>
      </w:pPr>
      <w:r>
        <w:rPr>
          <w:sz w:val="22"/>
          <w:lang w:val="ru-RU"/>
        </w:rPr>
        <w:t>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отсутствие в заявке на участие в закупке сведений о стране происхождения товара в случае, если закупка проводится на право заключения договора, предметом которого является поставка товаров, в отношении которых федеральным органом исполнительной власти установлены требования о предоставлении преимуществ;</w:t>
      </w:r>
    </w:p>
    <w:p>
      <w:pPr>
        <w:pStyle w:val="ListParagraph"/>
        <w:numPr>
          <w:ilvl w:val="0"/>
          <w:numId w:val="30"/>
        </w:numPr>
        <w:tabs>
          <w:tab w:val="clear" w:pos="720"/>
          <w:tab w:val="left" w:pos="993" w:leader="none"/>
        </w:tabs>
        <w:ind w:left="0" w:right="0" w:firstLine="567"/>
        <w:rPr>
          <w:sz w:val="22"/>
          <w:lang w:val="ru-RU" w:eastAsia="ru-RU" w:bidi="ar-SA"/>
        </w:rPr>
      </w:pPr>
      <w:r>
        <w:rPr>
          <w:sz w:val="22"/>
          <w:lang w:val="ru-RU" w:eastAsia="ru-RU" w:bidi="ar-SA"/>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w:t>
      </w:r>
    </w:p>
    <w:p>
      <w:pPr>
        <w:pStyle w:val="Default"/>
        <w:numPr>
          <w:ilvl w:val="0"/>
          <w:numId w:val="23"/>
        </w:numPr>
        <w:tabs>
          <w:tab w:val="clear" w:pos="720"/>
          <w:tab w:val="left" w:pos="1418" w:leader="none"/>
        </w:tabs>
        <w:spacing w:before="0" w:after="0"/>
        <w:ind w:left="0" w:right="0" w:firstLine="567"/>
        <w:contextualSpacing/>
        <w:jc w:val="both"/>
        <w:rPr>
          <w:sz w:val="22"/>
          <w:szCs w:val="22"/>
        </w:rPr>
      </w:pPr>
      <w:r>
        <w:rPr>
          <w:sz w:val="22"/>
          <w:szCs w:val="22"/>
        </w:rPr>
        <w:t>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31"/>
        </w:numPr>
        <w:tabs>
          <w:tab w:val="clear" w:pos="720"/>
          <w:tab w:val="left" w:pos="993" w:leader="none"/>
        </w:tabs>
        <w:spacing w:before="0" w:after="200"/>
        <w:ind w:left="0" w:right="0" w:firstLine="567"/>
        <w:contextualSpacing/>
        <w:rPr>
          <w:sz w:val="22"/>
          <w:lang w:val="ru-RU"/>
        </w:rPr>
      </w:pPr>
      <w:r>
        <w:rPr>
          <w:sz w:val="22"/>
          <w:lang w:val="ru-RU"/>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8" w:name="__RefHeading___Toc10259_953328800"/>
      <w:bookmarkStart w:id="29" w:name="_Toc412532384"/>
      <w:bookmarkStart w:id="30" w:name="_Toc520982938"/>
      <w:bookmarkEnd w:id="28"/>
      <w:r>
        <w:rPr>
          <w:sz w:val="22"/>
        </w:rPr>
        <w:t>РАЗМЕР И ПОРЯДОК ВНЕСЕНИЯ ОБЕСПЕЧЕНИЯ ЗАЯВКИ НА УЧАСТИЕ В ОТКРЫТОМ АУКЦИОНЕ В ЭЛЕКТРОННОЙ ФОРМЕ</w:t>
      </w:r>
      <w:bookmarkEnd w:id="29"/>
      <w:bookmarkEnd w:id="30"/>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1" w:name="__DdeLink__1855_91705655"/>
      <w:r>
        <w:rPr>
          <w:sz w:val="22"/>
          <w:szCs w:val="22"/>
          <w:lang w:eastAsia="ru-RU"/>
        </w:rPr>
        <w:t xml:space="preserve"> (пять миллионов)</w:t>
      </w:r>
      <w:bookmarkEnd w:id="31"/>
      <w:r>
        <w:rPr>
          <w:sz w:val="22"/>
          <w:szCs w:val="22"/>
          <w:lang w:eastAsia="ru-RU"/>
        </w:rPr>
        <w:t xml:space="preserve"> рублей. В случае, если начальная (максимальная) цена договора превышает 5 000 000</w:t>
      </w:r>
      <w:bookmarkStart w:id="32" w:name="__DdeLink__1855_917056551"/>
      <w:r>
        <w:rPr>
          <w:sz w:val="22"/>
          <w:szCs w:val="22"/>
          <w:lang w:eastAsia="ru-RU"/>
        </w:rPr>
        <w:t xml:space="preserve"> (пять миллионов)</w:t>
      </w:r>
      <w:bookmarkEnd w:id="32"/>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20"/>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20"/>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20"/>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20"/>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3" w:name="__RefHeading___Toc10261_953328800"/>
      <w:bookmarkStart w:id="34" w:name="_Toc412532385"/>
      <w:bookmarkStart w:id="35" w:name="_Toc520982939"/>
      <w:bookmarkEnd w:id="33"/>
      <w:r>
        <w:rPr>
          <w:sz w:val="22"/>
        </w:rPr>
        <w:t>ОБЕСПЕЧЕНИЕ ИСПОЛНЕНИЯ ДОГОВОРА И ГАРАНТИЙНЫХ ОБЯЗАТЕЛЬСТВ</w:t>
      </w:r>
      <w:bookmarkEnd w:id="34"/>
      <w:bookmarkEnd w:id="35"/>
      <w:r>
        <w:rPr>
          <w:sz w:val="22"/>
        </w:rPr>
        <w:t xml:space="preserve"> </w:t>
      </w:r>
    </w:p>
    <w:p>
      <w:pPr>
        <w:pStyle w:val="Default"/>
        <w:numPr>
          <w:ilvl w:val="0"/>
          <w:numId w:val="16"/>
        </w:numPr>
        <w:tabs>
          <w:tab w:val="clear" w:pos="720"/>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8"/>
        </w:numPr>
        <w:tabs>
          <w:tab w:val="clear" w:pos="720"/>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20"/>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20"/>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20"/>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20"/>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20"/>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20"/>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20"/>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6" w:name="__RefHeading___Toc10263_953328800"/>
      <w:bookmarkStart w:id="37" w:name="_Toc412532386"/>
      <w:bookmarkStart w:id="38" w:name="_Toc520982940"/>
      <w:bookmarkEnd w:id="36"/>
      <w:r>
        <w:rPr>
          <w:sz w:val="22"/>
        </w:rPr>
        <w:t>РАСХОДЫ НА УЧАСТИЕ В АУКЦИОНЕ И ПРИ ЗАКЛЮЧЕНИИ ДОГОВОРА</w:t>
      </w:r>
      <w:bookmarkEnd w:id="37"/>
      <w:bookmarkEnd w:id="38"/>
    </w:p>
    <w:p>
      <w:pPr>
        <w:pStyle w:val="ListParagraph"/>
        <w:numPr>
          <w:ilvl w:val="0"/>
          <w:numId w:val="39"/>
        </w:numPr>
        <w:tabs>
          <w:tab w:val="clear" w:pos="720"/>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20"/>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39" w:name="__RefHeading___Toc10265_953328800"/>
      <w:bookmarkStart w:id="40" w:name="_Toc412532387"/>
      <w:bookmarkStart w:id="41" w:name="_Toc520982941"/>
      <w:bookmarkEnd w:id="39"/>
      <w:r>
        <w:rPr>
          <w:sz w:val="22"/>
        </w:rPr>
        <w:t>ЗАКЛЮЧЕНИЕ И ИСПОЛНЕНИЕ ДОГОВОРА</w:t>
      </w:r>
      <w:bookmarkEnd w:id="40"/>
      <w:bookmarkEnd w:id="41"/>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20"/>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20"/>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20"/>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20"/>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20"/>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20"/>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20"/>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20"/>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2" w:name="__RefHeading___Toc10267_953328800"/>
      <w:bookmarkStart w:id="43" w:name="_Toc412532388"/>
      <w:bookmarkStart w:id="44" w:name="_Toc520982942"/>
      <w:bookmarkEnd w:id="42"/>
      <w:r>
        <w:rPr>
          <w:sz w:val="22"/>
        </w:rPr>
        <w:t>ПРИЗНАНИЕ АУКЦИОНА НЕСОСТОЯВШИМСЯ</w:t>
      </w:r>
      <w:bookmarkEnd w:id="43"/>
      <w:bookmarkEnd w:id="44"/>
    </w:p>
    <w:p>
      <w:pPr>
        <w:pStyle w:val="4"/>
        <w:numPr>
          <w:ilvl w:val="0"/>
          <w:numId w:val="21"/>
        </w:numPr>
        <w:tabs>
          <w:tab w:val="clear" w:pos="720"/>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2"/>
        </w:numPr>
        <w:tabs>
          <w:tab w:val="clear" w:pos="720"/>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3"/>
        </w:numPr>
        <w:tabs>
          <w:tab w:val="clear" w:pos="720"/>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3"/>
        </w:numPr>
        <w:tabs>
          <w:tab w:val="clear" w:pos="720"/>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2"/>
        </w:numPr>
        <w:tabs>
          <w:tab w:val="clear" w:pos="720"/>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4"/>
        </w:numPr>
        <w:tabs>
          <w:tab w:val="clear" w:pos="720"/>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4"/>
        </w:numPr>
        <w:tabs>
          <w:tab w:val="clear" w:pos="720"/>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4"/>
        </w:numPr>
        <w:tabs>
          <w:tab w:val="clear" w:pos="720"/>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5" w:name="__RefHeading___Toc5751_1322379191"/>
      <w:bookmarkEnd w:id="45"/>
      <w:r>
        <w:rPr>
          <w:rFonts w:eastAsia="Times New Roman" w:cs="Times New Roman"/>
          <w:b/>
          <w:bCs/>
          <w:color w:val="auto"/>
          <w:kern w:val="0"/>
          <w:sz w:val="22"/>
          <w:szCs w:val="22"/>
          <w:u w:val="single"/>
          <w:lang w:val="ru-RU" w:eastAsia="en-US" w:bidi="en-US"/>
        </w:rPr>
        <w:t>РАЗДЕЛ 2</w:t>
      </w:r>
      <w:bookmarkStart w:id="46" w:name="_Toc520982943"/>
      <w:bookmarkStart w:id="47" w:name="_Toc412532389"/>
      <w:r>
        <w:rPr>
          <w:sz w:val="22"/>
        </w:rPr>
        <w:t>. ИНФОРМАЦИОННАЯ КАРТА АУКЦИОНА</w:t>
      </w:r>
      <w:bookmarkEnd w:id="46"/>
      <w:bookmarkEnd w:id="47"/>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10159" w:type="dxa"/>
        <w:jc w:val="left"/>
        <w:tblInd w:w="5" w:type="dxa"/>
        <w:tblLayout w:type="fixed"/>
        <w:tblCellMar>
          <w:top w:w="0" w:type="dxa"/>
          <w:left w:w="108" w:type="dxa"/>
          <w:bottom w:w="0" w:type="dxa"/>
          <w:right w:w="108" w:type="dxa"/>
        </w:tblCellMar>
      </w:tblPr>
      <w:tblGrid>
        <w:gridCol w:w="608"/>
        <w:gridCol w:w="2043"/>
        <w:gridCol w:w="7508"/>
      </w:tblGrid>
      <w:tr>
        <w:trPr>
          <w:tblHeader w:val="true"/>
          <w:trHeight w:val="395"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center"/>
              <w:rPr>
                <w:rFonts w:ascii="Times New Roman" w:hAnsi="Times New Roman"/>
              </w:rPr>
            </w:pPr>
            <w:r>
              <w:rPr>
                <w:sz w:val="24"/>
                <w:szCs w:val="24"/>
                <w:lang w:val="ru-RU"/>
              </w:rPr>
              <w:t>№</w:t>
            </w:r>
          </w:p>
          <w:p>
            <w:pPr>
              <w:pStyle w:val="Style45"/>
              <w:widowControl w:val="false"/>
              <w:spacing w:before="0" w:after="0"/>
              <w:contextualSpacing/>
              <w:jc w:val="center"/>
              <w:rPr>
                <w:rFonts w:ascii="Times New Roman" w:hAnsi="Times New Roman"/>
              </w:rPr>
            </w:pPr>
            <w:r>
              <w:rPr>
                <w:sz w:val="24"/>
                <w:szCs w:val="24"/>
                <w:lang w:val="ru-RU"/>
              </w:rPr>
              <w:t>п/п</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left"/>
              <w:rPr>
                <w:rFonts w:ascii="Times New Roman" w:hAnsi="Times New Roman"/>
                <w:b w:val="false"/>
                <w:bCs w:val="false"/>
              </w:rPr>
            </w:pPr>
            <w:r>
              <w:rPr>
                <w:b w:val="false"/>
                <w:bCs w:val="false"/>
                <w:sz w:val="24"/>
                <w:szCs w:val="24"/>
                <w:lang w:val="ru-RU"/>
              </w:rPr>
              <w:t>Наименование пункта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rPr>
                <w:rFonts w:ascii="Times New Roman" w:hAnsi="Times New Roman"/>
              </w:rPr>
            </w:pPr>
            <w:r>
              <w:rPr>
                <w:sz w:val="24"/>
                <w:szCs w:val="24"/>
                <w:lang w:val="ru-RU"/>
              </w:rPr>
              <w:t>Текст пояснений</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rPr>
            </w:pPr>
            <w:r>
              <w:rPr>
                <w:sz w:val="24"/>
                <w:szCs w:val="24"/>
                <w:lang w:val="ru-RU"/>
              </w:rPr>
              <w:t>1</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Наименование Заказчика, адрес сайта Заказчика: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620017, Свердловская область, г. Екатеринбург, переулок Полимерный д. 4</w:t>
            </w:r>
          </w:p>
          <w:p>
            <w:pPr>
              <w:pStyle w:val="Standard"/>
              <w:widowControl w:val="false"/>
              <w:rPr>
                <w:rFonts w:ascii="Times New Roman" w:hAnsi="Times New Roman"/>
              </w:rPr>
            </w:pPr>
            <w:r>
              <w:rPr>
                <w:rFonts w:eastAsia="Times New Roman" w:cs="Times New Roman"/>
                <w:color w:val="auto"/>
                <w:kern w:val="0"/>
                <w:sz w:val="24"/>
                <w:szCs w:val="24"/>
                <w:lang w:val="ru-RU" w:eastAsia="en-US" w:bidi="en-US"/>
              </w:rPr>
              <w:t xml:space="preserve">Почтовый адрес: 620017, Свердловская область, г. </w:t>
            </w:r>
            <w:bookmarkStart w:id="48" w:name="_GoBack1"/>
            <w:bookmarkEnd w:id="48"/>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ascii="Times New Roman" w:hAnsi="Times New Roman"/>
              </w:rPr>
            </w:pPr>
            <w:r>
              <w:rPr>
                <w:rFonts w:eastAsia="Times New Roman" w:cs="Times New Roman"/>
                <w:b/>
                <w:bCs/>
                <w:color w:val="auto"/>
                <w:kern w:val="0"/>
                <w:sz w:val="24"/>
                <w:szCs w:val="24"/>
                <w:lang w:val="ru-RU" w:eastAsia="en-US" w:bidi="en-US"/>
              </w:rPr>
              <w:t>Контактное лицо по процедурным вопросам:</w:t>
            </w:r>
            <w:r>
              <w:rPr>
                <w:rFonts w:eastAsia="Times New Roman" w:cs="Times New Roman"/>
                <w:color w:val="auto"/>
                <w:kern w:val="0"/>
                <w:sz w:val="24"/>
                <w:szCs w:val="24"/>
                <w:lang w:val="ru-RU" w:eastAsia="en-US" w:bidi="en-US"/>
              </w:rPr>
              <w:t xml:space="preserve"> начальник отдела закупок Новиков Владимир Валерьевич</w:t>
            </w:r>
          </w:p>
          <w:p>
            <w:pPr>
              <w:pStyle w:val="Standard"/>
              <w:widowControl w:val="false"/>
              <w:rPr>
                <w:rFonts w:ascii="Times New Roman" w:hAnsi="Times New Roman"/>
              </w:rPr>
            </w:pPr>
            <w:r>
              <w:rPr>
                <w:rFonts w:eastAsia="Times New Roman" w:cs="Times New Roman"/>
                <w:b/>
                <w:color w:val="auto"/>
                <w:kern w:val="0"/>
                <w:sz w:val="24"/>
                <w:szCs w:val="24"/>
                <w:lang w:val="ru-RU" w:eastAsia="en-US" w:bidi="en-US"/>
              </w:rPr>
              <w:t>Тел/факс:</w:t>
            </w:r>
            <w:r>
              <w:rPr>
                <w:rFonts w:eastAsia="Times New Roman" w:cs="Times New Roman"/>
                <w:color w:val="auto"/>
                <w:kern w:val="0"/>
                <w:sz w:val="24"/>
                <w:szCs w:val="24"/>
                <w:lang w:val="ru-RU" w:eastAsia="en-US" w:bidi="en-US"/>
              </w:rPr>
              <w:t xml:space="preserve"> (343) </w:t>
            </w:r>
            <w:r>
              <w:rPr>
                <w:rFonts w:eastAsia="Times New Roman" w:cs="Times New Roman"/>
                <w:color w:val="auto"/>
                <w:kern w:val="0"/>
                <w:sz w:val="24"/>
                <w:szCs w:val="24"/>
                <w:lang w:val="ru-RU" w:eastAsia="en-US" w:bidi="en-US"/>
              </w:rPr>
              <w:t>227-14-55</w:t>
            </w:r>
          </w:p>
          <w:p>
            <w:pPr>
              <w:pStyle w:val="Tableheader"/>
              <w:widowControl w:val="false"/>
              <w:ind w:left="0" w:right="0" w:hanging="0"/>
              <w:rPr>
                <w:rFonts w:ascii="Times New Roman" w:hAnsi="Times New Roman"/>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Cs/>
                <w:color w:val="000000"/>
                <w:kern w:val="0"/>
                <w:sz w:val="24"/>
                <w:szCs w:val="24"/>
                <w:shd w:fill="F4F4F4" w:val="clear"/>
                <w:lang w:val="ru-RU" w:eastAsia="en-US" w:bidi="en-US"/>
              </w:rPr>
              <w:t xml:space="preserve"> </w:t>
            </w:r>
            <w:hyperlink r:id="rId8">
              <w:r>
                <w:rPr>
                  <w:rStyle w:val="-"/>
                  <w:rFonts w:eastAsia="Times New Roman" w:cs="Times New Roman"/>
                  <w:bCs/>
                  <w:color w:val="000000"/>
                  <w:kern w:val="0"/>
                  <w:sz w:val="24"/>
                  <w:szCs w:val="24"/>
                  <w:shd w:fill="F4F4F4" w:val="clear"/>
                  <w:lang w:val="en-US" w:eastAsia="en-US" w:bidi="en-US"/>
                </w:rPr>
                <w:t>v.novikov</w:t>
              </w:r>
              <w:r>
                <w:rPr>
                  <w:rStyle w:val="-"/>
                  <w:sz w:val="24"/>
                  <w:szCs w:val="24"/>
                  <w:lang w:val="ru-RU" w:eastAsia="en-US" w:bidi="en-US"/>
                </w:rPr>
                <w:t>@sv-rsk.ru</w:t>
              </w:r>
            </w:hyperlink>
          </w:p>
          <w:p>
            <w:pPr>
              <w:pStyle w:val="Standard"/>
              <w:widowControl w:val="false"/>
              <w:tabs>
                <w:tab w:val="clear" w:pos="720"/>
                <w:tab w:val="left" w:pos="426" w:leader="none"/>
              </w:tabs>
              <w:rPr>
                <w:rFonts w:ascii="Times New Roman" w:hAnsi="Times New Roman"/>
              </w:rPr>
            </w:pPr>
            <w:r>
              <w:rPr>
                <w:rFonts w:eastAsia="Times New Roman" w:cs="Times New Roman"/>
                <w:color w:val="auto"/>
                <w:kern w:val="0"/>
                <w:sz w:val="24"/>
                <w:szCs w:val="24"/>
                <w:lang w:val="ru-RU" w:eastAsia="en-US" w:bidi="en-US"/>
              </w:rPr>
              <w:t xml:space="preserve">Контактный телефон: +(343) </w:t>
            </w:r>
            <w:r>
              <w:rPr>
                <w:rFonts w:eastAsia="Times New Roman" w:cs="Times New Roman"/>
                <w:color w:val="auto"/>
                <w:kern w:val="0"/>
                <w:sz w:val="24"/>
                <w:szCs w:val="24"/>
                <w:lang w:val="ru-RU" w:eastAsia="en-US" w:bidi="en-US"/>
              </w:rPr>
              <w:t>227-14-55</w:t>
            </w:r>
            <w:r>
              <w:rPr>
                <w:rFonts w:eastAsia="Times New Roman" w:cs="Times New Roman"/>
                <w:color w:val="auto"/>
                <w:kern w:val="0"/>
                <w:sz w:val="24"/>
                <w:szCs w:val="24"/>
                <w:lang w:val="ru-RU" w:eastAsia="en-US" w:bidi="en-US"/>
              </w:rPr>
              <w:t xml:space="preserve"> доб.:1708</w:t>
            </w:r>
          </w:p>
          <w:p>
            <w:pPr>
              <w:pStyle w:val="Standard"/>
              <w:widowControl w:val="false"/>
              <w:tabs>
                <w:tab w:val="clear" w:pos="720"/>
                <w:tab w:val="left" w:pos="426" w:leader="none"/>
              </w:tabs>
              <w:ind w:left="0" w:right="0" w:hanging="0"/>
              <w:rPr/>
            </w:pPr>
            <w:r>
              <w:rPr>
                <w:rStyle w:val="-"/>
                <w:rFonts w:cs="Times New Roman"/>
                <w:b/>
                <w:bCs/>
                <w:color w:val="000000"/>
                <w:sz w:val="24"/>
                <w:szCs w:val="24"/>
                <w:u w:val="none"/>
                <w:lang w:val="ru-RU"/>
              </w:rPr>
              <w:t xml:space="preserve">Контактное лицо по ТЗ: </w:t>
            </w:r>
            <w:r>
              <w:rPr>
                <w:rStyle w:val="-"/>
                <w:rFonts w:cs="Times New Roman"/>
                <w:b w:val="false"/>
                <w:bCs w:val="false"/>
                <w:color w:val="000000"/>
                <w:sz w:val="24"/>
                <w:szCs w:val="24"/>
                <w:u w:val="none"/>
                <w:lang w:val="ru-RU"/>
              </w:rPr>
              <w:t xml:space="preserve"> </w:t>
            </w:r>
            <w:r>
              <w:rPr>
                <w:rStyle w:val="-"/>
                <w:rFonts w:cs="Times New Roman"/>
                <w:b/>
                <w:bCs/>
                <w:color w:val="000000"/>
                <w:sz w:val="24"/>
                <w:szCs w:val="24"/>
                <w:u w:val="none"/>
                <w:lang w:val="ru-RU"/>
              </w:rPr>
              <w:t>начальник отдела СМиТ Порошин Евгений Владимирович</w:t>
            </w:r>
          </w:p>
          <w:p>
            <w:pPr>
              <w:pStyle w:val="Standard"/>
              <w:widowControl w:val="false"/>
              <w:tabs>
                <w:tab w:val="clear" w:pos="720"/>
                <w:tab w:val="left" w:pos="426" w:leader="none"/>
              </w:tabs>
              <w:ind w:left="0" w:right="0" w:hanging="0"/>
              <w:rPr/>
            </w:pPr>
            <w:r>
              <w:rPr>
                <w:rStyle w:val="-"/>
                <w:rFonts w:eastAsia="Times New Roman" w:cs="Times New Roman"/>
                <w:b/>
                <w:bCs/>
                <w:color w:val="auto"/>
                <w:kern w:val="0"/>
                <w:sz w:val="24"/>
                <w:szCs w:val="24"/>
                <w:u w:val="none"/>
                <w:lang w:val="ru-RU" w:eastAsia="en-US" w:bidi="en-US"/>
              </w:rPr>
              <w:t xml:space="preserve">Контактный телефон: +(343) </w:t>
            </w:r>
            <w:r>
              <w:rPr>
                <w:rStyle w:val="-"/>
                <w:rFonts w:eastAsia="Times New Roman" w:cs="Times New Roman"/>
                <w:b/>
                <w:bCs/>
                <w:color w:val="auto"/>
                <w:kern w:val="0"/>
                <w:sz w:val="24"/>
                <w:szCs w:val="24"/>
                <w:u w:val="none"/>
                <w:lang w:val="ru-RU" w:eastAsia="en-US" w:bidi="en-US"/>
              </w:rPr>
              <w:t>227-14-55</w:t>
            </w:r>
            <w:r>
              <w:rPr>
                <w:rStyle w:val="-"/>
                <w:rFonts w:eastAsia="Times New Roman" w:cs="Times New Roman"/>
                <w:b/>
                <w:bCs/>
                <w:color w:val="auto"/>
                <w:kern w:val="0"/>
                <w:sz w:val="24"/>
                <w:szCs w:val="24"/>
                <w:u w:val="none"/>
                <w:lang w:val="ru-RU" w:eastAsia="en-US" w:bidi="en-US"/>
              </w:rPr>
              <w:t xml:space="preserve"> доб.:1744</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rPr>
            </w:pPr>
            <w:r>
              <w:rPr>
                <w:sz w:val="24"/>
                <w:szCs w:val="24"/>
                <w:lang w:val="ru-RU"/>
              </w:rPr>
              <w:t>2</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Адрес электронной площадки</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eastAsia="ru-RU" w:bidi="ar-SA"/>
              </w:rPr>
            </w:pPr>
            <w:r>
              <w:rPr>
                <w:color w:val="000000"/>
                <w:sz w:val="24"/>
                <w:szCs w:val="24"/>
                <w:lang w:val="ru-RU" w:eastAsia="ru-RU" w:bidi="ar-SA"/>
              </w:rPr>
              <w:t xml:space="preserve">ЭТП Регион </w:t>
            </w:r>
            <w:hyperlink r:id="rId9">
              <w:r>
                <w:rPr>
                  <w:rStyle w:val="-"/>
                  <w:sz w:val="24"/>
                  <w:szCs w:val="24"/>
                  <w:lang w:val="ru-RU" w:eastAsia="ru-RU" w:bidi="ar-SA"/>
                </w:rPr>
                <w:t>https://etp-region.ru</w:t>
              </w:r>
            </w:hyperlink>
          </w:p>
          <w:p>
            <w:pPr>
              <w:pStyle w:val="Normal"/>
              <w:widowControl w:val="false"/>
              <w:ind w:left="0" w:right="0" w:hanging="0"/>
              <w:rPr>
                <w:rFonts w:ascii="Times New Roman" w:hAnsi="Times New Roman"/>
                <w:color w:val="000000"/>
                <w:sz w:val="24"/>
                <w:szCs w:val="24"/>
                <w:lang w:val="ru-RU" w:eastAsia="ru-RU" w:bidi="ar-SA"/>
              </w:rPr>
            </w:pPr>
            <w:r>
              <w:rPr>
                <w:color w:val="000000"/>
                <w:sz w:val="24"/>
                <w:szCs w:val="24"/>
                <w:lang w:val="ru-RU" w:eastAsia="ru-RU" w:bidi="ar-SA"/>
              </w:rPr>
            </w:r>
          </w:p>
        </w:tc>
      </w:tr>
      <w:tr>
        <w:trPr>
          <w:trHeight w:val="664"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rPr>
            </w:pPr>
            <w:r>
              <w:rPr>
                <w:sz w:val="24"/>
                <w:szCs w:val="24"/>
                <w:lang w:val="ru-RU"/>
              </w:rPr>
              <w:t>3</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Вид и предмет аукциона: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rPr/>
            </w:pPr>
            <w:r>
              <w:rPr>
                <w:rStyle w:val="3Cambria"/>
                <w:sz w:val="22"/>
                <w:szCs w:val="22"/>
                <w:lang w:val="ru-RU"/>
              </w:rPr>
              <w:t>О</w:t>
            </w:r>
            <w:r>
              <w:rPr>
                <w:rStyle w:val="3Cambria"/>
                <w:sz w:val="22"/>
                <w:szCs w:val="22"/>
              </w:rPr>
              <w:t xml:space="preserve">казание услуг </w:t>
            </w:r>
            <w:r>
              <w:rPr>
                <w:rStyle w:val="3Cambria"/>
                <w:sz w:val="22"/>
                <w:szCs w:val="22"/>
                <w:lang w:val="ru-RU" w:eastAsia="ru-RU" w:bidi="ru-RU"/>
              </w:rPr>
              <w:t xml:space="preserve">по предоставлению автотранспорта (спецтехники) </w:t>
            </w:r>
            <w:r>
              <w:rPr>
                <w:rStyle w:val="3Cambria"/>
                <w:sz w:val="22"/>
                <w:szCs w:val="22"/>
              </w:rPr>
              <w:t xml:space="preserve"> для нужд АО «Региональная сетевая компания»</w:t>
            </w:r>
          </w:p>
          <w:p>
            <w:pPr>
              <w:pStyle w:val="Style47"/>
              <w:widowControl w:val="false"/>
              <w:rPr>
                <w:rFonts w:ascii="Times New Roman" w:hAnsi="Times New Roman"/>
              </w:rPr>
            </w:pPr>
            <w:r>
              <w:rPr/>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rPr>
            </w:pPr>
            <w:r>
              <w:rPr>
                <w:sz w:val="24"/>
                <w:szCs w:val="24"/>
                <w:lang w:val="ru-RU"/>
              </w:rPr>
              <w:t>4</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Краткая характеристика и количество (объем) товаров (работ, услуг)</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keepNext w:val="true"/>
              <w:widowControl w:val="false"/>
              <w:spacing w:before="0" w:after="0"/>
              <w:ind w:left="0" w:right="-69" w:hanging="0"/>
              <w:contextualSpacing/>
              <w:jc w:val="both"/>
              <w:rPr>
                <w:rFonts w:ascii="Times New Roman" w:hAnsi="Times New Roman"/>
              </w:rPr>
            </w:pPr>
            <w:r>
              <w:rPr>
                <w:sz w:val="24"/>
                <w:szCs w:val="24"/>
                <w:shd w:fill="auto" w:val="clear"/>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shd w:fill="auto" w:val="clear"/>
                <w:lang w:val="ru-RU" w:eastAsia="en-US" w:bidi="en-US"/>
              </w:rPr>
              <w:t>Раздел 3</w:t>
            </w:r>
            <w:r>
              <w:rPr>
                <w:sz w:val="24"/>
                <w:szCs w:val="24"/>
                <w:shd w:fill="auto" w:val="clear"/>
                <w:lang w:val="ru-RU"/>
              </w:rPr>
              <w:t>).</w:t>
            </w:r>
          </w:p>
        </w:tc>
      </w:tr>
      <w:tr>
        <w:trPr>
          <w:trHeight w:val="3593"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center"/>
              <w:rPr>
                <w:rFonts w:ascii="Times New Roman" w:hAnsi="Times New Roman"/>
              </w:rPr>
            </w:pPr>
            <w:r>
              <w:rPr>
                <w:sz w:val="24"/>
                <w:szCs w:val="24"/>
                <w:lang w:val="ru-RU"/>
              </w:rPr>
              <w:t>5</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color w:val="000000"/>
                <w:sz w:val="24"/>
                <w:szCs w:val="24"/>
                <w:lang w:val="ru-RU"/>
              </w:rPr>
              <w:t>Начальная (максимальная) цена договора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overflowPunct w:val="true"/>
              <w:bidi w:val="0"/>
              <w:spacing w:before="0" w:after="0"/>
              <w:ind w:left="0" w:right="113" w:hanging="0"/>
              <w:contextualSpacing/>
              <w:jc w:val="both"/>
              <w:rPr>
                <w:rFonts w:ascii="Times New Roman" w:hAnsi="Times New Roman"/>
              </w:rPr>
            </w:pPr>
            <w:r>
              <w:rPr>
                <w:b w:val="false"/>
                <w:bCs w:val="false"/>
                <w:i w:val="false"/>
                <w:strike w:val="false"/>
                <w:dstrike w:val="false"/>
                <w:outline w:val="false"/>
                <w:shadow w:val="false"/>
                <w:sz w:val="24"/>
                <w:szCs w:val="24"/>
                <w:u w:val="none"/>
                <w:shd w:fill="auto" w:val="clear"/>
                <w:em w:val="none"/>
                <w:lang w:val="ru-RU"/>
              </w:rPr>
              <w:t>НМЦД составляет</w:t>
            </w:r>
            <w:r>
              <w:rPr>
                <w:b/>
                <w:bCs/>
                <w:i w:val="false"/>
                <w:strike w:val="false"/>
                <w:dstrike w:val="false"/>
                <w:outline w:val="false"/>
                <w:shadow w:val="false"/>
                <w:sz w:val="24"/>
                <w:szCs w:val="24"/>
                <w:u w:val="none"/>
                <w:shd w:fill="auto" w:val="clear"/>
                <w:em w:val="none"/>
                <w:lang w:val="ru-RU"/>
              </w:rPr>
              <w:t>: 13 500 000 (тринадцать миллионов пятьсот тысяч)  руб. 00 коп.</w:t>
            </w:r>
          </w:p>
          <w:p>
            <w:pPr>
              <w:pStyle w:val="Normal"/>
              <w:widowControl w:val="false"/>
              <w:suppressAutoHyphens w:val="true"/>
              <w:overflowPunct w:val="true"/>
              <w:bidi w:val="0"/>
              <w:spacing w:before="0" w:after="0"/>
              <w:ind w:left="0" w:right="113" w:hanging="0"/>
              <w:contextualSpacing/>
              <w:jc w:val="both"/>
              <w:rPr>
                <w:rFonts w:ascii="Times New Roman" w:hAnsi="Times New Roman"/>
                <w:b/>
                <w:bCs/>
                <w:sz w:val="24"/>
                <w:szCs w:val="24"/>
                <w:lang w:val="ru-RU"/>
              </w:rPr>
            </w:pPr>
            <w:r>
              <w:rPr>
                <w:b/>
                <w:bCs/>
                <w:sz w:val="24"/>
                <w:szCs w:val="24"/>
                <w:lang w:val="ru-RU"/>
              </w:rPr>
            </w:r>
          </w:p>
          <w:p>
            <w:pPr>
              <w:pStyle w:val="Normal"/>
              <w:widowControl w:val="false"/>
              <w:suppressAutoHyphens w:val="true"/>
              <w:overflowPunct w:val="true"/>
              <w:bidi w:val="0"/>
              <w:spacing w:before="0" w:after="0"/>
              <w:ind w:left="0" w:right="113" w:hanging="0"/>
              <w:contextualSpacing/>
              <w:jc w:val="both"/>
              <w:rPr>
                <w:rFonts w:ascii="Times New Roman" w:hAnsi="Times New Roman"/>
              </w:rPr>
            </w:pPr>
            <w:r>
              <w:rPr>
                <w:rFonts w:eastAsia="Times New Roman" w:cs="Times New Roman"/>
                <w:b/>
                <w:bCs/>
                <w:i w:val="false"/>
                <w:strike w:val="false"/>
                <w:dstrike w:val="false"/>
                <w:outline w:val="false"/>
                <w:shadow w:val="false"/>
                <w:color w:val="000000"/>
                <w:sz w:val="24"/>
                <w:szCs w:val="24"/>
                <w:u w:val="none"/>
                <w:shd w:fill="auto" w:val="clear"/>
                <w:em w:val="none"/>
                <w:lang w:val="ru-RU" w:eastAsia="ru-RU" w:bidi="en-US"/>
              </w:rPr>
              <w:t xml:space="preserve">Начальная (максимальная) сумма единичных расценок: </w:t>
            </w:r>
            <w:r>
              <w:rPr>
                <w:rFonts w:eastAsia="Times New Roman" w:cs="Times New Roman"/>
                <w:b/>
                <w:bCs/>
                <w:i w:val="false"/>
                <w:strike w:val="false"/>
                <w:dstrike w:val="false"/>
                <w:outline w:val="false"/>
                <w:shadow w:val="false"/>
                <w:color w:val="000000"/>
                <w:sz w:val="24"/>
                <w:szCs w:val="24"/>
                <w:u w:val="none"/>
                <w:shd w:fill="auto" w:val="clear"/>
                <w:em w:val="none"/>
                <w:lang w:val="en-US" w:eastAsia="ru-RU" w:bidi="en-US"/>
              </w:rPr>
              <w:t>12 772</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bidi="en-US"/>
              </w:rPr>
              <w:t xml:space="preserve">  (двенадцать тысяч семьсот семьдесят два) руб., 00 коп.</w:t>
            </w:r>
          </w:p>
          <w:p>
            <w:pPr>
              <w:pStyle w:val="Normal"/>
              <w:widowControl w:val="false"/>
              <w:suppressAutoHyphens w:val="true"/>
              <w:overflowPunct w:val="true"/>
              <w:bidi w:val="0"/>
              <w:spacing w:before="0" w:after="0"/>
              <w:ind w:left="0" w:right="113" w:hanging="0"/>
              <w:contextualSpacing/>
              <w:jc w:val="left"/>
              <w:rPr>
                <w:rFonts w:ascii="Times New Roman" w:hAnsi="Times New Roman"/>
              </w:rPr>
            </w:pPr>
            <w:r>
              <w:rPr>
                <w:b w:val="false"/>
                <w:i w:val="false"/>
                <w:strike w:val="false"/>
                <w:dstrike w:val="false"/>
                <w:outline w:val="false"/>
                <w:shadow w:val="false"/>
                <w:sz w:val="24"/>
                <w:szCs w:val="24"/>
                <w:u w:val="none"/>
                <w:shd w:fill="auto" w:val="clear"/>
                <w:em w:val="none"/>
                <w:lang w:val="ru-RU" w:eastAsia="en-US" w:bidi="en-US"/>
              </w:rPr>
              <w:t>НМЦД включает в себя все расходы и затраты, связанные с оказанием услуг, налоги и сборы, установленные действующим законодательством РФ.</w:t>
            </w:r>
          </w:p>
          <w:p>
            <w:pPr>
              <w:pStyle w:val="Normal"/>
              <w:widowControl w:val="false"/>
              <w:suppressAutoHyphens w:val="true"/>
              <w:overflowPunct w:val="true"/>
              <w:bidi w:val="0"/>
              <w:spacing w:before="0" w:after="0"/>
              <w:ind w:left="0" w:right="113" w:hanging="0"/>
              <w:contextualSpacing/>
              <w:jc w:val="both"/>
              <w:rPr>
                <w:rFonts w:ascii="Times New Roman" w:hAnsi="Times New Roman"/>
              </w:rPr>
            </w:pPr>
            <w:r>
              <w:rPr>
                <w:rFonts w:eastAsia="Times New Roman" w:cs="Times New Roman"/>
                <w:b w:val="false"/>
                <w:bCs w:val="false"/>
                <w:i w:val="false"/>
                <w:strike w:val="false"/>
                <w:dstrike w:val="false"/>
                <w:outline w:val="false"/>
                <w:shadow w:val="false"/>
                <w:color w:val="000000"/>
                <w:sz w:val="24"/>
                <w:szCs w:val="24"/>
                <w:u w:val="none"/>
                <w:shd w:fill="auto" w:val="clear"/>
                <w:em w:val="none"/>
                <w:lang w:val="ru-RU" w:eastAsia="ru-RU"/>
              </w:rPr>
              <w:t>(Начальная максимальная цена договора указывается в Разделе № 5 аукционной документации)</w:t>
            </w:r>
          </w:p>
          <w:p>
            <w:pPr>
              <w:pStyle w:val="Normal"/>
              <w:widowControl w:val="false"/>
              <w:suppressAutoHyphens w:val="true"/>
              <w:overflowPunct w:val="false"/>
              <w:bidi w:val="0"/>
              <w:spacing w:before="0" w:after="0"/>
              <w:ind w:left="0" w:right="113" w:hanging="0"/>
              <w:contextualSpacing/>
              <w:jc w:val="both"/>
              <w:rPr>
                <w:rFonts w:ascii="Times New Roman" w:hAnsi="Times New Roman" w:eastAsia="Times New Roman" w:cs="Times New Roman"/>
                <w:b/>
                <w:bCs/>
                <w:color w:val="000000"/>
                <w:sz w:val="24"/>
                <w:szCs w:val="24"/>
                <w:highlight w:val="yellow"/>
                <w:lang w:val="ru-RU" w:eastAsia="ru-RU"/>
              </w:rPr>
            </w:pPr>
            <w:r>
              <w:rPr>
                <w:rFonts w:eastAsia="Times New Roman" w:cs="Times New Roman"/>
                <w:b/>
                <w:bCs/>
                <w:color w:val="000000"/>
                <w:sz w:val="24"/>
                <w:szCs w:val="24"/>
                <w:highlight w:val="yellow"/>
                <w:lang w:val="ru-RU" w:eastAsia="ru-RU"/>
              </w:rPr>
            </w:r>
          </w:p>
          <w:p>
            <w:pPr>
              <w:pStyle w:val="Normal"/>
              <w:widowControl w:val="false"/>
              <w:spacing w:before="0" w:after="60"/>
              <w:ind w:left="0" w:right="0" w:hanging="0"/>
              <w:rPr>
                <w:rFonts w:ascii="Times New Roman" w:hAnsi="Times New Roman"/>
              </w:rPr>
            </w:pPr>
            <w:r>
              <w:rPr>
                <w:sz w:val="24"/>
                <w:szCs w:val="24"/>
                <w:lang w:val="ru-RU"/>
              </w:rPr>
              <w:t>Все расходы, налоги, пошлины и прочие сборы, которые подрядчик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804"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rPr>
            </w:pPr>
            <w:r>
              <w:rPr>
                <w:sz w:val="24"/>
                <w:szCs w:val="24"/>
                <w:lang w:val="ru-RU"/>
              </w:rPr>
              <w:t>6</w:t>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shd w:fill="auto" w:val="clear"/>
                <w:lang w:val="ru-RU"/>
              </w:rPr>
              <w:t>Источник финансирования и порядок оплаты</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rPr>
            </w:pPr>
            <w:r>
              <w:rPr>
                <w:sz w:val="24"/>
                <w:szCs w:val="24"/>
                <w:shd w:fill="auto" w:val="clear"/>
                <w:lang w:val="ru-RU"/>
              </w:rPr>
              <w:t>Собственные средства АО «РСК»</w:t>
            </w:r>
          </w:p>
          <w:p>
            <w:pPr>
              <w:pStyle w:val="Style47"/>
              <w:widowControl w:val="false"/>
              <w:spacing w:before="0" w:after="0"/>
              <w:contextualSpacing/>
              <w:jc w:val="both"/>
              <w:rPr>
                <w:rFonts w:ascii="Times New Roman" w:hAnsi="Times New Roman"/>
              </w:rPr>
            </w:pPr>
            <w:r>
              <w:rPr>
                <w:sz w:val="24"/>
                <w:szCs w:val="24"/>
                <w:shd w:fill="auto" w:val="clear"/>
                <w:lang w:val="ru-RU"/>
              </w:rPr>
              <w:t xml:space="preserve">В соответствии с </w:t>
            </w:r>
            <w:r>
              <w:rPr>
                <w:rFonts w:eastAsia="Times New Roman" w:cs="Times New Roman"/>
                <w:color w:val="000000"/>
                <w:kern w:val="0"/>
                <w:sz w:val="24"/>
                <w:szCs w:val="24"/>
                <w:shd w:fill="auto" w:val="clear"/>
                <w:lang w:val="ru-RU" w:eastAsia="en-US" w:bidi="en-US"/>
              </w:rPr>
              <w:t>проектом Договора (Раздел 4)</w:t>
            </w:r>
          </w:p>
        </w:tc>
      </w:tr>
      <w:tr>
        <w:trPr>
          <w:trHeight w:val="2192" w:hRule="atLeast"/>
        </w:trPr>
        <w:tc>
          <w:tcPr>
            <w:tcW w:w="60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rFonts w:ascii="Times New Roman" w:hAnsi="Times New Roman"/>
              </w:rPr>
            </w:pPr>
            <w:r>
              <w:rPr>
                <w:sz w:val="24"/>
                <w:szCs w:val="24"/>
                <w:lang w:val="ru-RU"/>
              </w:rPr>
              <w:t>7</w:t>
            </w:r>
          </w:p>
        </w:tc>
        <w:tc>
          <w:tcPr>
            <w:tcW w:w="2043"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Требования к Участникам аукциона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rPr>
            </w:pPr>
            <w:r>
              <w:rPr>
                <w:sz w:val="24"/>
                <w:szCs w:val="24"/>
                <w:lang w:val="ru-RU"/>
              </w:rPr>
              <w:t>Участником аукциона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p>
        </w:tc>
      </w:tr>
      <w:tr>
        <w:trPr>
          <w:trHeight w:val="1312" w:hRule="atLeast"/>
        </w:trPr>
        <w:tc>
          <w:tcPr>
            <w:tcW w:w="6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Times New Roman" w:hAnsi="Times New Roman"/>
                <w:sz w:val="24"/>
                <w:szCs w:val="24"/>
              </w:rPr>
            </w:pPr>
            <w:r>
              <w:rPr>
                <w:sz w:val="24"/>
                <w:szCs w:val="24"/>
              </w:rPr>
            </w:r>
          </w:p>
        </w:tc>
        <w:tc>
          <w:tcPr>
            <w:tcW w:w="204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b w:val="false"/>
                <w:bCs w:val="false"/>
                <w:sz w:val="24"/>
                <w:szCs w:val="24"/>
              </w:rPr>
            </w:pPr>
            <w:r>
              <w:rPr>
                <w:b w:val="false"/>
                <w:bCs w:val="false"/>
                <w:sz w:val="24"/>
                <w:szCs w:val="24"/>
              </w:rPr>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2"/>
              </w:numPr>
              <w:tabs>
                <w:tab w:val="clear" w:pos="720"/>
              </w:tabs>
              <w:spacing w:before="0" w:after="0"/>
              <w:ind w:left="0" w:right="0" w:firstLine="360"/>
              <w:contextualSpacing/>
              <w:rPr>
                <w:rFonts w:ascii="Times New Roman" w:hAnsi="Times New Roman"/>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rPr>
            </w:pPr>
            <w:r>
              <w:rPr>
                <w:sz w:val="24"/>
                <w:szCs w:val="24"/>
                <w:lang w:val="ru-RU"/>
              </w:rPr>
              <w:t>участник закупки не является офшорной компанией;</w:t>
            </w:r>
          </w:p>
          <w:p>
            <w:pPr>
              <w:pStyle w:val="Normal"/>
              <w:widowControl w:val="false"/>
              <w:numPr>
                <w:ilvl w:val="0"/>
                <w:numId w:val="42"/>
              </w:numPr>
              <w:tabs>
                <w:tab w:val="clear" w:pos="720"/>
              </w:tabs>
              <w:spacing w:before="0" w:after="0"/>
              <w:ind w:left="0" w:right="0" w:firstLine="360"/>
              <w:contextualSpacing/>
              <w:jc w:val="left"/>
              <w:rPr>
                <w:rFonts w:ascii="Times New Roman" w:hAnsi="Times New Roman"/>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1652"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Установление приоритета  товаров российского происхождения, работ, услуг</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both"/>
              <w:rPr>
                <w:rFonts w:ascii="Times New Roman" w:hAnsi="Times New Roman"/>
              </w:rPr>
            </w:pPr>
            <w:r>
              <w:rPr>
                <w:sz w:val="24"/>
                <w:szCs w:val="24"/>
                <w:lang w:val="ru-RU"/>
              </w:rPr>
              <w:t>Не установлено</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Формы заявки на участие в аукционе</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20"/>
                <w:tab w:val="left" w:pos="1276" w:leader="none"/>
                <w:tab w:val="left" w:pos="1418" w:leader="none"/>
                <w:tab w:val="left" w:pos="1560" w:leader="none"/>
              </w:tabs>
              <w:spacing w:before="0" w:after="0"/>
              <w:ind w:left="0" w:right="0" w:hanging="0"/>
              <w:rPr>
                <w:rFonts w:ascii="Times New Roman" w:hAnsi="Times New Roman"/>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Документы, входящие в состав заявки на участие в аукционе</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20"/>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20"/>
                <w:tab w:val="left" w:pos="993" w:leader="none"/>
              </w:tabs>
              <w:ind w:left="0" w:right="0" w:hanging="0"/>
              <w:rPr/>
            </w:pPr>
            <w:r>
              <w:rPr>
                <w:rStyle w:val="Blk"/>
                <w:sz w:val="24"/>
                <w:szCs w:val="24"/>
                <w:lang w:val="ru-RU"/>
              </w:rPr>
              <w:t xml:space="preserve">При заключении договора на выполнение работы или </w:t>
            </w:r>
            <w:r>
              <w:rPr>
                <w:rStyle w:val="Blk"/>
                <w:b/>
                <w:bCs/>
                <w:sz w:val="24"/>
                <w:szCs w:val="24"/>
                <w:u w:val="singl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20"/>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bCs/>
                <w:sz w:val="24"/>
                <w:szCs w:val="24"/>
                <w:u w:val="single"/>
                <w:lang w:val="ru-RU"/>
              </w:rPr>
              <w:t>конкретные показатели используемого товара, соответствующие значениям, установленным документацией о таком аукционе,</w:t>
            </w:r>
            <w:r>
              <w:rPr>
                <w:rStyle w:val="Blk"/>
                <w:b w:val="false"/>
                <w:bCs w:val="false"/>
                <w:sz w:val="24"/>
                <w:szCs w:val="24"/>
                <w:lang w:val="ru-RU"/>
              </w:rPr>
              <w:t xml:space="preserve">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shd w:val="clear" w:fill="FFFFFF"/>
              <w:tabs>
                <w:tab w:val="clear" w:pos="720"/>
                <w:tab w:val="left" w:pos="993" w:leader="none"/>
              </w:tabs>
              <w:ind w:left="0" w:right="0" w:hanging="0"/>
              <w:rPr/>
            </w:pPr>
            <w:bookmarkStart w:id="49" w:name="dst1008551"/>
            <w:bookmarkEnd w:id="49"/>
            <w:r>
              <w:rPr>
                <w:rStyle w:val="Blk"/>
                <w:bCs/>
                <w:sz w:val="24"/>
                <w:szCs w:val="24"/>
                <w:lang w:val="ru-RU" w:eastAsia="ru-RU"/>
              </w:rPr>
              <w:t xml:space="preserve">Первая часть заявки на участие в электронном аукционе, предусмотренная </w:t>
            </w:r>
            <w:r>
              <w:rPr>
                <w:rStyle w:val="Apple-converted-space"/>
                <w:bCs/>
                <w:sz w:val="24"/>
                <w:szCs w:val="24"/>
                <w:lang w:val="ru-RU" w:eastAsia="ru-RU"/>
              </w:rPr>
              <w:t xml:space="preserve"> </w:t>
            </w:r>
            <w:r>
              <w:rPr>
                <w:rStyle w:val="Blk"/>
                <w:bCs/>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20"/>
                <w:tab w:val="left" w:pos="993" w:leader="none"/>
              </w:tabs>
              <w:ind w:left="0" w:right="0" w:hanging="0"/>
              <w:rPr>
                <w:rFonts w:ascii="Times New Roman" w:hAnsi="Times New Roman"/>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20"/>
                <w:tab w:val="left" w:pos="993" w:leader="none"/>
              </w:tabs>
              <w:ind w:left="0" w:right="0" w:hanging="0"/>
              <w:rPr>
                <w:rFonts w:ascii="Times New Roman" w:hAnsi="Times New Roman"/>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20"/>
                <w:tab w:val="left" w:pos="993" w:leader="none"/>
              </w:tabs>
              <w:ind w:left="0" w:right="0" w:hanging="0"/>
              <w:rPr>
                <w:rFonts w:ascii="Times New Roman" w:hAnsi="Times New Roman"/>
              </w:rPr>
            </w:pPr>
            <w:r>
              <w:rPr>
                <w:sz w:val="24"/>
                <w:szCs w:val="24"/>
                <w:lang w:val="ru-RU"/>
              </w:rPr>
              <w:t>2)  копии учредительных документов участника закупки;</w:t>
            </w:r>
          </w:p>
          <w:p>
            <w:pPr>
              <w:pStyle w:val="ListParagraph"/>
              <w:widowControl w:val="false"/>
              <w:shd w:val="clear" w:fill="FFFFFF"/>
              <w:tabs>
                <w:tab w:val="clear" w:pos="720"/>
                <w:tab w:val="left" w:pos="993" w:leader="none"/>
              </w:tabs>
              <w:ind w:left="0" w:right="0" w:hanging="0"/>
              <w:rPr>
                <w:rFonts w:ascii="Times New Roman" w:hAnsi="Times New Roman"/>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20"/>
                <w:tab w:val="left" w:pos="993" w:leader="none"/>
              </w:tabs>
              <w:ind w:left="0" w:right="0" w:hanging="0"/>
              <w:rPr>
                <w:rFonts w:ascii="Times New Roman" w:hAnsi="Times New Roman"/>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20"/>
                <w:tab w:val="left" w:pos="993" w:leader="none"/>
              </w:tabs>
              <w:ind w:left="0" w:right="0" w:hanging="0"/>
              <w:rPr>
                <w:rFonts w:ascii="Times New Roman" w:hAnsi="Times New Roman"/>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20"/>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20"/>
                <w:tab w:val="left" w:pos="993" w:leader="none"/>
              </w:tabs>
              <w:ind w:left="0" w:right="0" w:hanging="0"/>
              <w:rPr>
                <w:rFonts w:ascii="Times New Roman" w:hAnsi="Times New Roman"/>
              </w:rPr>
            </w:pPr>
            <w:r>
              <w:rPr>
                <w:rFonts w:eastAsia="Times New Roman" w:cs="Times New Roman"/>
                <w:color w:val="auto"/>
                <w:kern w:val="0"/>
                <w:sz w:val="24"/>
                <w:szCs w:val="24"/>
                <w:lang w:val="ru-RU" w:eastAsia="en-US" w:bidi="en-US"/>
              </w:rPr>
              <w:t>7</w:t>
            </w:r>
            <w:r>
              <w:rPr>
                <w:color w:val="auto"/>
                <w:sz w:val="24"/>
                <w:szCs w:val="24"/>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pPr>
              <w:pStyle w:val="Normal"/>
              <w:widowControl w:val="false"/>
              <w:tabs>
                <w:tab w:val="clear" w:pos="720"/>
                <w:tab w:val="left" w:pos="993" w:leader="none"/>
              </w:tabs>
              <w:ind w:left="0" w:right="0" w:hanging="0"/>
              <w:rPr>
                <w:rFonts w:ascii="Times New Roman" w:hAnsi="Times New Roman"/>
              </w:rPr>
            </w:pPr>
            <w:r>
              <w:rPr>
                <w:sz w:val="24"/>
                <w:szCs w:val="24"/>
                <w:lang w:val="ru-RU"/>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widowControl w:val="false"/>
              <w:shd w:val="clear" w:fill="FFFFFF"/>
              <w:tabs>
                <w:tab w:val="clear" w:pos="720"/>
                <w:tab w:val="left" w:pos="142" w:leader="none"/>
                <w:tab w:val="left" w:pos="1418" w:leader="none"/>
              </w:tabs>
              <w:ind w:left="0" w:right="0" w:hanging="0"/>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tc>
      </w:tr>
      <w:tr>
        <w:trPr>
          <w:trHeight w:val="5600"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Требования к предложениям о цене договора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rPr>
            </w:pPr>
            <w:r>
              <w:rPr>
                <w:sz w:val="24"/>
                <w:szCs w:val="24"/>
                <w:shd w:fill="auto" w:val="clear"/>
                <w:lang w:val="ru-RU"/>
              </w:rPr>
              <w:t>Предлагаемая Участником стоимость договора с учетом НДС не должна превышать начальную (максимальную) цену договора, указанную в п. 5 Информационной карты аукциона (</w:t>
            </w:r>
            <w:r>
              <w:rPr>
                <w:rFonts w:eastAsia="Times New Roman" w:cs="Times New Roman"/>
                <w:color w:val="000000"/>
                <w:kern w:val="0"/>
                <w:sz w:val="24"/>
                <w:szCs w:val="24"/>
                <w:shd w:fill="auto" w:val="clear"/>
                <w:lang w:val="ru-RU" w:eastAsia="en-US" w:bidi="en-US"/>
              </w:rPr>
              <w:t>раздел</w:t>
            </w:r>
            <w:r>
              <w:rPr>
                <w:sz w:val="24"/>
                <w:szCs w:val="24"/>
                <w:shd w:fill="auto" w:val="clear"/>
                <w:lang w:val="ru-RU"/>
              </w:rPr>
              <w:t xml:space="preserve"> </w:t>
            </w:r>
            <w:r>
              <w:rPr>
                <w:rFonts w:eastAsia="Times New Roman" w:cs="Times New Roman"/>
                <w:color w:val="000000"/>
                <w:kern w:val="0"/>
                <w:sz w:val="24"/>
                <w:szCs w:val="24"/>
                <w:shd w:fill="auto" w:val="clear"/>
                <w:lang w:val="ru-RU" w:eastAsia="en-US" w:bidi="en-US"/>
              </w:rPr>
              <w:t>5</w:t>
            </w:r>
            <w:r>
              <w:rPr>
                <w:sz w:val="24"/>
                <w:szCs w:val="24"/>
                <w:shd w:fill="auto" w:val="clear"/>
                <w:lang w:val="ru-RU"/>
              </w:rPr>
              <w:t xml:space="preserve"> документации о закупке).</w:t>
            </w:r>
          </w:p>
          <w:p>
            <w:pPr>
              <w:pStyle w:val="Style47"/>
              <w:widowControl w:val="false"/>
              <w:spacing w:before="0" w:after="0"/>
              <w:contextualSpacing/>
              <w:jc w:val="both"/>
              <w:rPr>
                <w:rFonts w:ascii="Times New Roman" w:hAnsi="Times New Roman"/>
                <w:sz w:val="24"/>
                <w:szCs w:val="24"/>
                <w:shd w:fill="auto" w:val="clear"/>
              </w:rPr>
            </w:pPr>
            <w:r>
              <w:rPr>
                <w:sz w:val="24"/>
                <w:szCs w:val="24"/>
                <w:shd w:fill="auto" w:val="clear"/>
              </w:rPr>
            </w:r>
          </w:p>
          <w:p>
            <w:pPr>
              <w:pStyle w:val="Style47"/>
              <w:widowControl w:val="false"/>
              <w:spacing w:before="0" w:after="0"/>
              <w:contextualSpacing/>
              <w:jc w:val="both"/>
              <w:rPr>
                <w:rFonts w:ascii="Times New Roman" w:hAnsi="Times New Roman"/>
              </w:rPr>
            </w:pPr>
            <w:r>
              <w:rPr>
                <w:bCs/>
                <w:color w:val="000000"/>
                <w:sz w:val="24"/>
                <w:szCs w:val="24"/>
                <w:shd w:fill="auto" w:val="clear"/>
                <w:lang w:val="ru-RU"/>
              </w:rPr>
              <w:t>Цена за единицу каждого наименования товаров  подлежит снижению от начальной пропорционально снижению начальной (максимальной) цены договора (цены лота) полученному по итогам проведения аукциона (коэффициент тендерного снижения).</w:t>
            </w:r>
          </w:p>
          <w:p>
            <w:pPr>
              <w:pStyle w:val="Style47"/>
              <w:widowControl w:val="false"/>
              <w:spacing w:before="0" w:after="0"/>
              <w:contextualSpacing/>
              <w:jc w:val="both"/>
              <w:rPr>
                <w:rFonts w:ascii="Times New Roman" w:hAnsi="Times New Roman"/>
                <w:bCs/>
                <w:color w:val="000000"/>
                <w:lang w:val="ru-RU"/>
              </w:rPr>
            </w:pPr>
            <w:r>
              <w:rPr>
                <w:bCs/>
                <w:color w:val="000000"/>
                <w:lang w:val="ru-RU"/>
              </w:rPr>
            </w:r>
          </w:p>
          <w:p>
            <w:pPr>
              <w:pStyle w:val="Style47"/>
              <w:widowControl w:val="false"/>
              <w:spacing w:before="0" w:after="0"/>
              <w:contextualSpacing/>
              <w:jc w:val="both"/>
              <w:rPr>
                <w:rFonts w:ascii="Times New Roman" w:hAnsi="Times New Roman"/>
              </w:rPr>
            </w:pPr>
            <w:r>
              <w:rPr>
                <w:sz w:val="24"/>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7"/>
              <w:widowControl w:val="false"/>
              <w:spacing w:before="0" w:after="0"/>
              <w:contextualSpacing/>
              <w:jc w:val="both"/>
              <w:rPr>
                <w:rFonts w:ascii="Times New Roman" w:hAnsi="Times New Roman"/>
              </w:rPr>
            </w:pPr>
            <w:r>
              <w:rPr>
                <w:sz w:val="24"/>
                <w:szCs w:val="24"/>
                <w:lang w:val="ru-RU"/>
              </w:rPr>
              <w:t xml:space="preserve"> </w:t>
            </w:r>
            <w:r>
              <w:rPr>
                <w:sz w:val="24"/>
                <w:szCs w:val="24"/>
                <w:lang w:val="ru-RU"/>
              </w:rPr>
              <w:t>А также включает 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665" w:hRule="atLeast"/>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Валюта цены заявки на участие в аукционе</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rFonts w:eastAsia="Times New Roman" w:cs="Times New Roman"/>
                <w:b w:val="false"/>
                <w:bCs w:val="false"/>
                <w:color w:val="000000"/>
                <w:kern w:val="0"/>
                <w:sz w:val="24"/>
                <w:szCs w:val="24"/>
                <w:lang w:val="ru-RU" w:eastAsia="en-US" w:bidi="en-US"/>
              </w:rPr>
              <w:t>Сроки</w:t>
            </w:r>
            <w:r>
              <w:rPr>
                <w:b w:val="false"/>
                <w:bCs w:val="false"/>
                <w:color w:val="000000"/>
                <w:sz w:val="24"/>
                <w:szCs w:val="24"/>
                <w:lang w:val="ru-RU"/>
              </w:rPr>
              <w:t xml:space="preserve"> и место подачи заявок на участие в аукционе</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10">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rFonts w:ascii="Times New Roman" w:hAnsi="Times New Roman"/>
              </w:rPr>
            </w:pPr>
            <w:r>
              <w:rPr>
                <w:rFonts w:eastAsia="Times New Roman" w:cs="Times New Roman"/>
                <w:b/>
                <w:bCs/>
                <w:color w:val="auto"/>
                <w:kern w:val="0"/>
                <w:sz w:val="24"/>
                <w:szCs w:val="24"/>
                <w:lang w:val="ru-RU" w:eastAsia="en-US" w:bidi="en-US"/>
              </w:rPr>
              <w:t>Дата и время окончания подачи заявок на участие в аукционе в электронной форме</w:t>
            </w:r>
            <w:r>
              <w:rPr>
                <w:rFonts w:eastAsia="Times New Roman" w:cs="Times New Roman"/>
                <w:b/>
                <w:bCs/>
                <w:color w:val="000000"/>
                <w:kern w:val="0"/>
                <w:sz w:val="24"/>
                <w:szCs w:val="24"/>
                <w:shd w:fill="auto" w:val="clear"/>
                <w:lang w:val="ru-RU" w:eastAsia="en-US" w:bidi="en-US"/>
              </w:rPr>
              <w:t>: 09.03.2026.</w:t>
            </w:r>
          </w:p>
          <w:p>
            <w:pPr>
              <w:pStyle w:val="Standard"/>
              <w:widowControl w:val="false"/>
              <w:rPr>
                <w:rFonts w:ascii="Times New Roman" w:hAnsi="Times New Roman"/>
              </w:rPr>
            </w:pPr>
            <w:r>
              <w:rPr>
                <w:rFonts w:eastAsia="Times New Roman" w:cs="Times New Roman"/>
                <w:b/>
                <w:bCs/>
                <w:color w:val="000000"/>
                <w:kern w:val="0"/>
                <w:sz w:val="24"/>
                <w:szCs w:val="24"/>
                <w:shd w:fill="auto" w:val="clear"/>
                <w:lang w:val="ru-RU" w:eastAsia="en-US" w:bidi="en-US"/>
              </w:rPr>
              <w:t>Время: 09 ч. 00 мин (местное время ЗАКАЗЧИКА).</w:t>
            </w:r>
          </w:p>
          <w:p>
            <w:pPr>
              <w:pStyle w:val="Standard"/>
              <w:widowControl w:val="false"/>
              <w:rPr>
                <w:rFonts w:ascii="Times New Roman" w:hAnsi="Times New Roman"/>
              </w:rPr>
            </w:pPr>
            <w:r>
              <w:rPr>
                <w:rFonts w:eastAsia="Times New Roman" w:cs="Times New Roman"/>
                <w:b/>
                <w:bCs/>
                <w:color w:val="auto"/>
                <w:kern w:val="0"/>
                <w:sz w:val="24"/>
                <w:szCs w:val="24"/>
                <w:lang w:val="ru-RU" w:eastAsia="en-US" w:bidi="en-US"/>
              </w:rPr>
              <w:t>По усмотрению Заказчика данные сроки и время могут быть изменены.</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shd w:fill="auto" w:val="clear"/>
                <w:lang w:val="ru-RU"/>
              </w:rPr>
              <w:t>Размер обеспечения заявки на участие в аукционе</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rPr>
            </w:pPr>
            <w:r>
              <w:rPr>
                <w:sz w:val="24"/>
                <w:szCs w:val="24"/>
                <w:shd w:fill="auto" w:val="clear"/>
                <w:lang w:val="ru-RU"/>
              </w:rPr>
              <w:t>Не предусмотрено</w:t>
            </w:r>
          </w:p>
        </w:tc>
      </w:tr>
      <w:tr>
        <w:trPr/>
        <w:tc>
          <w:tcPr>
            <w:tcW w:w="608" w:type="dxa"/>
            <w:tcBorders>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ascii="Times New Roman" w:hAnsi="Times New Roman"/>
                <w:b w:val="false"/>
                <w:bCs w:val="false"/>
              </w:rPr>
            </w:pPr>
            <w:r>
              <w:rPr>
                <w:rFonts w:eastAsia="Times New Roman" w:cs="Times New Roman"/>
                <w:b w:val="false"/>
                <w:bCs w:val="false"/>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7508"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Любой участник конкурса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Окончание срока предоставления участникам закупки разъяснений положений документации о закупке: до 08:59 часов по местному времени заказчика 09.03.2026.</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shd w:fill="auto" w:val="clear"/>
                <w:lang w:val="ru-RU"/>
              </w:rPr>
              <w:t>Дата проведения аукциона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rFonts w:ascii="Times New Roman" w:hAnsi="Times New Roman"/>
              </w:rPr>
            </w:pPr>
            <w:r>
              <w:rPr>
                <w:sz w:val="24"/>
                <w:szCs w:val="24"/>
                <w:shd w:fill="auto" w:val="clear"/>
                <w:lang w:val="ru-RU"/>
              </w:rPr>
              <w:t xml:space="preserve">Аукцион будет проводиться </w:t>
            </w:r>
            <w:r>
              <w:rPr>
                <w:rFonts w:eastAsia="Times New Roman" w:cs="Times New Roman"/>
                <w:b/>
                <w:bCs/>
                <w:color w:val="000000"/>
                <w:kern w:val="0"/>
                <w:sz w:val="24"/>
                <w:szCs w:val="24"/>
                <w:shd w:fill="auto" w:val="clear"/>
                <w:lang w:val="ru-RU" w:eastAsia="en-US" w:bidi="en-US"/>
              </w:rPr>
              <w:t>11</w:t>
            </w:r>
            <w:r>
              <w:rPr>
                <w:b/>
                <w:bCs/>
                <w:color w:val="000000"/>
                <w:sz w:val="24"/>
                <w:szCs w:val="24"/>
                <w:shd w:fill="auto" w:val="clear"/>
                <w:lang w:val="ru-RU"/>
              </w:rPr>
              <w:t xml:space="preserve"> марта</w:t>
            </w:r>
            <w:r>
              <w:rPr>
                <w:rFonts w:eastAsia="Times New Roman" w:cs="Times New Roman"/>
                <w:b/>
                <w:bCs/>
                <w:color w:val="000000"/>
                <w:kern w:val="0"/>
                <w:sz w:val="24"/>
                <w:szCs w:val="24"/>
                <w:shd w:fill="auto" w:val="clear"/>
                <w:lang w:val="ru-RU" w:eastAsia="en-US" w:bidi="en-US"/>
              </w:rPr>
              <w:t xml:space="preserve"> </w:t>
            </w:r>
            <w:r>
              <w:rPr>
                <w:b/>
                <w:bCs/>
                <w:sz w:val="24"/>
                <w:szCs w:val="24"/>
                <w:shd w:fill="auto" w:val="clear"/>
                <w:lang w:val="ru-RU"/>
              </w:rPr>
              <w:t xml:space="preserve">2026 г. в </w:t>
            </w:r>
            <w:r>
              <w:rPr>
                <w:rFonts w:eastAsia="Times New Roman" w:cs="Times New Roman"/>
                <w:b/>
                <w:bCs/>
                <w:color w:val="000000"/>
                <w:kern w:val="0"/>
                <w:sz w:val="24"/>
                <w:szCs w:val="24"/>
                <w:shd w:fill="auto" w:val="clear"/>
                <w:lang w:val="ru-RU" w:eastAsia="en-US" w:bidi="en-US"/>
              </w:rPr>
              <w:t>11</w:t>
            </w:r>
            <w:r>
              <w:rPr>
                <w:b/>
                <w:bCs/>
                <w:sz w:val="24"/>
                <w:szCs w:val="24"/>
                <w:shd w:fill="auto" w:val="clear"/>
                <w:lang w:val="ru-RU"/>
              </w:rPr>
              <w:t xml:space="preserve">:00 (местное время </w:t>
            </w:r>
            <w:r>
              <w:rPr>
                <w:rFonts w:eastAsia="Times New Roman" w:cs="Times New Roman"/>
                <w:b/>
                <w:bCs/>
                <w:color w:val="000000"/>
                <w:kern w:val="0"/>
                <w:sz w:val="24"/>
                <w:szCs w:val="24"/>
                <w:shd w:fill="auto" w:val="clear"/>
                <w:lang w:val="ru-RU" w:eastAsia="en-US" w:bidi="en-US"/>
              </w:rPr>
              <w:t>ЗАКАЗЧИКА</w:t>
            </w:r>
            <w:r>
              <w:rPr>
                <w:b/>
                <w:bCs/>
                <w:sz w:val="24"/>
                <w:szCs w:val="24"/>
                <w:shd w:fill="auto" w:val="clear"/>
                <w:lang w:val="ru-RU"/>
              </w:rPr>
              <w:t>)</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«Шаг аукциона»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rFonts w:ascii="Times New Roman" w:hAnsi="Times New Roman"/>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rFonts w:ascii="Times New Roman" w:hAnsi="Times New Roman"/>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val="false"/>
              <w:ind w:left="0" w:right="0" w:hanging="0"/>
              <w:rPr>
                <w:rFonts w:ascii="Times New Roman" w:hAnsi="Times New Roman"/>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08" w:type="dxa"/>
            <w:tcBorders>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ascii="Times New Roman" w:hAnsi="Times New Roman"/>
                <w:b w:val="false"/>
                <w:bCs w:val="false"/>
              </w:rPr>
            </w:pPr>
            <w:r>
              <w:rPr>
                <w:rFonts w:eastAsia="Times New Roman" w:cs="Times New Roman"/>
                <w:b w:val="false"/>
                <w:bCs w:val="false"/>
                <w:sz w:val="24"/>
                <w:szCs w:val="24"/>
                <w:lang w:val="ru-RU" w:eastAsia="ru-RU"/>
              </w:rPr>
              <w:t>Порядок рассмотрения заявок и подведения итогов закупки</w:t>
            </w:r>
          </w:p>
        </w:tc>
        <w:tc>
          <w:tcPr>
            <w:tcW w:w="7508" w:type="dxa"/>
            <w:tcBorders>
              <w:left w:val="single" w:sz="4" w:space="0" w:color="000000"/>
              <w:bottom w:val="single" w:sz="4" w:space="0" w:color="000000"/>
              <w:right w:val="single" w:sz="4" w:space="0" w:color="000000"/>
            </w:tcBorders>
            <w:shd w:fill="auto" w:val="clear"/>
          </w:tcPr>
          <w:p>
            <w:pPr>
              <w:pStyle w:val="Standard"/>
              <w:widowControl w:val="false"/>
              <w:tabs>
                <w:tab w:val="clear" w:pos="720"/>
                <w:tab w:val="left" w:pos="5612" w:leader="none"/>
              </w:tabs>
              <w:suppressAutoHyphens w:val="true"/>
              <w:overflowPunct w:val="false"/>
              <w:bidi w:val="0"/>
              <w:spacing w:before="0" w:after="0"/>
              <w:ind w:left="0" w:right="57" w:hanging="0"/>
              <w:jc w:val="both"/>
              <w:textAlignment w:val="baseline"/>
              <w:rPr>
                <w:rFonts w:ascii="Times New Roman" w:hAnsi="Times New Roman"/>
              </w:rPr>
            </w:pPr>
            <w:r>
              <w:rPr>
                <w:rFonts w:eastAsia="Times New Roman" w:cs="Times New Roman"/>
                <w:bCs/>
                <w:color w:val="000000"/>
                <w:kern w:val="0"/>
                <w:sz w:val="24"/>
                <w:szCs w:val="24"/>
                <w:shd w:fill="auto" w:val="clear"/>
                <w:lang w:val="ru-RU" w:eastAsia="ru-RU" w:bidi="ar-SA"/>
              </w:rPr>
              <w:t>Рассмотрение первых частей заявок осуществляется</w:t>
            </w:r>
            <w:r>
              <w:rPr>
                <w:rFonts w:eastAsia="Times New Roman" w:cs="Times New Roman"/>
                <w:b/>
                <w:bCs/>
                <w:color w:val="000000"/>
                <w:kern w:val="0"/>
                <w:sz w:val="24"/>
                <w:szCs w:val="24"/>
                <w:shd w:fill="auto" w:val="clear"/>
                <w:lang w:val="ru-RU" w:eastAsia="ru-RU" w:bidi="ar-SA"/>
              </w:rPr>
              <w:t xml:space="preserve"> «10» марта</w:t>
            </w:r>
            <w:r>
              <w:rPr>
                <w:rFonts w:eastAsia="Times New Roman" w:cs="Times New Roman"/>
                <w:b/>
                <w:bCs/>
                <w:color w:val="000000"/>
                <w:kern w:val="0"/>
                <w:sz w:val="24"/>
                <w:szCs w:val="24"/>
                <w:shd w:fill="auto" w:val="clear"/>
                <w:lang w:val="ru-RU" w:eastAsia="en-US" w:bidi="en-US"/>
              </w:rPr>
              <w:t xml:space="preserve"> </w:t>
            </w:r>
            <w:r>
              <w:rPr>
                <w:rFonts w:eastAsia="Times New Roman" w:cs="Times New Roman"/>
                <w:b/>
                <w:bCs/>
                <w:color w:val="000000"/>
                <w:kern w:val="0"/>
                <w:sz w:val="24"/>
                <w:szCs w:val="24"/>
                <w:shd w:fill="auto" w:val="clear"/>
                <w:lang w:val="ru-RU" w:eastAsia="ru-RU" w:bidi="ar-SA"/>
              </w:rPr>
              <w:t>2026 г.</w:t>
            </w:r>
          </w:p>
          <w:p>
            <w:pPr>
              <w:pStyle w:val="Standard"/>
              <w:widowControl w:val="false"/>
              <w:rPr>
                <w:rFonts w:ascii="Times New Roman" w:hAnsi="Times New Roman"/>
              </w:rPr>
            </w:pPr>
            <w:r>
              <w:rPr>
                <w:rFonts w:eastAsia="Times New Roman" w:cs="Times New Roman"/>
                <w:bCs/>
                <w:color w:val="000000"/>
                <w:kern w:val="0"/>
                <w:sz w:val="24"/>
                <w:szCs w:val="24"/>
                <w:shd w:fill="auto" w:val="clear"/>
                <w:lang w:val="ru-RU" w:eastAsia="ru-RU" w:bidi="ar-SA"/>
              </w:rPr>
              <w:t xml:space="preserve">Начало рассмотрения вторых частей заявок </w:t>
            </w:r>
            <w:r>
              <w:rPr>
                <w:rFonts w:eastAsia="Times New Roman" w:cs="Times New Roman"/>
                <w:b/>
                <w:bCs/>
                <w:color w:val="000000"/>
                <w:kern w:val="0"/>
                <w:sz w:val="24"/>
                <w:szCs w:val="24"/>
                <w:shd w:fill="auto" w:val="clear"/>
                <w:lang w:val="ru-RU" w:eastAsia="ru-RU" w:bidi="ar-SA"/>
              </w:rPr>
              <w:t xml:space="preserve">«12» </w:t>
            </w:r>
            <w:r>
              <w:rPr>
                <w:rFonts w:eastAsia="Times New Roman" w:cs="Times New Roman"/>
                <w:b/>
                <w:bCs/>
                <w:color w:val="000000"/>
                <w:kern w:val="0"/>
                <w:sz w:val="24"/>
                <w:szCs w:val="24"/>
                <w:shd w:fill="auto" w:val="clear"/>
                <w:lang w:val="ru-RU" w:eastAsia="en-US" w:bidi="en-US"/>
              </w:rPr>
              <w:t>марта</w:t>
            </w:r>
            <w:r>
              <w:rPr>
                <w:rFonts w:eastAsia="Times New Roman" w:cs="Times New Roman"/>
                <w:b/>
                <w:bCs/>
                <w:color w:val="000000"/>
                <w:kern w:val="0"/>
                <w:sz w:val="24"/>
                <w:szCs w:val="24"/>
                <w:shd w:fill="auto" w:val="clear"/>
                <w:lang w:val="ru-RU" w:eastAsia="ru-RU" w:bidi="ar-SA"/>
              </w:rPr>
              <w:t xml:space="preserve"> 2026 г.</w:t>
            </w:r>
          </w:p>
          <w:p>
            <w:pPr>
              <w:pStyle w:val="Standard"/>
              <w:widowControl w:val="false"/>
              <w:rPr>
                <w:rFonts w:ascii="Times New Roman" w:hAnsi="Times New Roman"/>
              </w:rPr>
            </w:pPr>
            <w:r>
              <w:rPr>
                <w:rFonts w:eastAsia="Times New Roman" w:cs="Times New Roman"/>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auto" w:val="clear"/>
                <w:lang w:val="ru-RU" w:eastAsia="ru-RU" w:bidi="ar-SA"/>
              </w:rPr>
              <w:t xml:space="preserve">«12» </w:t>
            </w:r>
            <w:r>
              <w:rPr>
                <w:rFonts w:eastAsia="Times New Roman" w:cs="Times New Roman"/>
                <w:b/>
                <w:bCs/>
                <w:color w:val="000000"/>
                <w:kern w:val="0"/>
                <w:sz w:val="24"/>
                <w:szCs w:val="24"/>
                <w:shd w:fill="auto" w:val="clear"/>
                <w:lang w:val="ru-RU" w:eastAsia="en-US" w:bidi="en-US"/>
              </w:rPr>
              <w:t>марта</w:t>
            </w:r>
            <w:r>
              <w:rPr>
                <w:rFonts w:eastAsia="Times New Roman" w:cs="Times New Roman"/>
                <w:b/>
                <w:bCs/>
                <w:color w:val="000000"/>
                <w:kern w:val="0"/>
                <w:sz w:val="24"/>
                <w:szCs w:val="24"/>
                <w:shd w:fill="auto" w:val="clear"/>
                <w:lang w:val="ru-RU" w:eastAsia="ru-RU" w:bidi="ar-SA"/>
              </w:rPr>
              <w:t xml:space="preserve"> 2026 г.</w:t>
            </w:r>
          </w:p>
          <w:p>
            <w:pPr>
              <w:pStyle w:val="Standard"/>
              <w:widowControl w:val="false"/>
              <w:ind w:left="0" w:right="0" w:hanging="0"/>
              <w:rPr>
                <w:rFonts w:ascii="Times New Roman" w:hAnsi="Times New Roman"/>
              </w:rPr>
            </w:pPr>
            <w:r>
              <w:rPr>
                <w:rFonts w:eastAsia="Times New Roman" w:cs="Times New Roman"/>
                <w:bCs/>
                <w:color w:val="000000"/>
                <w:kern w:val="0"/>
                <w:sz w:val="24"/>
                <w:szCs w:val="24"/>
                <w:shd w:fill="auto" w:val="clear"/>
                <w:lang w:val="ru-RU" w:eastAsia="ru-RU" w:bidi="ar-SA"/>
              </w:rPr>
              <w:t>Результаты рассмотрения заявок на участие в аук</w:t>
            </w:r>
            <w:r>
              <w:rPr>
                <w:rFonts w:eastAsia="Times New Roman" w:cs="Times New Roman"/>
                <w:sz w:val="24"/>
                <w:szCs w:val="24"/>
                <w:shd w:fill="auto" w:val="clear"/>
                <w:lang w:val="ru-RU" w:eastAsia="ru-RU" w:bidi="ar-SA"/>
              </w:rPr>
              <w:t>ционе в</w:t>
            </w:r>
            <w:r>
              <w:rPr>
                <w:rFonts w:eastAsia="Times New Roman" w:cs="Times New Roman"/>
                <w:sz w:val="24"/>
                <w:szCs w:val="24"/>
                <w:lang w:val="ru-RU" w:eastAsia="ru-RU" w:bidi="ar-SA"/>
              </w:rPr>
              <w:t xml:space="preserve">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Срок и порядок заключения договора:</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Times New Roman" w:hAnsi="Times New Roman"/>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Normal"/>
              <w:widowControl w:val="false"/>
              <w:rPr>
                <w:rFonts w:ascii="Times New Roman" w:hAnsi="Times New Roman"/>
                <w:sz w:val="24"/>
                <w:szCs w:val="24"/>
              </w:rPr>
            </w:pPr>
            <w:r>
              <w:rPr>
                <w:sz w:val="24"/>
                <w:szCs w:val="24"/>
              </w:rPr>
            </w:r>
          </w:p>
          <w:p>
            <w:pPr>
              <w:pStyle w:val="Style63"/>
              <w:widowControl w:val="false"/>
              <w:jc w:val="both"/>
              <w:rPr>
                <w:rFonts w:ascii="Times New Roman" w:hAnsi="Times New Roman"/>
              </w:rPr>
            </w:pPr>
            <w:r>
              <w:rPr>
                <w:rFonts w:cs="Times New Roman" w:ascii="Times New Roman" w:hAnsi="Times New Roman"/>
                <w:sz w:val="24"/>
                <w:szCs w:val="24"/>
              </w:rPr>
              <w:tab/>
              <w:t>Договор по результатам осуществления конкурентной закупки в электрон</w:t>
            </w:r>
            <w:bookmarkStart w:id="50" w:name="_GoBack"/>
            <w:bookmarkEnd w:id="50"/>
            <w:r>
              <w:rPr>
                <w:rFonts w:cs="Times New Roman" w:ascii="Times New Roman" w:hAnsi="Times New Roman"/>
                <w:sz w:val="24"/>
                <w:szCs w:val="24"/>
              </w:rPr>
              <w:t>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Style63"/>
              <w:widowControl w:val="false"/>
              <w:spacing w:before="0" w:after="0"/>
              <w:contextualSpacing/>
              <w:jc w:val="both"/>
              <w:rPr>
                <w:rFonts w:ascii="Times New Roman" w:hAnsi="Times New Roman"/>
                <w:sz w:val="24"/>
                <w:szCs w:val="24"/>
              </w:rPr>
            </w:pPr>
            <w:r>
              <w:rPr>
                <w:rFonts w:ascii="Times New Roman" w:hAnsi="Times New Roman"/>
                <w:sz w:val="24"/>
                <w:szCs w:val="24"/>
              </w:rPr>
            </w:r>
          </w:p>
        </w:tc>
      </w:tr>
      <w:tr>
        <w:trPr/>
        <w:tc>
          <w:tcPr>
            <w:tcW w:w="60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4"/>
              </w:numPr>
              <w:spacing w:before="0" w:after="0"/>
              <w:ind w:left="0" w:right="0" w:hanging="0"/>
              <w:contextualSpacing/>
              <w:jc w:val="center"/>
              <w:rPr>
                <w:rFonts w:ascii="Times New Roman" w:hAnsi="Times New Roman"/>
                <w:sz w:val="24"/>
                <w:szCs w:val="24"/>
                <w:lang w:val="ru-RU"/>
              </w:rPr>
            </w:pPr>
            <w:r>
              <w:rPr>
                <w:sz w:val="24"/>
                <w:szCs w:val="24"/>
                <w:lang w:val="ru-RU"/>
              </w:rPr>
            </w:r>
          </w:p>
        </w:tc>
        <w:tc>
          <w:tcPr>
            <w:tcW w:w="2043"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rFonts w:ascii="Times New Roman" w:hAnsi="Times New Roman"/>
                <w:b w:val="false"/>
                <w:bCs w:val="false"/>
              </w:rPr>
            </w:pPr>
            <w:r>
              <w:rPr>
                <w:b w:val="false"/>
                <w:bCs w:val="false"/>
                <w:sz w:val="24"/>
                <w:szCs w:val="24"/>
                <w:lang w:val="ru-RU"/>
              </w:rPr>
              <w:t>Обеспечение исполнения обязательств по договору:</w:t>
            </w:r>
          </w:p>
        </w:tc>
        <w:tc>
          <w:tcPr>
            <w:tcW w:w="75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rFonts w:ascii="Times New Roman" w:hAnsi="Times New Roman"/>
              </w:rPr>
            </w:pPr>
            <w:r>
              <w:rPr>
                <w:bCs/>
                <w:sz w:val="24"/>
                <w:szCs w:val="24"/>
                <w:lang w:val="ru-RU"/>
              </w:rPr>
              <w:t>Не предусмотрено</w:t>
            </w:r>
          </w:p>
        </w:tc>
      </w:tr>
    </w:tbl>
    <w:p>
      <w:pPr>
        <w:pStyle w:val="3"/>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Normal"/>
        <w:rPr>
          <w:rFonts w:ascii="Times New Roman" w:hAnsi="Times New Roman" w:cs="Times New Roman"/>
          <w:b/>
          <w:bCs/>
          <w:sz w:val="22"/>
          <w:szCs w:val="22"/>
          <w:u w:val="single"/>
        </w:rPr>
      </w:pPr>
      <w:r>
        <w:rPr>
          <w:rFonts w:cs="Times New Roman"/>
          <w:b/>
          <w:bCs/>
          <w:sz w:val="22"/>
          <w:szCs w:val="22"/>
          <w:u w:val="single"/>
        </w:rPr>
      </w:r>
    </w:p>
    <w:p>
      <w:pPr>
        <w:pStyle w:val="3"/>
        <w:rPr>
          <w:rFonts w:ascii="Times New Roman" w:hAnsi="Times New Roman" w:cs="Times New Roman"/>
          <w:b/>
          <w:bCs/>
          <w:sz w:val="22"/>
          <w:szCs w:val="22"/>
          <w:u w:val="single"/>
        </w:rPr>
      </w:pPr>
      <w:bookmarkStart w:id="51" w:name="__RefHeading___Toc5755_1322379191"/>
      <w:bookmarkEnd w:id="51"/>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jc w:val="center"/>
        <w:rPr>
          <w:u w:val="single"/>
        </w:rPr>
      </w:pPr>
      <w:r>
        <w:rPr>
          <w:u w:val="single"/>
        </w:rPr>
      </w:r>
    </w:p>
    <w:p>
      <w:pPr>
        <w:pStyle w:val="Normal"/>
        <w:widowControl/>
        <w:jc w:val="center"/>
        <w:rPr>
          <w:rFonts w:ascii="Times New Roman" w:hAnsi="Times New Roman"/>
          <w:b/>
          <w:sz w:val="22"/>
          <w:szCs w:val="22"/>
          <w:lang w:eastAsia="ar-SA"/>
        </w:rPr>
      </w:pPr>
      <w:r>
        <w:rPr>
          <w:b/>
          <w:sz w:val="22"/>
          <w:szCs w:val="22"/>
          <w:lang w:eastAsia="ar-SA"/>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iCs/>
          <w:color w:val="FF4000"/>
          <w:kern w:val="0"/>
          <w:sz w:val="22"/>
          <w:szCs w:val="22"/>
          <w:u w:val="none"/>
          <w:shd w:fill="auto" w:val="clear"/>
          <w:lang w:val="ru-RU" w:eastAsia="en-US" w:bidi="en-US"/>
        </w:rPr>
        <w:t>Представлено отдельным файлом.</w:t>
      </w:r>
    </w:p>
    <w:p>
      <w:pPr>
        <w:pStyle w:val="Normal"/>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cs="Times New Roman"/>
          <w:b/>
          <w:bCs/>
          <w:sz w:val="22"/>
          <w:szCs w:val="22"/>
          <w:u w:val="single"/>
        </w:rPr>
      </w:pPr>
      <w:r>
        <w:rPr>
          <w:rFonts w:cs="Times New Roman"/>
          <w:b/>
          <w:bCs/>
          <w:sz w:val="22"/>
          <w:szCs w:val="22"/>
          <w:u w:val="single"/>
        </w:rPr>
      </w:r>
    </w:p>
    <w:p>
      <w:pPr>
        <w:pStyle w:val="3"/>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sz w:val="22"/>
        </w:rPr>
      </w:pPr>
      <w:bookmarkStart w:id="52" w:name="__RefHeading___Toc5757_1322379191"/>
      <w:bookmarkEnd w:id="52"/>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20"/>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2"/>
          <w:szCs w:val="22"/>
          <w:u w:val="none"/>
          <w:lang w:val="ru-RU" w:eastAsia="en-US" w:bidi="en-US"/>
        </w:rPr>
      </w:pPr>
      <w:r>
        <w:rPr>
          <w:rFonts w:eastAsia="Times New Roman" w:cs="Times New Roman"/>
          <w:color w:val="auto"/>
          <w:kern w:val="0"/>
          <w:sz w:val="22"/>
          <w:szCs w:val="22"/>
          <w:u w:val="none"/>
          <w:lang w:val="ru-RU" w:eastAsia="en-US" w:bidi="en-US"/>
        </w:rPr>
      </w:r>
    </w:p>
    <w:p>
      <w:pPr>
        <w:pStyle w:val="FORMATTEXT1"/>
        <w:widowControl/>
        <w:shd w:val="clear" w:fill="auto"/>
        <w:tabs>
          <w:tab w:val="clear" w:pos="720"/>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20"/>
          <w:tab w:val="left" w:pos="851" w:leader="none"/>
        </w:tabs>
        <w:rPr>
          <w:color w:val="FF4000"/>
          <w:sz w:val="22"/>
        </w:rPr>
      </w:pPr>
      <w:r>
        <w:rPr>
          <w:color w:val="FF4000"/>
          <w:sz w:val="22"/>
        </w:rPr>
      </w:r>
    </w:p>
    <w:p>
      <w:pPr>
        <w:pStyle w:val="3"/>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3"/>
        <w:rPr/>
      </w:pPr>
      <w:bookmarkStart w:id="53" w:name="__RefHeading___Toc5759_1322379191"/>
      <w:bookmarkEnd w:id="53"/>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20"/>
          <w:tab w:val="left" w:pos="851" w:leader="none"/>
        </w:tabs>
        <w:jc w:val="center"/>
        <w:rPr>
          <w:rFonts w:ascii="Times New Roman" w:hAnsi="Times New Roman" w:eastAsia="Times New Roman" w:cs="Times New Roman"/>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20"/>
          <w:tab w:val="left" w:pos="851" w:leader="none"/>
        </w:tabs>
        <w:jc w:val="center"/>
        <w:rPr>
          <w:color w:val="FF4000"/>
        </w:rPr>
      </w:pPr>
      <w:r>
        <w:rPr>
          <w:rFonts w:eastAsia="Times New Roman" w:cs="Times New Roman"/>
          <w:b w:val="false"/>
          <w:bCs w:val="false"/>
          <w:color w:val="FF4000"/>
          <w:kern w:val="0"/>
          <w:sz w:val="22"/>
          <w:szCs w:val="22"/>
          <w:u w:val="none"/>
          <w:lang w:val="ru-RU" w:eastAsia="en-US" w:bidi="en-US"/>
        </w:rPr>
        <w:t>Представлено отдельным файлом</w:t>
      </w:r>
    </w:p>
    <w:p>
      <w:pPr>
        <w:pStyle w:val="Normal"/>
        <w:shd w:val="clear" w:fill="FFFFFF"/>
        <w:tabs>
          <w:tab w:val="clear" w:pos="720"/>
          <w:tab w:val="left" w:pos="851" w:leader="none"/>
        </w:tabs>
        <w:jc w:val="center"/>
        <w:rPr/>
      </w:pPr>
      <w:r>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r>
        <w:br w:type="page"/>
      </w:r>
    </w:p>
    <w:p>
      <w:pPr>
        <w:pStyle w:val="Normal"/>
        <w:shd w:val="clear" w:fill="FFFFFF"/>
        <w:tabs>
          <w:tab w:val="clear" w:pos="720"/>
          <w:tab w:val="left" w:pos="851" w:leader="none"/>
        </w:tabs>
        <w:rPr>
          <w:sz w:val="22"/>
        </w:rPr>
      </w:pPr>
      <w:r>
        <w:rPr>
          <w:sz w:val="22"/>
        </w:rPr>
      </w:r>
    </w:p>
    <w:p>
      <w:pPr>
        <w:pStyle w:val="3"/>
        <w:shd w:val="clear" w:fill="FFFFFF"/>
        <w:tabs>
          <w:tab w:val="clear" w:pos="720"/>
          <w:tab w:val="left" w:pos="851" w:leader="none"/>
        </w:tabs>
        <w:rPr>
          <w:sz w:val="22"/>
        </w:rPr>
      </w:pPr>
      <w:bookmarkStart w:id="54" w:name="__RefHeading___Toc5753_1322379191"/>
      <w:bookmarkEnd w:id="54"/>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ОБРАЗЦЫ ФОРМ ДОКУМЕНТОВ, </w:t>
      </w:r>
    </w:p>
    <w:p>
      <w:pPr>
        <w:pStyle w:val="3"/>
        <w:shd w:val="clear" w:fill="FFFFFF"/>
        <w:tabs>
          <w:tab w:val="clear" w:pos="720"/>
          <w:tab w:val="left" w:pos="851" w:leader="none"/>
        </w:tabs>
        <w:rPr>
          <w:sz w:val="22"/>
        </w:rPr>
      </w:pPr>
      <w:bookmarkStart w:id="55" w:name="__RefHeading___Toc5182_1815835872"/>
      <w:bookmarkEnd w:id="55"/>
      <w:r>
        <w:rPr>
          <w:sz w:val="22"/>
        </w:rPr>
        <w:t>ВКЛЮЧАЕМЫХ В ЗАЯВКУ НА УЧАСТИЕ В АУКЦИОНЕ В ЭЛЕКТРОННОЙ ФОРМЕ</w:t>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Normal"/>
        <w:shd w:val="clear" w:fill="FFFFFF"/>
        <w:tabs>
          <w:tab w:val="clear" w:pos="720"/>
          <w:tab w:val="left" w:pos="851" w:leader="none"/>
        </w:tabs>
        <w:rPr>
          <w:sz w:val="22"/>
        </w:rPr>
      </w:pPr>
      <w:r>
        <w:rPr>
          <w:sz w:val="22"/>
        </w:rPr>
      </w:r>
    </w:p>
    <w:p>
      <w:pPr>
        <w:pStyle w:val="Style52"/>
        <w:jc w:val="right"/>
        <w:rPr>
          <w:b/>
          <w:bCs/>
          <w:color w:val="2A6099"/>
        </w:rPr>
      </w:pPr>
      <w:bookmarkStart w:id="56" w:name="__RefHeading___Toc5184_1815835872"/>
      <w:bookmarkEnd w:id="56"/>
      <w:r>
        <w:rPr>
          <w:b/>
          <w:bCs/>
          <w:color w:val="2A6099"/>
          <w:lang w:val="ru-RU"/>
        </w:rPr>
        <w:t>Форма 1 «Согласие на участие»</w:t>
      </w:r>
    </w:p>
    <w:p>
      <w:pPr>
        <w:pStyle w:val="Style52"/>
        <w:jc w:val="center"/>
        <w:rPr>
          <w:lang w:val="ru-RU"/>
        </w:rPr>
      </w:pPr>
      <w:r>
        <w:rPr>
          <w:lang w:val="ru-RU"/>
        </w:rPr>
      </w:r>
    </w:p>
    <w:p>
      <w:pPr>
        <w:pStyle w:val="Style52"/>
        <w:jc w:val="center"/>
        <w:rPr>
          <w:b/>
          <w:bCs/>
          <w:lang w:val="ru-RU"/>
        </w:rPr>
      </w:pPr>
      <w:r>
        <w:rPr>
          <w:b/>
          <w:bCs/>
          <w:lang w:val="ru-RU"/>
        </w:rPr>
      </w:r>
    </w:p>
    <w:p>
      <w:pPr>
        <w:pStyle w:val="Style52"/>
        <w:ind w:left="0" w:right="0" w:hanging="0"/>
        <w:jc w:val="center"/>
        <w:rPr>
          <w:b/>
          <w:bCs/>
        </w:rPr>
      </w:pPr>
      <w:r>
        <w:rPr>
          <w:b/>
          <w:bCs/>
          <w:lang w:val="ru-RU"/>
        </w:rPr>
        <w:tab/>
        <w:t xml:space="preserve">Согласие на участие в электронном аукционе </w:t>
      </w:r>
    </w:p>
    <w:p>
      <w:pPr>
        <w:pStyle w:val="Style52"/>
        <w:ind w:left="0" w:right="0" w:hanging="0"/>
        <w:rPr>
          <w:lang w:val="ru-RU"/>
        </w:rPr>
      </w:pPr>
      <w:r>
        <w:rPr>
          <w:lang w:val="ru-RU"/>
        </w:rPr>
      </w:r>
    </w:p>
    <w:p>
      <w:pPr>
        <w:pStyle w:val="Style52"/>
        <w:ind w:left="0" w:right="0" w:hanging="0"/>
        <w:rPr>
          <w:lang w:val="ru-RU"/>
        </w:rPr>
      </w:pPr>
      <w:r>
        <w:rPr>
          <w:lang w:val="ru-RU"/>
        </w:rPr>
      </w:r>
    </w:p>
    <w:p>
      <w:pPr>
        <w:pStyle w:val="Style52"/>
        <w:ind w:left="0" w:right="0" w:hanging="0"/>
        <w:rPr>
          <w:lang w:val="ru-RU"/>
        </w:rPr>
      </w:pPr>
      <w:r>
        <w:rPr>
          <w:lang w:val="ru-RU"/>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 xml:space="preserve">Форма № </w:t>
      </w:r>
      <w:r>
        <w:rPr>
          <w:rFonts w:eastAsia="Times New Roman" w:cs="Times New Roman"/>
          <w:b/>
          <w:color w:val="auto"/>
          <w:kern w:val="0"/>
          <w:sz w:val="22"/>
          <w:szCs w:val="22"/>
          <w:lang w:val="ru-RU" w:eastAsia="en-US" w:bidi="en-US"/>
        </w:rPr>
        <w:t>2</w:t>
      </w:r>
      <w:r>
        <w:rPr>
          <w:b/>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4"/>
        <w:rPr>
          <w:lang w:val="ru-RU"/>
        </w:rPr>
      </w:pPr>
      <w:r>
        <w:rPr>
          <w:lang w:val="ru-RU"/>
        </w:rPr>
      </w:r>
    </w:p>
    <w:tbl>
      <w:tblPr>
        <w:tblW w:w="9356" w:type="dxa"/>
        <w:jc w:val="left"/>
        <w:tblInd w:w="20" w:type="dxa"/>
        <w:tblLayout w:type="fixed"/>
        <w:tblCellMar>
          <w:top w:w="15" w:type="dxa"/>
          <w:left w:w="15" w:type="dxa"/>
          <w:bottom w:w="0" w:type="dxa"/>
          <w:right w:w="15" w:type="dxa"/>
        </w:tblCellMar>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right="0" w:hanging="0"/>
        <w:rPr>
          <w:szCs w:val="24"/>
          <w:lang w:val="ru-RU"/>
        </w:rPr>
      </w:pPr>
      <w:r>
        <w:rPr>
          <w:szCs w:val="24"/>
          <w:lang w:val="ru-RU"/>
        </w:rPr>
      </w:r>
    </w:p>
    <w:p>
      <w:pPr>
        <w:pStyle w:val="Style54"/>
        <w:keepNext w:val="true"/>
        <w:keepLines/>
        <w:tabs>
          <w:tab w:val="clear" w:pos="720"/>
          <w:tab w:val="left" w:pos="851" w:leader="none"/>
        </w:tabs>
        <w:ind w:left="0" w:right="79" w:hanging="0"/>
        <w:rPr>
          <w:sz w:val="24"/>
          <w:szCs w:val="24"/>
          <w:lang w:val="ru-RU"/>
        </w:rPr>
      </w:pPr>
      <w:r>
        <w:rPr>
          <w:sz w:val="24"/>
          <w:szCs w:val="24"/>
          <w:lang w:val="ru-RU"/>
        </w:rPr>
      </w:r>
    </w:p>
    <w:p>
      <w:pPr>
        <w:pStyle w:val="Style54"/>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r>
        <w:br w:type="page"/>
      </w:r>
    </w:p>
    <w:p>
      <w:pPr>
        <w:pStyle w:val="Normal"/>
        <w:jc w:val="center"/>
        <w:rPr>
          <w:sz w:val="22"/>
          <w:lang w:val="ru-RU"/>
        </w:rPr>
      </w:pPr>
      <w:r>
        <w:rPr>
          <w:b/>
          <w:sz w:val="22"/>
          <w:lang w:val="ru-RU"/>
        </w:rPr>
        <w:t xml:space="preserve">Форма № </w:t>
      </w:r>
      <w:r>
        <w:rPr>
          <w:rFonts w:eastAsia="Times New Roman" w:cs="Times New Roman"/>
          <w:b/>
          <w:color w:val="auto"/>
          <w:kern w:val="0"/>
          <w:sz w:val="22"/>
          <w:szCs w:val="22"/>
          <w:lang w:val="ru-RU" w:eastAsia="en-US" w:bidi="en-US"/>
        </w:rPr>
        <w:t>3</w:t>
      </w:r>
      <w:r>
        <w:rPr>
          <w:b/>
          <w:sz w:val="22"/>
          <w:lang w:val="ru-RU"/>
        </w:rPr>
        <w:t>. «Предложение о конкретных показателях товара , работы, услуги входящего в объект закупки»</w:t>
      </w:r>
    </w:p>
    <w:p>
      <w:pPr>
        <w:pStyle w:val="Normal"/>
        <w:jc w:val="center"/>
        <w:rPr>
          <w:sz w:val="22"/>
          <w:lang w:val="ru-RU"/>
        </w:rPr>
      </w:pPr>
      <w:r>
        <w:rPr>
          <w:sz w:val="22"/>
          <w:lang w:val="ru-RU"/>
        </w:rPr>
      </w:r>
    </w:p>
    <w:p>
      <w:pPr>
        <w:pStyle w:val="Normal"/>
        <w:jc w:val="center"/>
        <w:rPr>
          <w:b/>
          <w:sz w:val="22"/>
          <w:lang w:val="ru-RU"/>
        </w:rPr>
      </w:pPr>
      <w:r>
        <w:rPr>
          <w:b/>
          <w:sz w:val="22"/>
          <w:lang w:val="ru-RU"/>
        </w:rPr>
      </w:r>
    </w:p>
    <w:p>
      <w:pPr>
        <w:pStyle w:val="Normal"/>
        <w:ind w:left="0" w:right="0" w:hanging="0"/>
        <w:jc w:val="center"/>
        <w:rPr>
          <w:sz w:val="22"/>
          <w:lang w:val="ru-RU"/>
        </w:rPr>
      </w:pPr>
      <w:r>
        <w:rPr>
          <w:b/>
          <w:sz w:val="22"/>
          <w:lang w:val="ru-RU"/>
        </w:rPr>
        <w:t xml:space="preserve">ПРЕДЛОЖЕНИЕ О КОНКРЕТНЫХ ПОКАЗАТЕЛЯХ </w:t>
      </w:r>
    </w:p>
    <w:p>
      <w:pPr>
        <w:pStyle w:val="Normal"/>
        <w:ind w:left="0" w:right="0" w:hanging="0"/>
        <w:jc w:val="center"/>
        <w:rPr>
          <w:sz w:val="22"/>
          <w:lang w:val="ru-RU"/>
        </w:rPr>
      </w:pPr>
      <w:r>
        <w:rPr>
          <w:b/>
          <w:sz w:val="22"/>
          <w:lang w:val="ru-RU"/>
        </w:rPr>
        <w:t>товара, работы, услуги входящего в объект закупки</w:t>
      </w:r>
    </w:p>
    <w:p>
      <w:pPr>
        <w:pStyle w:val="Normal"/>
        <w:rPr>
          <w:b/>
          <w:sz w:val="22"/>
          <w:lang w:val="ru-RU"/>
        </w:rPr>
      </w:pPr>
      <w:r>
        <w:rPr>
          <w:b/>
          <w:sz w:val="22"/>
          <w:lang w:val="ru-RU"/>
        </w:rPr>
      </w:r>
    </w:p>
    <w:p>
      <w:pPr>
        <w:pStyle w:val="Normal"/>
        <w:shd w:val="clear" w:fill="FFFFFF"/>
        <w:bidi w:val="0"/>
        <w:ind w:left="0" w:right="567" w:hanging="0"/>
        <w:jc w:val="center"/>
        <w:rPr>
          <w:rFonts w:cs="Times New Roman"/>
          <w:bCs/>
          <w:color w:val="000000"/>
          <w:spacing w:val="6"/>
          <w:sz w:val="22"/>
          <w:szCs w:val="22"/>
          <w:lang w:val="ru-RU"/>
        </w:rPr>
      </w:pPr>
      <w:r>
        <w:rPr>
          <w:rFonts w:cs="Times New Roman"/>
          <w:bCs/>
          <w:color w:val="000000"/>
          <w:spacing w:val="6"/>
          <w:sz w:val="22"/>
          <w:szCs w:val="22"/>
          <w:lang w:val="ru-RU"/>
        </w:rPr>
      </w:r>
    </w:p>
    <w:p>
      <w:pPr>
        <w:pStyle w:val="Normal"/>
        <w:shd w:val="clear" w:fill="FFFFFF"/>
        <w:tabs>
          <w:tab w:val="clear" w:pos="720"/>
          <w:tab w:val="left" w:pos="-709" w:leader="none"/>
          <w:tab w:val="left" w:pos="1272" w:leader="none"/>
        </w:tabs>
        <w:bidi w:val="0"/>
        <w:ind w:left="0" w:right="567" w:hanging="0"/>
        <w:jc w:val="center"/>
        <w:rPr>
          <w:rFonts w:cs="Times New Roman"/>
          <w:sz w:val="22"/>
          <w:szCs w:val="22"/>
          <w:lang w:val="ru-RU"/>
        </w:rPr>
      </w:pPr>
      <w:r>
        <w:rPr>
          <w:rFonts w:cs="Times New Roman"/>
          <w:b/>
          <w:bCs/>
          <w:color w:val="000000"/>
          <w:spacing w:val="10"/>
          <w:sz w:val="22"/>
          <w:szCs w:val="22"/>
          <w:lang w:val="ru-RU"/>
        </w:rPr>
        <w:t xml:space="preserve">Перечень автотранспортных средств </w:t>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p>
      <w:pPr>
        <w:pStyle w:val="Normal"/>
        <w:shd w:val="clear" w:fill="FFFFFF"/>
        <w:bidi w:val="0"/>
        <w:ind w:left="0" w:right="567" w:hanging="0"/>
        <w:jc w:val="center"/>
        <w:rPr>
          <w:rFonts w:cs="Times New Roman"/>
          <w:color w:val="000000"/>
          <w:spacing w:val="-1"/>
          <w:sz w:val="21"/>
          <w:szCs w:val="21"/>
          <w:lang w:val="ru-RU"/>
        </w:rPr>
      </w:pPr>
      <w:r>
        <w:rPr>
          <w:rFonts w:cs="Times New Roman"/>
          <w:color w:val="000000"/>
          <w:spacing w:val="-1"/>
          <w:sz w:val="21"/>
          <w:szCs w:val="21"/>
          <w:lang w:val="ru-RU"/>
        </w:rPr>
      </w:r>
    </w:p>
    <w:tbl>
      <w:tblPr>
        <w:tblW w:w="9737" w:type="dxa"/>
        <w:jc w:val="left"/>
        <w:tblInd w:w="110" w:type="dxa"/>
        <w:tblLayout w:type="fixed"/>
        <w:tblCellMar>
          <w:top w:w="0" w:type="dxa"/>
          <w:left w:w="108" w:type="dxa"/>
          <w:bottom w:w="0" w:type="dxa"/>
          <w:right w:w="108" w:type="dxa"/>
        </w:tblCellMar>
      </w:tblPr>
      <w:tblGrid>
        <w:gridCol w:w="555"/>
        <w:gridCol w:w="3810"/>
        <w:gridCol w:w="4079"/>
        <w:gridCol w:w="1292"/>
      </w:tblGrid>
      <w:tr>
        <w:trPr>
          <w:trHeight w:val="506" w:hRule="atLeast"/>
        </w:trPr>
        <w:tc>
          <w:tcPr>
            <w:tcW w:w="555" w:type="dxa"/>
            <w:tcBorders>
              <w:top w:val="single" w:sz="4" w:space="0" w:color="000000"/>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w:t>
            </w:r>
          </w:p>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п/п</w:t>
            </w:r>
          </w:p>
        </w:tc>
        <w:tc>
          <w:tcPr>
            <w:tcW w:w="3810" w:type="dxa"/>
            <w:tcBorders>
              <w:top w:val="single" w:sz="4" w:space="0" w:color="000000"/>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Марка, модель автомобиля</w:t>
            </w:r>
          </w:p>
        </w:tc>
        <w:tc>
          <w:tcPr>
            <w:tcW w:w="4079" w:type="dxa"/>
            <w:tcBorders>
              <w:top w:val="single" w:sz="4" w:space="0" w:color="000000"/>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Тип ТС (легковой, грузовой, погрузчик, прицеп и т.д.)</w:t>
            </w:r>
          </w:p>
        </w:tc>
        <w:tc>
          <w:tcPr>
            <w:tcW w:w="129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bCs/>
                <w:sz w:val="22"/>
                <w:szCs w:val="22"/>
                <w:lang w:val="ru-RU"/>
              </w:rPr>
            </w:pPr>
            <w:r>
              <w:rPr>
                <w:rFonts w:cs="Times New Roman"/>
                <w:b/>
                <w:bCs/>
                <w:sz w:val="22"/>
                <w:szCs w:val="22"/>
                <w:shd w:fill="auto" w:val="clear"/>
                <w:lang w:val="ru-RU"/>
              </w:rPr>
              <w:t>Год выпуска ТС</w:t>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rHeight w:val="221" w:hRule="atLeast"/>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0"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lang w:val="en-US"/>
              </w:rPr>
            </w:pPr>
            <w:r>
              <w:rPr>
                <w:rFonts w:cs="Times New Roman"/>
                <w:b w:val="false"/>
                <w:bCs w:val="false"/>
                <w:i w:val="false"/>
                <w:iCs w:val="false"/>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4079"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ind w:left="-57" w:right="-57" w:hanging="0"/>
              <w:jc w:val="center"/>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r>
          </w:p>
        </w:tc>
      </w:tr>
      <w:tr>
        <w:trPr/>
        <w:tc>
          <w:tcPr>
            <w:tcW w:w="555" w:type="dxa"/>
            <w:tcBorders>
              <w:left w:val="single" w:sz="4" w:space="0" w:color="000000"/>
              <w:bottom w:val="single" w:sz="4" w:space="0" w:color="000000"/>
            </w:tcBorders>
            <w:shd w:fill="auto" w:val="clear"/>
          </w:tcPr>
          <w:p>
            <w:pPr>
              <w:pStyle w:val="Normal"/>
              <w:widowControl w:val="false"/>
              <w:bidi w:val="0"/>
              <w:ind w:left="-57" w:right="-57" w:hanging="0"/>
              <w:jc w:val="center"/>
              <w:rPr>
                <w:rFonts w:ascii="Times New Roman" w:hAnsi="Times New Roman" w:cs="Times New Roman"/>
                <w:sz w:val="22"/>
                <w:szCs w:val="22"/>
                <w:lang w:val="ru-RU"/>
              </w:rPr>
            </w:pPr>
            <w:r>
              <w:rPr>
                <w:rFonts w:cs="Times New Roman"/>
                <w:sz w:val="22"/>
                <w:szCs w:val="22"/>
                <w:lang w:val="ru-RU"/>
              </w:rPr>
            </w:r>
          </w:p>
        </w:tc>
        <w:tc>
          <w:tcPr>
            <w:tcW w:w="3810" w:type="dxa"/>
            <w:tcBorders>
              <w:left w:val="single" w:sz="4" w:space="0" w:color="000000"/>
              <w:bottom w:val="single" w:sz="4" w:space="0" w:color="000000"/>
            </w:tcBorders>
            <w:shd w:fill="auto" w:val="clear"/>
          </w:tcPr>
          <w:p>
            <w:pPr>
              <w:pStyle w:val="Normal"/>
              <w:widowControl w:val="false"/>
              <w:bidi w:val="0"/>
              <w:ind w:left="-57" w:right="-57" w:hanging="0"/>
              <w:jc w:val="left"/>
              <w:rPr>
                <w:rFonts w:ascii="Times New Roman" w:hAnsi="Times New Roman" w:cs="Times New Roman"/>
                <w:sz w:val="22"/>
                <w:szCs w:val="22"/>
                <w:lang w:val="en-US"/>
              </w:rPr>
            </w:pPr>
            <w:r>
              <w:rPr>
                <w:rFonts w:cs="Times New Roman"/>
                <w:sz w:val="22"/>
                <w:szCs w:val="22"/>
                <w:lang w:val="en-US"/>
              </w:rPr>
            </w:r>
          </w:p>
        </w:tc>
        <w:tc>
          <w:tcPr>
            <w:tcW w:w="4079" w:type="dxa"/>
            <w:tcBorders>
              <w:left w:val="single" w:sz="4" w:space="0" w:color="000000"/>
              <w:bottom w:val="single" w:sz="4" w:space="0" w:color="000000"/>
            </w:tcBorders>
            <w:shd w:fill="auto" w:val="clear"/>
          </w:tcPr>
          <w:p>
            <w:pPr>
              <w:pStyle w:val="Normal"/>
              <w:widowControl w:val="false"/>
              <w:bidi w:val="0"/>
              <w:jc w:val="center"/>
              <w:rPr>
                <w:rFonts w:ascii="Times New Roman" w:hAnsi="Times New Roman" w:cs="Times New Roman"/>
                <w:sz w:val="22"/>
                <w:szCs w:val="22"/>
              </w:rPr>
            </w:pPr>
            <w:r>
              <w:rPr>
                <w:rFonts w:cs="Times New Roman"/>
                <w:sz w:val="22"/>
                <w:szCs w:val="22"/>
              </w:rPr>
            </w:r>
          </w:p>
        </w:tc>
        <w:tc>
          <w:tcPr>
            <w:tcW w:w="1292" w:type="dxa"/>
            <w:tcBorders>
              <w:left w:val="single" w:sz="4" w:space="0" w:color="000000"/>
              <w:bottom w:val="single" w:sz="4" w:space="0" w:color="000000"/>
              <w:right w:val="single" w:sz="4" w:space="0" w:color="000000"/>
            </w:tcBorders>
            <w:shd w:fill="auto" w:val="clear"/>
          </w:tcPr>
          <w:p>
            <w:pPr>
              <w:pStyle w:val="Normal"/>
              <w:widowControl w:val="false"/>
              <w:bidi w:val="0"/>
              <w:jc w:val="center"/>
              <w:rPr>
                <w:rFonts w:ascii="Times New Roman" w:hAnsi="Times New Roman" w:cs="Times New Roman"/>
                <w:sz w:val="22"/>
                <w:szCs w:val="22"/>
              </w:rPr>
            </w:pPr>
            <w:r>
              <w:rPr>
                <w:rFonts w:cs="Times New Roman"/>
                <w:sz w:val="22"/>
                <w:szCs w:val="22"/>
              </w:rPr>
            </w:r>
          </w:p>
        </w:tc>
      </w:tr>
    </w:tbl>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sz w:val="21"/>
          <w:szCs w:val="21"/>
          <w:lang w:val="ru-RU"/>
        </w:rPr>
      </w:pPr>
      <w:r>
        <w:rPr>
          <w:b/>
          <w:sz w:val="21"/>
          <w:szCs w:val="21"/>
          <w:lang w:val="ru-RU"/>
        </w:rPr>
      </w:r>
    </w:p>
    <w:p>
      <w:pPr>
        <w:pStyle w:val="Normal"/>
        <w:shd w:val="clear" w:fill="FFFFFF"/>
        <w:bidi w:val="0"/>
        <w:ind w:left="0" w:right="567" w:hanging="0"/>
        <w:jc w:val="center"/>
        <w:rPr>
          <w:b/>
          <w:i/>
          <w:i/>
          <w:color w:val="FF0000"/>
          <w:sz w:val="22"/>
          <w:szCs w:val="22"/>
          <w:lang w:val="ru-RU"/>
        </w:rPr>
      </w:pPr>
      <w:r>
        <w:rPr>
          <w:b/>
          <w:i/>
          <w:color w:val="FF0000"/>
          <w:sz w:val="22"/>
          <w:szCs w:val="22"/>
          <w:lang w:val="ru-RU"/>
        </w:rPr>
      </w:r>
    </w:p>
    <w:p>
      <w:pPr>
        <w:pStyle w:val="Style54"/>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w:t>
      </w:r>
      <w:r>
        <w:rPr>
          <w:rFonts w:eastAsia="Times New Roman" w:cs="Times New Roman"/>
          <w:b/>
          <w:color w:val="auto"/>
          <w:kern w:val="0"/>
          <w:sz w:val="22"/>
          <w:szCs w:val="22"/>
          <w:lang w:val="ru-RU" w:eastAsia="en-US" w:bidi="en-US"/>
        </w:rPr>
        <w:t>4</w:t>
      </w:r>
      <w:r>
        <w:rPr>
          <w:b/>
          <w:sz w:val="22"/>
          <w:lang w:val="ru-RU"/>
        </w:rPr>
        <w:t>.</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644" w:right="0"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20"/>
          <w:tab w:val="left" w:pos="0" w:leader="none"/>
          <w:tab w:val="left" w:pos="1276" w:leader="none"/>
          <w:tab w:val="left" w:pos="1560" w:leader="none"/>
        </w:tabs>
        <w:ind w:left="644" w:right="0" w:hanging="0"/>
        <w:rPr>
          <w:lang w:val="ru-RU"/>
        </w:rPr>
      </w:pPr>
      <w:r>
        <w:rPr>
          <w:lang w:val="ru-RU"/>
        </w:rPr>
      </w:r>
    </w:p>
    <w:p>
      <w:pPr>
        <w:pStyle w:val="ListParagraph"/>
        <w:tabs>
          <w:tab w:val="clear" w:pos="720"/>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Style54"/>
        <w:keepNext w:val="true"/>
        <w:keepLines/>
        <w:tabs>
          <w:tab w:val="clear" w:pos="720"/>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20"/>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1"/>
      <w:footerReference w:type="default" r:id="rId12"/>
      <w:type w:val="nextPage"/>
      <w:pgSz w:w="11906" w:h="16838"/>
      <w:pgMar w:left="1134" w:right="706"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rPr>
        <w:sz w:val="20"/>
        <w:szCs w:val="20"/>
      </w:rPr>
    </w:pPr>
    <w:r>
      <w:rPr/>
      <w:fldChar w:fldCharType="begin"/>
    </w:r>
    <w:r>
      <w:rPr/>
      <w:instrText xml:space="preserve">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1"/>
      <w:spacing w:before="120" w:after="120"/>
      <w:jc w:val="righ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6.1.%1."/>
      <w:lvlJc w:val="left"/>
      <w:pPr>
        <w:tabs>
          <w:tab w:val="num" w:pos="0"/>
        </w:tabs>
        <w:ind w:left="1429" w:hanging="360"/>
      </w:pPr>
      <w:rPr>
        <w:sz w:val="22"/>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4">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6">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9">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0">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1">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2">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3">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4">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5">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6">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7">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paragraph" w:styleId="Style33">
    <w:name w:val="Заголовок"/>
    <w:basedOn w:val="Normal"/>
    <w:next w:val="Style34"/>
    <w:qFormat/>
    <w:pPr>
      <w:keepNext w:val="true"/>
      <w:spacing w:before="240" w:after="120"/>
    </w:pPr>
    <w:rPr>
      <w:rFonts w:ascii="Liberation Sans" w:hAnsi="Liberation Sans" w:eastAsia="Microsoft YaHei" w:cs="Arial"/>
      <w:sz w:val="28"/>
      <w:szCs w:val="28"/>
    </w:rPr>
  </w:style>
  <w:style w:type="paragraph" w:styleId="Style34">
    <w:name w:val="Body Text"/>
    <w:basedOn w:val="Normal"/>
    <w:pPr>
      <w:widowControl w:val="false"/>
    </w:pPr>
    <w:rPr/>
  </w:style>
  <w:style w:type="paragraph" w:styleId="Style35">
    <w:name w:val="List"/>
    <w:basedOn w:val="Style34"/>
    <w:pPr/>
    <w:rPr>
      <w:rFonts w:ascii="Arial" w:hAnsi="Arial" w:cs="Tahoma"/>
    </w:rPr>
  </w:style>
  <w:style w:type="paragraph" w:styleId="Style36">
    <w:name w:val="Caption"/>
    <w:basedOn w:val="Normal"/>
    <w:qFormat/>
    <w:pPr>
      <w:suppressLineNumbers/>
      <w:spacing w:before="120" w:after="120"/>
    </w:pPr>
    <w:rPr>
      <w:rFonts w:cs="FreeSans"/>
      <w:i/>
      <w:iCs/>
      <w:sz w:val="24"/>
      <w:szCs w:val="24"/>
    </w:rPr>
  </w:style>
  <w:style w:type="paragraph" w:styleId="Style37">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3"/>
    <w:qFormat/>
    <w:pPr>
      <w:suppressLineNumbers/>
      <w:ind w:left="0" w:right="0" w:hanging="0"/>
    </w:pPr>
    <w:rPr>
      <w:b/>
      <w:bCs/>
      <w:sz w:val="32"/>
      <w:szCs w:val="32"/>
    </w:rPr>
  </w:style>
  <w:style w:type="paragraph" w:styleId="Style38">
    <w:name w:val="Title"/>
    <w:basedOn w:val="Normal"/>
    <w:next w:val="Style34"/>
    <w:qFormat/>
    <w:pPr>
      <w:spacing w:before="0" w:after="0"/>
      <w:contextualSpacing/>
      <w:jc w:val="center"/>
    </w:pPr>
    <w:rPr>
      <w:b/>
      <w:spacing w:val="5"/>
      <w:sz w:val="52"/>
      <w:szCs w:val="52"/>
      <w:lang w:val="ru-RU"/>
    </w:rPr>
  </w:style>
  <w:style w:type="paragraph" w:styleId="19">
    <w:name w:val="Заголовок1"/>
    <w:basedOn w:val="Normal"/>
    <w:next w:val="Style34"/>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39">
    <w:name w:val="Верхний и нижний колонтитулы"/>
    <w:basedOn w:val="Normal"/>
    <w:qFormat/>
    <w:pPr/>
    <w:rPr/>
  </w:style>
  <w:style w:type="paragraph" w:styleId="Style40">
    <w:name w:val="Колонтитул"/>
    <w:basedOn w:val="Normal"/>
    <w:qFormat/>
    <w:pPr/>
    <w:rPr/>
  </w:style>
  <w:style w:type="paragraph" w:styleId="Style41">
    <w:name w:val="Header"/>
    <w:basedOn w:val="Normal"/>
    <w:pPr>
      <w:tabs>
        <w:tab w:val="clear" w:pos="720"/>
        <w:tab w:val="center" w:pos="4153" w:leader="none"/>
        <w:tab w:val="right" w:pos="8306" w:leader="none"/>
      </w:tabs>
      <w:spacing w:before="120" w:after="120"/>
    </w:pPr>
    <w:rPr>
      <w:rFonts w:ascii="Arial" w:hAnsi="Arial"/>
      <w:szCs w:val="20"/>
    </w:rPr>
  </w:style>
  <w:style w:type="paragraph" w:styleId="Style42">
    <w:name w:val="Footer"/>
    <w:basedOn w:val="Normal"/>
    <w:pPr>
      <w:tabs>
        <w:tab w:val="clear" w:pos="720"/>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20"/>
        <w:tab w:val="left" w:pos="360" w:leader="none"/>
      </w:tabs>
      <w:ind w:left="360" w:right="0" w:hanging="360"/>
    </w:pPr>
    <w:rPr>
      <w:szCs w:val="20"/>
    </w:rPr>
  </w:style>
  <w:style w:type="paragraph" w:styleId="211">
    <w:name w:val="Маркированный список 21"/>
    <w:basedOn w:val="Normal"/>
    <w:qFormat/>
    <w:pPr>
      <w:tabs>
        <w:tab w:val="clear" w:pos="720"/>
        <w:tab w:val="left" w:pos="643" w:leader="none"/>
      </w:tabs>
      <w:ind w:left="643" w:right="0" w:hanging="360"/>
    </w:pPr>
    <w:rPr>
      <w:szCs w:val="20"/>
    </w:rPr>
  </w:style>
  <w:style w:type="paragraph" w:styleId="311">
    <w:name w:val="Маркированный список 31"/>
    <w:basedOn w:val="Normal"/>
    <w:qFormat/>
    <w:pPr>
      <w:tabs>
        <w:tab w:val="clear" w:pos="720"/>
        <w:tab w:val="left" w:pos="926" w:leader="none"/>
      </w:tabs>
      <w:ind w:left="926" w:right="0" w:hanging="360"/>
    </w:pPr>
    <w:rPr>
      <w:szCs w:val="20"/>
    </w:rPr>
  </w:style>
  <w:style w:type="paragraph" w:styleId="411">
    <w:name w:val="Маркированный список 41"/>
    <w:basedOn w:val="Normal"/>
    <w:qFormat/>
    <w:pPr>
      <w:tabs>
        <w:tab w:val="clear" w:pos="720"/>
        <w:tab w:val="left" w:pos="1209" w:leader="none"/>
      </w:tabs>
      <w:ind w:left="1209" w:right="0" w:hanging="360"/>
    </w:pPr>
    <w:rPr>
      <w:szCs w:val="20"/>
    </w:rPr>
  </w:style>
  <w:style w:type="paragraph" w:styleId="511">
    <w:name w:val="Маркированный список 51"/>
    <w:basedOn w:val="Normal"/>
    <w:qFormat/>
    <w:pPr>
      <w:tabs>
        <w:tab w:val="clear" w:pos="720"/>
        <w:tab w:val="left" w:pos="1492" w:leader="none"/>
      </w:tabs>
      <w:ind w:left="1492" w:right="0" w:hanging="360"/>
    </w:pPr>
    <w:rPr>
      <w:szCs w:val="20"/>
    </w:rPr>
  </w:style>
  <w:style w:type="paragraph" w:styleId="212">
    <w:name w:val="Нумерованный список 21"/>
    <w:basedOn w:val="Normal"/>
    <w:qFormat/>
    <w:pPr>
      <w:tabs>
        <w:tab w:val="clear" w:pos="720"/>
        <w:tab w:val="left" w:pos="643" w:leader="none"/>
      </w:tabs>
      <w:ind w:left="643" w:right="0" w:hanging="360"/>
    </w:pPr>
    <w:rPr>
      <w:szCs w:val="20"/>
    </w:rPr>
  </w:style>
  <w:style w:type="paragraph" w:styleId="38">
    <w:name w:val="Оглавление 3 Знак"/>
    <w:basedOn w:val="Normal"/>
    <w:qFormat/>
    <w:pPr>
      <w:tabs>
        <w:tab w:val="clear" w:pos="720"/>
        <w:tab w:val="left" w:pos="360" w:leader="none"/>
      </w:tabs>
    </w:pPr>
    <w:rPr>
      <w:szCs w:val="20"/>
    </w:rPr>
  </w:style>
  <w:style w:type="paragraph" w:styleId="412">
    <w:name w:val="Нумерованный список 41"/>
    <w:basedOn w:val="Normal"/>
    <w:qFormat/>
    <w:pPr>
      <w:tabs>
        <w:tab w:val="clear" w:pos="720"/>
        <w:tab w:val="left" w:pos="1209" w:leader="none"/>
      </w:tabs>
      <w:ind w:left="1209" w:right="0" w:hanging="360"/>
    </w:pPr>
    <w:rPr>
      <w:szCs w:val="20"/>
    </w:rPr>
  </w:style>
  <w:style w:type="paragraph" w:styleId="512">
    <w:name w:val="Нумерованный список 51"/>
    <w:basedOn w:val="Normal"/>
    <w:qFormat/>
    <w:pPr>
      <w:tabs>
        <w:tab w:val="clear" w:pos="720"/>
        <w:tab w:val="left" w:pos="1492" w:leader="none"/>
      </w:tabs>
      <w:ind w:left="1492" w:right="0" w:hanging="360"/>
    </w:pPr>
    <w:rPr>
      <w:szCs w:val="20"/>
    </w:rPr>
  </w:style>
  <w:style w:type="paragraph" w:styleId="Style43">
    <w:name w:val="Subtitle"/>
    <w:basedOn w:val="Normal"/>
    <w:next w:val="Normal"/>
    <w:qFormat/>
    <w:pPr>
      <w:spacing w:before="0" w:after="600"/>
    </w:pPr>
    <w:rPr>
      <w:rFonts w:ascii="Cambria" w:hAnsi="Cambria"/>
      <w:i/>
      <w:iCs/>
      <w:spacing w:val="13"/>
      <w:szCs w:val="24"/>
    </w:rPr>
  </w:style>
  <w:style w:type="paragraph" w:styleId="Style44">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20"/>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5">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fals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20"/>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20"/>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720"/>
        <w:tab w:val="left" w:pos="1307" w:leader="none"/>
      </w:tabs>
      <w:spacing w:lineRule="auto" w:line="240" w:before="0" w:after="0"/>
      <w:ind w:left="1080" w:right="0" w:firstLine="567"/>
    </w:pPr>
    <w:rPr/>
  </w:style>
  <w:style w:type="paragraph" w:styleId="Style46">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fals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7">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8">
    <w:name w:val="Пункт Знак"/>
    <w:basedOn w:val="Normal"/>
    <w:qFormat/>
    <w:pPr>
      <w:tabs>
        <w:tab w:val="clear" w:pos="720"/>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720"/>
        <w:tab w:val="left" w:pos="851" w:leader="none"/>
      </w:tabs>
      <w:ind w:left="851" w:right="0" w:hanging="851"/>
    </w:pPr>
    <w:rPr/>
  </w:style>
  <w:style w:type="paragraph" w:styleId="-2">
    <w:name w:val="Контракт-раздел"/>
    <w:basedOn w:val="Normal"/>
    <w:next w:val="-1"/>
    <w:qFormat/>
    <w:pPr>
      <w:keepNext w:val="true"/>
      <w:tabs>
        <w:tab w:val="clear" w:pos="720"/>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720"/>
        <w:tab w:val="left" w:pos="851" w:leader="none"/>
      </w:tabs>
      <w:ind w:left="851" w:right="0" w:hanging="851"/>
    </w:pPr>
    <w:rPr/>
  </w:style>
  <w:style w:type="paragraph" w:styleId="-4">
    <w:name w:val="Контракт-подподпункт"/>
    <w:basedOn w:val="Normal"/>
    <w:qFormat/>
    <w:pPr>
      <w:tabs>
        <w:tab w:val="clear" w:pos="720"/>
        <w:tab w:val="left" w:pos="1418" w:leader="none"/>
      </w:tabs>
      <w:ind w:left="1418" w:right="0" w:hanging="567"/>
    </w:pPr>
    <w:rPr/>
  </w:style>
  <w:style w:type="paragraph" w:styleId="ConsPlusNormal1">
    <w:name w:val="ConsPlusNormal"/>
    <w:qFormat/>
    <w:pPr>
      <w:widowControl/>
      <w:suppressAutoHyphens w:val="true"/>
      <w:overflowPunct w:val="fals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49">
    <w:name w:val="Пункт"/>
    <w:basedOn w:val="Normal"/>
    <w:qFormat/>
    <w:pPr>
      <w:tabs>
        <w:tab w:val="clear" w:pos="720"/>
        <w:tab w:val="left" w:pos="1620" w:leader="none"/>
      </w:tabs>
      <w:ind w:left="1044" w:right="0" w:hanging="504"/>
    </w:pPr>
    <w:rPr>
      <w:szCs w:val="28"/>
    </w:rPr>
  </w:style>
  <w:style w:type="paragraph" w:styleId="Style50">
    <w:name w:val="Подпункт"/>
    <w:basedOn w:val="Style49"/>
    <w:qFormat/>
    <w:pPr>
      <w:tabs>
        <w:tab w:val="left" w:pos="1620" w:leader="none"/>
        <w:tab w:val="left" w:pos="2700" w:leader="none"/>
      </w:tabs>
      <w:ind w:left="1908" w:right="0" w:hanging="648"/>
    </w:pPr>
    <w:rPr/>
  </w:style>
  <w:style w:type="paragraph" w:styleId="214">
    <w:name w:val="Заголовок 2 Знак1"/>
    <w:basedOn w:val="Style45"/>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1">
    <w:name w:val="Подподпункт"/>
    <w:basedOn w:val="Normal"/>
    <w:qFormat/>
    <w:pPr>
      <w:tabs>
        <w:tab w:val="clear" w:pos="720"/>
        <w:tab w:val="left" w:pos="1701" w:leader="none"/>
        <w:tab w:val="left" w:pos="5585" w:leader="none"/>
      </w:tabs>
      <w:ind w:left="1701" w:right="0" w:hanging="567"/>
    </w:pPr>
    <w:rPr/>
  </w:style>
  <w:style w:type="paragraph" w:styleId="Style52">
    <w:name w:val="А_обычный"/>
    <w:basedOn w:val="Normal"/>
    <w:qFormat/>
    <w:pPr>
      <w:ind w:left="0" w:right="0" w:firstLine="709"/>
    </w:pPr>
    <w:rPr/>
  </w:style>
  <w:style w:type="paragraph" w:styleId="Style53">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4">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20"/>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5">
    <w:name w:val="Содержимое таблицы"/>
    <w:basedOn w:val="Normal"/>
    <w:qFormat/>
    <w:pPr>
      <w:suppressLineNumbers/>
    </w:pPr>
    <w:rPr/>
  </w:style>
  <w:style w:type="paragraph" w:styleId="Style56">
    <w:name w:val="Заголовок таблицы"/>
    <w:basedOn w:val="Style55"/>
    <w:qFormat/>
    <w:pPr>
      <w:jc w:val="center"/>
    </w:pPr>
    <w:rPr>
      <w:b/>
      <w:bCs/>
    </w:rPr>
  </w:style>
  <w:style w:type="paragraph" w:styleId="121">
    <w:name w:val="Заголовок 1 Знак2"/>
    <w:basedOn w:val="112"/>
    <w:qFormat/>
    <w:pPr>
      <w:tabs>
        <w:tab w:val="clear" w:pos="720"/>
        <w:tab w:val="right" w:pos="9637" w:leader="dot"/>
      </w:tabs>
      <w:ind w:left="2547" w:right="0" w:firstLine="567"/>
    </w:pPr>
    <w:rPr/>
  </w:style>
  <w:style w:type="paragraph" w:styleId="Style57">
    <w:name w:val="Содержимое врезки"/>
    <w:basedOn w:val="Style34"/>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fals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8">
    <w:name w:val="Index Heading"/>
    <w:basedOn w:val="Style33"/>
    <w:pPr>
      <w:suppressLineNumbers/>
      <w:ind w:left="0" w:right="0" w:hanging="0"/>
    </w:pPr>
    <w:rPr>
      <w:b/>
      <w:bCs/>
      <w:sz w:val="32"/>
      <w:szCs w:val="32"/>
    </w:rPr>
  </w:style>
  <w:style w:type="paragraph" w:styleId="Style59">
    <w:name w:val="TOC Heading"/>
    <w:basedOn w:val="1"/>
    <w:next w:val="Normal"/>
    <w:qFormat/>
    <w:pPr/>
    <w:rPr/>
  </w:style>
  <w:style w:type="paragraph" w:styleId="Style60">
    <w:name w:val="по умолчанию"/>
    <w:basedOn w:val="1"/>
    <w:qFormat/>
    <w:pPr/>
    <w:rPr/>
  </w:style>
  <w:style w:type="paragraph" w:styleId="10">
    <w:name w:val="Стиль Подпункт + 10 пт"/>
    <w:basedOn w:val="Style50"/>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3"/>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1">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fals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2">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3">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4">
    <w:name w:val="Стиль"/>
    <w:qFormat/>
    <w:pPr>
      <w:widowControl w:val="false"/>
      <w:suppressAutoHyphens w:val="true"/>
      <w:overflowPunct w:val="fals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4"/>
    <w:next w:val="Style64"/>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fals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20"/>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8"/>
    <w:qFormat/>
    <w:pPr>
      <w:suppressLineNumbers/>
      <w:ind w:left="0" w:right="0" w:hanging="0"/>
    </w:pPr>
    <w:rPr>
      <w:b/>
      <w:bCs/>
      <w:sz w:val="32"/>
      <w:szCs w:val="32"/>
    </w:rPr>
  </w:style>
  <w:style w:type="paragraph" w:styleId="218">
    <w:name w:val="Основной текст (2)"/>
    <w:basedOn w:val="Normal"/>
    <w:qFormat/>
    <w:pPr>
      <w:widowControl w:val="false"/>
      <w:shd w:val="clear" w:color="auto" w:fill="FFFFFF"/>
      <w:spacing w:lineRule="auto" w:line="240" w:before="240" w:after="420"/>
      <w:jc w:val="both"/>
    </w:pPr>
    <w:rPr>
      <w:rFonts w:ascii="Times New Roman" w:hAnsi="Times New Roman" w:eastAsia="Times New Roman" w:cs="Times New Roman"/>
      <w:b w:val="false"/>
      <w:bCs w:val="false"/>
      <w:i w:val="false"/>
      <w:iCs w:val="false"/>
      <w:caps w:val="false"/>
      <w:smallCaps w:val="false"/>
      <w:strike w:val="false"/>
      <w:dstrike w:val="false"/>
      <w:u w:val="none"/>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mailto:v.novikov@sv-rsk.ru" TargetMode="External"/><Relationship Id="rId9" Type="http://schemas.openxmlformats.org/officeDocument/2006/relationships/hyperlink" Target="https://etp-region.ru/" TargetMode="External"/><Relationship Id="rId10" Type="http://schemas.openxmlformats.org/officeDocument/2006/relationships/hyperlink" Target="https://etp-region.r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1301</TotalTime>
  <Application>LibreOffice/7.5.3.2$Windows_X86_64 LibreOffice_project/9f56dff12ba03b9acd7730a5a481eea045e468f3</Application>
  <AppVersion>15.0000</AppVersion>
  <Pages>29</Pages>
  <Words>10483</Words>
  <Characters>75056</Characters>
  <CharactersWithSpaces>85263</CharactersWithSpaces>
  <Paragraphs>451</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2023-01-27T14:56:00Z</dcterms:created>
  <dc:creator>Анюхина Т.С.</dc:creator>
  <dc:description/>
  <dc:language>ru-RU</dc:language>
  <cp:lastModifiedBy/>
  <cp:lastPrinted>2021-09-01T13:35:00Z</cp:lastPrinted>
  <dcterms:modified xsi:type="dcterms:W3CDTF">2026-02-20T16:31:44Z</dcterms:modified>
  <cp:revision>92</cp:revision>
  <dc:subject/>
  <dc:title>Федеральный закон от 18.07.2011 N 223-ФЗ(ред. от 05.12.2022)"О закупках товаров, работ, услуг отдельными видами юридических лиц"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