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35F30" w14:textId="77777777" w:rsidR="00C50C19" w:rsidRDefault="00AD27F7">
      <w:pPr>
        <w:ind w:right="3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ТЕХНИ‌﻿​‌﻿⁠‍‌‌‌‌‌‍‌⁠​‍‍​﻿⁠﻿﻿​‍﻿‍‍‌‌‍﻿‌​﻿⁠﻿﻿​‌​‌‌​ЧЕСКОЕ ЗАДАНИЕ</w:t>
      </w:r>
    </w:p>
    <w:p w14:paraId="68F76344" w14:textId="77777777" w:rsidR="00C50C19" w:rsidRDefault="00AD27F7">
      <w:pPr>
        <w:ind w:right="3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поставку сушильных шкафов для нужд МАОУ "СВЕТЛОВСКАЯ СОШ ИМЕНИ СОЛЁНОВА Б.А."</w:t>
      </w:r>
    </w:p>
    <w:p w14:paraId="75A815B2" w14:textId="77777777" w:rsidR="00C50C19" w:rsidRDefault="00C50C19">
      <w:pPr>
        <w:ind w:right="310"/>
        <w:jc w:val="center"/>
        <w:rPr>
          <w:b/>
          <w:sz w:val="22"/>
          <w:szCs w:val="22"/>
        </w:rPr>
      </w:pPr>
    </w:p>
    <w:p w14:paraId="4C554061" w14:textId="77777777" w:rsidR="00C50C19" w:rsidRDefault="00AD27F7">
      <w:pPr>
        <w:ind w:left="426" w:right="310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В случае, если в документации (в каком-либо документе, входящем в состав документации, прикрепленном отдельным файлом к документации) имеются указания на знаки обслуживания, фирменные и торговые наименования, патенты, полезные модели, промышленные образцы,</w:t>
      </w:r>
      <w:r>
        <w:rPr>
          <w:bCs/>
          <w:i/>
          <w:iCs/>
          <w:sz w:val="22"/>
          <w:szCs w:val="22"/>
        </w:rPr>
        <w:t xml:space="preserve"> указания на товарный знак, наименование места происхождения товара или наименование производителя, то такие указания следует читать «знаки обслуживания или эквивалент», «фирменные наименования или эквивалент», «торговые наименования или эквивалент», «пате</w:t>
      </w:r>
      <w:r>
        <w:rPr>
          <w:bCs/>
          <w:i/>
          <w:iCs/>
          <w:sz w:val="22"/>
          <w:szCs w:val="22"/>
        </w:rPr>
        <w:t>нты или эквивалент», «полезные модели или эквивалент», «промышленные образцы или эквивалент», «товарный знак или эквивалент», «наименование места происхождения товара или эквивалент», «наименование производителя или эквивалент».</w:t>
      </w:r>
    </w:p>
    <w:tbl>
      <w:tblPr>
        <w:tblStyle w:val="15"/>
        <w:tblW w:w="10157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1382"/>
        <w:gridCol w:w="3088"/>
        <w:gridCol w:w="1417"/>
        <w:gridCol w:w="1590"/>
        <w:gridCol w:w="2224"/>
      </w:tblGrid>
      <w:tr w:rsidR="00C50C19" w14:paraId="73AEB384" w14:textId="77777777">
        <w:trPr>
          <w:trHeight w:val="241"/>
          <w:jc w:val="center"/>
        </w:trPr>
        <w:tc>
          <w:tcPr>
            <w:tcW w:w="456" w:type="dxa"/>
            <w:vMerge w:val="restart"/>
          </w:tcPr>
          <w:p w14:paraId="7D93A6AC" w14:textId="77777777" w:rsidR="00C50C19" w:rsidRDefault="00AD27F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382" w:type="dxa"/>
            <w:vMerge w:val="restart"/>
          </w:tcPr>
          <w:p w14:paraId="246E01BB" w14:textId="77777777" w:rsidR="00C50C19" w:rsidRDefault="00AD27F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ОКПД2</w:t>
            </w:r>
          </w:p>
        </w:tc>
        <w:tc>
          <w:tcPr>
            <w:tcW w:w="3088" w:type="dxa"/>
            <w:vMerge w:val="restart"/>
          </w:tcPr>
          <w:p w14:paraId="2B45367B" w14:textId="77777777" w:rsidR="00C50C19" w:rsidRDefault="00AD27F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5231" w:type="dxa"/>
            <w:gridSpan w:val="3"/>
          </w:tcPr>
          <w:p w14:paraId="1947D478" w14:textId="77777777" w:rsidR="00C50C19" w:rsidRDefault="00AD27F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Национальный режим</w:t>
            </w:r>
          </w:p>
        </w:tc>
      </w:tr>
      <w:tr w:rsidR="00C50C19" w14:paraId="3D2B3F65" w14:textId="77777777">
        <w:trPr>
          <w:trHeight w:val="397"/>
          <w:jc w:val="center"/>
        </w:trPr>
        <w:tc>
          <w:tcPr>
            <w:tcW w:w="456" w:type="dxa"/>
            <w:vMerge/>
          </w:tcPr>
          <w:p w14:paraId="1029CA70" w14:textId="77777777" w:rsidR="00C50C19" w:rsidRDefault="00C50C19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14:paraId="2E47EB5A" w14:textId="77777777" w:rsidR="00C50C19" w:rsidRDefault="00C50C19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8" w:type="dxa"/>
            <w:vMerge/>
          </w:tcPr>
          <w:p w14:paraId="181CAC2C" w14:textId="77777777" w:rsidR="00C50C19" w:rsidRDefault="00C50C19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05CA9C" w14:textId="77777777" w:rsidR="00C50C19" w:rsidRDefault="00AD27F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1875 (Запрет)</w:t>
            </w:r>
          </w:p>
        </w:tc>
        <w:tc>
          <w:tcPr>
            <w:tcW w:w="1590" w:type="dxa"/>
          </w:tcPr>
          <w:p w14:paraId="3C3A861C" w14:textId="77777777" w:rsidR="00C50C19" w:rsidRDefault="00AD27F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14:paraId="2C37A5EF" w14:textId="77777777" w:rsidR="00C50C19" w:rsidRDefault="00AD27F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(Ограничение)</w:t>
            </w:r>
          </w:p>
        </w:tc>
        <w:tc>
          <w:tcPr>
            <w:tcW w:w="2224" w:type="dxa"/>
          </w:tcPr>
          <w:p w14:paraId="6DE5796B" w14:textId="77777777" w:rsidR="00C50C19" w:rsidRDefault="00AD27F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14:paraId="176FF589" w14:textId="77777777" w:rsidR="00C50C19" w:rsidRDefault="00AD27F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(Преимущество)</w:t>
            </w:r>
          </w:p>
        </w:tc>
      </w:tr>
      <w:tr w:rsidR="00C50C19" w14:paraId="2B6C583D" w14:textId="77777777">
        <w:trPr>
          <w:trHeight w:val="275"/>
          <w:jc w:val="center"/>
        </w:trPr>
        <w:tc>
          <w:tcPr>
            <w:tcW w:w="456" w:type="dxa"/>
          </w:tcPr>
          <w:p w14:paraId="3F2BC921" w14:textId="77777777" w:rsidR="00C50C19" w:rsidRDefault="00AD27F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FBCC0" w14:textId="77777777" w:rsidR="00C50C19" w:rsidRDefault="00AD27F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31.01.11.129</w:t>
            </w:r>
          </w:p>
        </w:tc>
        <w:tc>
          <w:tcPr>
            <w:tcW w:w="3088" w:type="dxa"/>
          </w:tcPr>
          <w:p w14:paraId="7588C958" w14:textId="77777777" w:rsidR="00C50C19" w:rsidRDefault="00AD27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сушильный для одежды и обуви</w:t>
            </w:r>
          </w:p>
        </w:tc>
        <w:tc>
          <w:tcPr>
            <w:tcW w:w="1417" w:type="dxa"/>
          </w:tcPr>
          <w:p w14:paraId="1BA12CA2" w14:textId="77777777" w:rsidR="00C50C19" w:rsidRDefault="00C50C19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139F97A" w14:textId="77777777" w:rsidR="00C50C19" w:rsidRDefault="00AD27F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2224" w:type="dxa"/>
          </w:tcPr>
          <w:p w14:paraId="782480C1" w14:textId="77777777" w:rsidR="00C50C19" w:rsidRDefault="00C50C19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81D3D4" w14:textId="77777777" w:rsidR="00C50C19" w:rsidRDefault="00C50C19">
      <w:pPr>
        <w:ind w:right="310"/>
        <w:jc w:val="center"/>
        <w:rPr>
          <w:b/>
          <w:sz w:val="22"/>
          <w:szCs w:val="22"/>
        </w:rPr>
      </w:pPr>
    </w:p>
    <w:p w14:paraId="6DA86AA4" w14:textId="77777777" w:rsidR="00C50C19" w:rsidRDefault="00C50C19">
      <w:pPr>
        <w:ind w:right="310"/>
        <w:jc w:val="center"/>
        <w:rPr>
          <w:b/>
          <w:sz w:val="22"/>
          <w:szCs w:val="22"/>
        </w:rPr>
      </w:pPr>
    </w:p>
    <w:p w14:paraId="711014E1" w14:textId="77777777" w:rsidR="00C50C19" w:rsidRDefault="00AD27F7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1. Характеристики товара:</w:t>
      </w:r>
    </w:p>
    <w:tbl>
      <w:tblPr>
        <w:tblStyle w:val="StGen0"/>
        <w:tblW w:w="100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2801"/>
        <w:gridCol w:w="5103"/>
        <w:gridCol w:w="708"/>
        <w:gridCol w:w="768"/>
      </w:tblGrid>
      <w:tr w:rsidR="00C50C19" w14:paraId="5F9A94FA" w14:textId="77777777">
        <w:trPr>
          <w:jc w:val="center"/>
        </w:trPr>
        <w:tc>
          <w:tcPr>
            <w:tcW w:w="635" w:type="dxa"/>
          </w:tcPr>
          <w:p w14:paraId="10FDECF5" w14:textId="77777777" w:rsidR="00C50C19" w:rsidRDefault="00AD27F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01" w:type="dxa"/>
          </w:tcPr>
          <w:p w14:paraId="78783829" w14:textId="77777777" w:rsidR="00C50C19" w:rsidRDefault="00AD27F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103" w:type="dxa"/>
          </w:tcPr>
          <w:p w14:paraId="370F6FD6" w14:textId="77777777" w:rsidR="00C50C19" w:rsidRDefault="00AD27F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Характеристики</w:t>
            </w:r>
          </w:p>
        </w:tc>
        <w:tc>
          <w:tcPr>
            <w:tcW w:w="708" w:type="dxa"/>
          </w:tcPr>
          <w:p w14:paraId="664230CB" w14:textId="77777777" w:rsidR="00C50C19" w:rsidRDefault="00AD27F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68" w:type="dxa"/>
          </w:tcPr>
          <w:p w14:paraId="1456C39A" w14:textId="77777777" w:rsidR="00C50C19" w:rsidRDefault="00AD27F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C50C19" w14:paraId="35A87871" w14:textId="77777777">
        <w:trPr>
          <w:jc w:val="center"/>
        </w:trPr>
        <w:tc>
          <w:tcPr>
            <w:tcW w:w="635" w:type="dxa"/>
          </w:tcPr>
          <w:p w14:paraId="48523733" w14:textId="77777777" w:rsidR="00C50C19" w:rsidRDefault="00AD27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01" w:type="dxa"/>
          </w:tcPr>
          <w:p w14:paraId="151C8D73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сушильный для одежды и обуви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1788A937" wp14:editId="70D051CF">
                  <wp:extent cx="1619250" cy="1552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619480" cy="155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B3A2A" w14:textId="77777777" w:rsidR="00C50C19" w:rsidRDefault="00C50C19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43A31860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секций : не менее 5</w:t>
            </w:r>
          </w:p>
          <w:p w14:paraId="62EB00C7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Габаритные размеры: (ширина х высота x глубина)</w:t>
            </w:r>
          </w:p>
          <w:p w14:paraId="6C89AD54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1350 * 1370 * 370 мм</w:t>
            </w:r>
          </w:p>
          <w:p w14:paraId="78CB63F3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 шкафа: сталь 1, покрытая порошковой эмалью </w:t>
            </w:r>
          </w:p>
          <w:p w14:paraId="2DC66BF9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дверей: распашные</w:t>
            </w:r>
          </w:p>
          <w:p w14:paraId="3028EB53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Сборка мебели: сборно-разборный</w:t>
            </w:r>
          </w:p>
          <w:p w14:paraId="2CD8AE03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</w:t>
            </w:r>
            <w:r>
              <w:rPr>
                <w:sz w:val="22"/>
                <w:szCs w:val="22"/>
              </w:rPr>
              <w:t>тация: не менее 10</w:t>
            </w:r>
          </w:p>
          <w:p w14:paraId="0F988149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перфорированных полок в верхней части шкафа (по не менее 2 шт. в каждой секции); не менее 5 шт. двойных крючков</w:t>
            </w:r>
          </w:p>
          <w:p w14:paraId="68A478FA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Производительность вентилятора: не менее 600 куб. м/ч общая, не менее </w:t>
            </w:r>
            <w:r>
              <w:rPr>
                <w:sz w:val="22"/>
                <w:szCs w:val="22"/>
              </w:rPr>
              <w:t>120 куб. м/ч на каждую секцию</w:t>
            </w:r>
          </w:p>
          <w:p w14:paraId="08C1F626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шума: не более 42 дБ</w:t>
            </w:r>
          </w:p>
          <w:p w14:paraId="140CD5CA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Напряжение: 220 В</w:t>
            </w:r>
          </w:p>
          <w:p w14:paraId="4B7272E2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Ток: не менее 4,5 А</w:t>
            </w:r>
          </w:p>
          <w:p w14:paraId="00AE3367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нагревательного элемента: конвектор</w:t>
            </w:r>
          </w:p>
          <w:p w14:paraId="35F6AE17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Мощность: не менее 1кВт</w:t>
            </w:r>
          </w:p>
          <w:p w14:paraId="5381809F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от перегрева: наличие</w:t>
            </w:r>
          </w:p>
          <w:p w14:paraId="2A303804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Влагозащищенность: не требует предварительного отжима одежды</w:t>
            </w:r>
          </w:p>
          <w:p w14:paraId="16E1CCA5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в</w:t>
            </w:r>
            <w:r>
              <w:rPr>
                <w:sz w:val="22"/>
                <w:szCs w:val="22"/>
              </w:rPr>
              <w:t>ентилятора: осевой</w:t>
            </w:r>
          </w:p>
          <w:p w14:paraId="6F748B96" w14:textId="77777777" w:rsidR="00C50C19" w:rsidRDefault="00AD2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по согласованию с заказчиком</w:t>
            </w:r>
          </w:p>
        </w:tc>
        <w:tc>
          <w:tcPr>
            <w:tcW w:w="708" w:type="dxa"/>
          </w:tcPr>
          <w:p w14:paraId="651BFBCA" w14:textId="77777777" w:rsidR="00C50C19" w:rsidRDefault="00AD2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768" w:type="dxa"/>
          </w:tcPr>
          <w:p w14:paraId="7D976FC9" w14:textId="680B7AAF" w:rsidR="00C50C19" w:rsidRDefault="00272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1B215BCC" w14:textId="77777777" w:rsidR="00C50C19" w:rsidRDefault="00AD27F7">
      <w:pPr>
        <w:ind w:left="426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Фотография, макет, эскиз (носят информативный характер – допускается изменение внешнего вида по согласованию с Заказчиком)</w:t>
      </w:r>
    </w:p>
    <w:p w14:paraId="69CB654B" w14:textId="77777777" w:rsidR="00C50C19" w:rsidRDefault="00AD27F7">
      <w:pPr>
        <w:ind w:firstLine="709"/>
        <w:jc w:val="both"/>
        <w:rPr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t>2. Место поставки:</w:t>
      </w:r>
      <w:r>
        <w:rPr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628147, Ханты-Мансийский - Югра автономный округ, Березовский район, поселок Светлый, Набережная, 59А</w:t>
      </w:r>
    </w:p>
    <w:p w14:paraId="3AF9D353" w14:textId="77777777" w:rsidR="00C50C19" w:rsidRDefault="00AD27F7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highlight w:val="yellow"/>
        </w:rPr>
        <w:t xml:space="preserve">3. Срок поставки: </w:t>
      </w:r>
      <w:r>
        <w:rPr>
          <w:sz w:val="22"/>
          <w:szCs w:val="22"/>
          <w:highlight w:val="yellow"/>
        </w:rPr>
        <w:t>в течение 30 календарных дней с даты заключения договора.</w:t>
      </w:r>
    </w:p>
    <w:p w14:paraId="1D2CF245" w14:textId="77777777" w:rsidR="00C50C19" w:rsidRDefault="00AD27F7">
      <w:pPr>
        <w:ind w:firstLine="709"/>
        <w:jc w:val="both"/>
        <w:rPr>
          <w:sz w:val="22"/>
          <w:szCs w:val="22"/>
          <w:shd w:val="clear" w:color="auto" w:fill="F9FAFB"/>
        </w:rPr>
      </w:pPr>
      <w:r>
        <w:rPr>
          <w:sz w:val="22"/>
          <w:szCs w:val="22"/>
        </w:rPr>
        <w:t>3.1. Доставка, погрузочно-разгрузочные работы производятся за счет Поставщика.</w:t>
      </w:r>
    </w:p>
    <w:p w14:paraId="6056EFBF" w14:textId="77777777" w:rsidR="00C50C19" w:rsidRDefault="00AD27F7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Требования к качеству, безопасности поставляемого товара:</w:t>
      </w:r>
    </w:p>
    <w:p w14:paraId="02385273" w14:textId="77777777" w:rsidR="00C50C19" w:rsidRDefault="00AD27F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45BFB402" w14:textId="77777777" w:rsidR="00C50C19" w:rsidRDefault="00AD27F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</w:t>
      </w:r>
      <w:r>
        <w:rPr>
          <w:bCs/>
          <w:sz w:val="22"/>
          <w:szCs w:val="22"/>
        </w:rPr>
        <w:lastRenderedPageBreak/>
        <w:t>установленным требованиям Российской Федерации, ГОСТ, ОСТ,</w:t>
      </w:r>
      <w:r>
        <w:rPr>
          <w:bCs/>
          <w:sz w:val="22"/>
          <w:szCs w:val="22"/>
        </w:rPr>
        <w:t xml:space="preserve">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6698D57" w14:textId="77777777" w:rsidR="00C50C19" w:rsidRDefault="00AD27F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4.3. Поставляемый Товар должен являться новым, ранее не использованным (все составные части </w:t>
      </w:r>
      <w:r>
        <w:rPr>
          <w:bCs/>
          <w:sz w:val="22"/>
          <w:szCs w:val="22"/>
        </w:rPr>
        <w:t>Товара должны быть новыми), не должен иметь дефектов;</w:t>
      </w:r>
    </w:p>
    <w:p w14:paraId="7A602090" w14:textId="77777777" w:rsidR="00C50C19" w:rsidRDefault="00AD27F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</w:t>
      </w:r>
      <w:r>
        <w:rPr>
          <w:bCs/>
          <w:sz w:val="22"/>
          <w:szCs w:val="22"/>
        </w:rPr>
        <w:t>еской документации;</w:t>
      </w:r>
    </w:p>
    <w:p w14:paraId="54CE2BF9" w14:textId="77777777" w:rsidR="00C50C19" w:rsidRDefault="00AD27F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0479CC72" w14:textId="77777777" w:rsidR="00C50C19" w:rsidRDefault="00AD27F7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Требования к упаковке и мар</w:t>
      </w:r>
      <w:r>
        <w:rPr>
          <w:b/>
          <w:sz w:val="22"/>
          <w:szCs w:val="22"/>
        </w:rPr>
        <w:t>кировке поставляемого товара:</w:t>
      </w:r>
    </w:p>
    <w:p w14:paraId="4FA4F4D9" w14:textId="77777777" w:rsidR="00C50C19" w:rsidRDefault="00AD27F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</w:t>
      </w:r>
      <w:r>
        <w:rPr>
          <w:bCs/>
          <w:sz w:val="22"/>
          <w:szCs w:val="22"/>
        </w:rPr>
        <w:t>одержаться отчетливая информация на русском языке;</w:t>
      </w:r>
    </w:p>
    <w:p w14:paraId="065214F5" w14:textId="77777777" w:rsidR="00C50C19" w:rsidRDefault="00AD27F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</w:t>
      </w:r>
      <w:r>
        <w:rPr>
          <w:bCs/>
          <w:sz w:val="22"/>
          <w:szCs w:val="22"/>
        </w:rPr>
        <w:t>и, без нарушения целостности со специальной маркировкой;</w:t>
      </w:r>
    </w:p>
    <w:p w14:paraId="15FAB29B" w14:textId="77777777" w:rsidR="00C50C19" w:rsidRDefault="00AD27F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DA28F3E" w14:textId="77777777" w:rsidR="00C50C19" w:rsidRDefault="00AD27F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5.4. Упаковка и маркировка товара должна соответствовать треб</w:t>
      </w:r>
      <w:r>
        <w:rPr>
          <w:bCs/>
          <w:sz w:val="22"/>
          <w:szCs w:val="22"/>
        </w:rPr>
        <w:t>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</w:t>
      </w:r>
      <w:r>
        <w:rPr>
          <w:bCs/>
          <w:sz w:val="22"/>
          <w:szCs w:val="22"/>
        </w:rPr>
        <w:t>кировке товара.</w:t>
      </w:r>
    </w:p>
    <w:p w14:paraId="705E1A6F" w14:textId="77777777" w:rsidR="00C50C19" w:rsidRDefault="00AD27F7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6528F727" w14:textId="77777777" w:rsidR="00C50C19" w:rsidRDefault="00AD27F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6F9E837C" w14:textId="77777777" w:rsidR="00C50C19" w:rsidRDefault="00AD27F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6.2. Гарантийные обязательства должны расп</w:t>
      </w:r>
      <w:r>
        <w:rPr>
          <w:bCs/>
          <w:sz w:val="22"/>
          <w:szCs w:val="22"/>
        </w:rPr>
        <w:t>ространяться на каждую единицу товара с момента приемки товара Заказчиком.</w:t>
      </w:r>
    </w:p>
    <w:p w14:paraId="2F27109A" w14:textId="77777777" w:rsidR="00C50C19" w:rsidRDefault="00AD27F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</w:t>
      </w:r>
      <w:r>
        <w:rPr>
          <w:bCs/>
          <w:sz w:val="22"/>
          <w:szCs w:val="22"/>
        </w:rPr>
        <w:t>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08B4B4CC" w14:textId="77777777" w:rsidR="00C50C19" w:rsidRDefault="00C50C19">
      <w:pPr>
        <w:ind w:firstLine="709"/>
        <w:jc w:val="both"/>
        <w:rPr>
          <w:sz w:val="22"/>
          <w:szCs w:val="22"/>
        </w:rPr>
      </w:pPr>
    </w:p>
    <w:sectPr w:rsidR="00C50C19">
      <w:pgSz w:w="12240" w:h="15840"/>
      <w:pgMar w:top="720" w:right="720" w:bottom="720" w:left="720" w:header="709" w:footer="709" w:gutter="0"/>
      <w:pgNumType w:start="1"/>
      <w:cols w:space="720"/>
      <w:docGrid w:linePitch="360"/>
    </w:sectPr>
    <!-- MKR-1056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EFA4B" w14:textId="77777777" w:rsidR="00AD27F7" w:rsidRDefault="00AD27F7">
      <w:r>
        <w:separator/>
      </w:r>
    </w:p>
  </w:endnote>
  <w:endnote w:type="continuationSeparator" w:id="0">
    <w:p w14:paraId="44508A92" w14:textId="77777777" w:rsidR="00AD27F7" w:rsidRDefault="00AD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Grande CY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7962A" w14:textId="77777777" w:rsidR="00AD27F7" w:rsidRDefault="00AD27F7">
      <w:r>
        <w:separator/>
      </w:r>
    </w:p>
  </w:footnote>
  <w:footnote w:type="continuationSeparator" w:id="0">
    <w:p w14:paraId="340637E8" w14:textId="77777777" w:rsidR="00AD27F7" w:rsidRDefault="00AD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C19"/>
    <w:rsid w:val="002729D7"/>
    <w:rsid w:val="00AD27F7"/>
    <w:rsid w:val="00C5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21E4"/>
  <w15:docId w15:val="{2ADE7661-15E2-42F0-8F68-32378C23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line="259" w:lineRule="auto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line="259" w:lineRule="auto"/>
      <w:outlineLvl w:val="2"/>
    </w:pPr>
    <w:rPr>
      <w:rFonts w:ascii="Calibri" w:eastAsia="Calibri" w:hAnsi="Calibri" w:cs="Calibri"/>
      <w:b/>
      <w:color w:val="5B9BD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line="259" w:lineRule="auto"/>
      <w:outlineLvl w:val="3"/>
    </w:pPr>
    <w:rPr>
      <w:rFonts w:ascii="Calibri" w:eastAsia="Calibri" w:hAnsi="Calibri" w:cs="Calibri"/>
      <w:i/>
      <w:color w:val="2E75B5"/>
      <w:sz w:val="22"/>
      <w:szCs w:val="22"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Заголовок 5 Знак1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10">
    <w:name w:val="Заголовок Знак1"/>
    <w:basedOn w:val="a0"/>
    <w:link w:val="a3"/>
    <w:uiPriority w:val="10"/>
    <w:rPr>
      <w:sz w:val="48"/>
      <w:szCs w:val="48"/>
    </w:rPr>
  </w:style>
  <w:style w:type="character" w:customStyle="1" w:styleId="11">
    <w:name w:val="Подзаголовок Знак1"/>
    <w:basedOn w:val="a0"/>
    <w:link w:val="a4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10"/>
    <w:uiPriority w:val="10"/>
    <w:qFormat/>
    <w:pPr>
      <w:spacing w:before="300" w:after="200"/>
    </w:pPr>
    <w:rPr>
      <w:sz w:val="48"/>
      <w:szCs w:val="4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basedOn w:val="a0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3">
    <w:name w:val="toc 5"/>
    <w:uiPriority w:val="39"/>
    <w:unhideWhenUsed/>
    <w:pPr>
      <w:spacing w:after="57"/>
      <w:ind w:left="1134"/>
    </w:pPr>
  </w:style>
  <w:style w:type="paragraph" w:styleId="62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uiPriority w:val="99"/>
    <w:unhideWhenUsed/>
  </w:style>
  <w:style w:type="table" w:styleId="a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color w:val="000000"/>
    </w:rPr>
  </w:style>
  <w:style w:type="character" w:customStyle="1" w:styleId="14">
    <w:name w:val="Заголовок 1 Знак"/>
    <w:basedOn w:val="a0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ody Text"/>
    <w:link w:val="af7"/>
    <w:uiPriority w:val="1"/>
    <w:qFormat/>
    <w:pPr>
      <w:widowControl w:val="0"/>
    </w:pPr>
    <w:rPr>
      <w:lang w:bidi="ru-RU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8">
    <w:name w:val="List Paragraph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Balloon Text"/>
    <w:link w:val="afb"/>
    <w:uiPriority w:val="99"/>
    <w:semiHidden/>
    <w:unhideWhenUsed/>
    <w:rPr>
      <w:rFonts w:ascii="Lucida Grande CY" w:eastAsiaTheme="minorHAnsi" w:hAnsi="Lucida Grande CY" w:cs="Lucida Grande CY"/>
      <w:sz w:val="18"/>
      <w:szCs w:val="18"/>
      <w:lang w:eastAsia="en-US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Lucida Grande CY" w:hAnsi="Lucida Grande CY" w:cs="Lucida Grande CY"/>
      <w:sz w:val="18"/>
      <w:szCs w:val="18"/>
    </w:rPr>
  </w:style>
  <w:style w:type="character" w:customStyle="1" w:styleId="24">
    <w:name w:val="Заголовок 2 Знак"/>
    <w:basedOn w:val="a0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3">
    <w:name w:val="Заголовок 3 Знак"/>
    <w:basedOn w:val="a0"/>
    <w:uiPriority w:val="9"/>
    <w:semiHidden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b">
    <w:name w:val="caption"/>
    <w:link w:val="aa"/>
    <w:uiPriority w:val="35"/>
    <w:unhideWhenUsed/>
    <w:qFormat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paragraph" w:styleId="afc">
    <w:name w:val="header"/>
    <w:link w:val="afd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link w:val="aff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43">
    <w:name w:val="Заголовок 4 Знак"/>
    <w:basedOn w:val="a0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msonormal0">
    <w:name w:val="msonormal"/>
    <w:pPr>
      <w:spacing w:before="100" w:beforeAutospacing="1" w:after="100" w:afterAutospacing="1"/>
    </w:pPr>
  </w:style>
  <w:style w:type="paragraph" w:customStyle="1" w:styleId="s5">
    <w:name w:val="s5"/>
    <w:pPr>
      <w:spacing w:before="100" w:beforeAutospacing="1" w:after="100" w:afterAutospacing="1"/>
    </w:pPr>
  </w:style>
  <w:style w:type="character" w:customStyle="1" w:styleId="s17">
    <w:name w:val="s17"/>
    <w:basedOn w:val="a0"/>
  </w:style>
  <w:style w:type="paragraph" w:customStyle="1" w:styleId="s11">
    <w:name w:val="s11"/>
    <w:pPr>
      <w:spacing w:before="100" w:beforeAutospacing="1" w:after="100" w:afterAutospacing="1"/>
    </w:pPr>
  </w:style>
  <w:style w:type="paragraph" w:styleId="aff0">
    <w:name w:val="Normal (Web)"/>
    <w:uiPriority w:val="99"/>
    <w:unhideWhenUsed/>
    <w:pPr>
      <w:spacing w:before="100" w:beforeAutospacing="1" w:after="100" w:afterAutospacing="1"/>
    </w:pPr>
  </w:style>
  <w:style w:type="paragraph" w:customStyle="1" w:styleId="s19">
    <w:name w:val="s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paragraph" w:customStyle="1" w:styleId="s2">
    <w:name w:val="s2"/>
    <w:pPr>
      <w:spacing w:before="100" w:beforeAutospacing="1" w:after="100" w:afterAutospacing="1"/>
    </w:pPr>
  </w:style>
  <w:style w:type="paragraph" w:customStyle="1" w:styleId="s22">
    <w:name w:val="s22"/>
    <w:pPr>
      <w:spacing w:before="100" w:beforeAutospacing="1" w:after="100" w:afterAutospacing="1"/>
    </w:pPr>
  </w:style>
  <w:style w:type="character" w:customStyle="1" w:styleId="s23">
    <w:name w:val="s23"/>
    <w:basedOn w:val="a0"/>
  </w:style>
  <w:style w:type="character" w:customStyle="1" w:styleId="s24">
    <w:name w:val="s24"/>
    <w:basedOn w:val="a0"/>
  </w:style>
  <w:style w:type="paragraph" w:customStyle="1" w:styleId="s27">
    <w:name w:val="s27"/>
    <w:pPr>
      <w:spacing w:before="100" w:beforeAutospacing="1" w:after="100" w:afterAutospacing="1"/>
    </w:pPr>
  </w:style>
  <w:style w:type="paragraph" w:styleId="aff1">
    <w:name w:val="annotation text"/>
    <w:link w:val="aff2"/>
    <w:uiPriority w:val="99"/>
    <w:unhideWhenUsed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f2">
    <w:name w:val="Текст примечания Знак"/>
    <w:basedOn w:val="a0"/>
    <w:link w:val="aff1"/>
    <w:uiPriority w:val="99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customStyle="1" w:styleId="25">
    <w:name w:val="Абзац списка2"/>
    <w:pPr>
      <w:widowControl w:val="0"/>
      <w:ind w:left="708"/>
    </w:pPr>
  </w:style>
  <w:style w:type="paragraph" w:styleId="a4">
    <w:name w:val="Subtitle"/>
    <w:basedOn w:val="a"/>
    <w:next w:val="a"/>
    <w:link w:val="11"/>
    <w:uiPriority w:val="11"/>
    <w:qFormat/>
    <w:pPr>
      <w:spacing w:before="200" w:after="200"/>
    </w:p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4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d9OVyyV0RDj5xSVuulosC9wDg==">CgMxLjA4AHIhMTJvdEVCQUJzSmxZd0tQVU8wRDJRNlBrRjk1TnJpSzlN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DOC-MARKER-Ae4lkkgXwJMYGwaGQ4DjoQ</dc:description>
  <dc:creator>МирСD</dc:creator>
  <cp:lastModifiedBy>Личманова Оксана Юрьевна</cp:lastModifiedBy>
  <cp:revision>27</cp:revision>
  <dcterms:created xsi:type="dcterms:W3CDTF">2026-03-13T06:34:00Z</dcterms:created>
  <dcterms:modified xsi:type="dcterms:W3CDTF">2026-03-25T05:29:00Z</dcterms:modified>
</cp:coreProperties>
</file>