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2544986" w14:textId="77777777" w:rsidR="00ED601A" w:rsidRDefault="00ED601A" w:rsidP="00ED601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spellStart"/>
      <w:r>
        <w:rPr>
          <w:rFonts w:ascii="Times New Roman" w:eastAsia="Times New Roman" w:hAnsi="Times New Roman" w:cs="Times New Roman"/>
          <w:b/>
          <w:bCs/>
          <w:lang w:eastAsia="ru-RU"/>
        </w:rPr>
        <w:t>Ге</w:t>
      </w:r>
      <w:proofErr w:type="spellEnd"/>
      <w:r>
        <w:rPr>
          <w:rFonts w:ascii="Times New Roman" w:eastAsia="Times New Roman" w:hAnsi="Times New Roman" w:cs="Times New Roman"/>
          <w:b/>
          <w:bCs/>
          <w:lang w:eastAsia="ru-RU"/>
        </w:rPr>
        <w:t>​​‌﻿﻿‍‍‌‍​‌‌‌﻿​​⁠​‍⁠​⁠​​‍‍⁠‌​‌⁠‌​‌⁠﻿⁠﻿⁠​‍﻿‌​</w:t>
      </w:r>
      <w:proofErr w:type="spellStart"/>
      <w:r>
        <w:rPr>
          <w:rFonts w:ascii="Times New Roman" w:eastAsia="Times New Roman" w:hAnsi="Times New Roman" w:cs="Times New Roman"/>
          <w:b/>
          <w:bCs/>
          <w:lang w:eastAsia="ru-RU"/>
        </w:rPr>
        <w:t>неральный</w:t>
      </w:r>
      <w:proofErr w:type="spellEnd"/>
      <w:r>
        <w:rPr>
          <w:rFonts w:ascii="Times New Roman" w:eastAsia="Times New Roman" w:hAnsi="Times New Roman" w:cs="Times New Roman"/>
          <w:b/>
          <w:bCs/>
          <w:lang w:eastAsia="ru-RU"/>
        </w:rPr>
        <w:t xml:space="preserve"> директор</w:t>
      </w:r>
    </w:p>
    <w:p w14:paraId="46955B18" w14:textId="77777777" w:rsidR="00ED601A" w:rsidRDefault="00ED601A" w:rsidP="00ED601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ООО «ИТЭ»</w:t>
      </w:r>
    </w:p>
    <w:p w14:paraId="6AD47125" w14:textId="77777777" w:rsidR="00ED601A" w:rsidRDefault="00ED601A" w:rsidP="00ED601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 Илюхин А.Ю.</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0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2349915A" w:rsidR="00B935D1" w:rsidRPr="00F02ACD" w:rsidRDefault="00F451B5"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07.05.2026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380F7257" w:rsidR="00B935D1" w:rsidRPr="005F3628" w:rsidRDefault="00B23783" w:rsidP="005F3628">
      <w:pPr>
        <w:spacing w:after="200" w:line="276" w:lineRule="auto"/>
        <w:contextualSpacing/>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5F3628" w:rsidRPr="005F3628">
        <w:rPr>
          <w:rFonts w:ascii="Times New Roman" w:eastAsia="Calibri" w:hAnsi="Times New Roman" w:cs="Times New Roman"/>
          <w:b/>
          <w:color w:val="000000"/>
        </w:rPr>
        <w:t>выполнение работ по демонтажу и монтажу аккумуляторного бака</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pPr w:leftFromText="180" w:rightFromText="180" w:vertAnchor="text" w:horzAnchor="margin" w:tblpY="16"/>
        <w:tblW w:w="0" w:type="auto"/>
        <w:tblLook w:val="04A0" w:firstRow="1" w:lastRow="0" w:firstColumn="1" w:lastColumn="0" w:noHBand="0" w:noVBand="1"/>
      </w:tblPr>
      <w:tblGrid>
        <w:gridCol w:w="4267"/>
        <w:gridCol w:w="5588"/>
      </w:tblGrid>
      <w:tr w:rsidR="00ED601A" w14:paraId="4B43D48B" w14:textId="77777777" w:rsidTr="00ED601A">
        <w:tc>
          <w:tcPr>
            <w:tcW w:w="4267" w:type="dxa"/>
            <w:shd w:val="clear" w:color="auto" w:fill="D9E2F3" w:themeFill="accent1" w:themeFillTint="33"/>
          </w:tcPr>
          <w:p w14:paraId="1E957EE2" w14:textId="77777777" w:rsidR="00ED601A" w:rsidRPr="00BC6C35" w:rsidRDefault="00ED601A" w:rsidP="00ED601A">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88" w:type="dxa"/>
          </w:tcPr>
          <w:p w14:paraId="68316D87" w14:textId="77777777" w:rsidR="00ED601A" w:rsidRPr="000306BD" w:rsidRDefault="00ED601A" w:rsidP="00ED601A">
            <w:pPr>
              <w:widowControl w:val="0"/>
              <w:contextualSpacing/>
              <w:jc w:val="both"/>
              <w:rPr>
                <w:rFonts w:ascii="Times New Roman" w:eastAsia="Times New Roman" w:hAnsi="Times New Roman"/>
                <w:iCs/>
                <w:highlight w:val="yellow"/>
              </w:rPr>
            </w:pPr>
            <w:r w:rsidRPr="00B3410A">
              <w:rPr>
                <w:rFonts w:ascii="Times New Roman" w:eastAsia="Times New Roman" w:hAnsi="Times New Roman"/>
                <w:bCs/>
              </w:rPr>
              <w:t>Общество с ограниченной ответственностью «Инновационная теплоэнергетика»</w:t>
            </w:r>
          </w:p>
        </w:tc>
      </w:tr>
      <w:tr w:rsidR="00ED601A" w14:paraId="3D6FD9A4" w14:textId="77777777" w:rsidTr="00ED601A">
        <w:tc>
          <w:tcPr>
            <w:tcW w:w="4267" w:type="dxa"/>
            <w:shd w:val="clear" w:color="auto" w:fill="D9E2F3" w:themeFill="accent1" w:themeFillTint="33"/>
          </w:tcPr>
          <w:p w14:paraId="043DC60C" w14:textId="77777777" w:rsidR="00ED601A" w:rsidRPr="00BC6C35" w:rsidRDefault="00ED601A" w:rsidP="00ED601A">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88" w:type="dxa"/>
          </w:tcPr>
          <w:p w14:paraId="50E35CE7" w14:textId="77777777" w:rsidR="00ED601A" w:rsidRPr="000306BD" w:rsidRDefault="00ED601A" w:rsidP="00ED601A">
            <w:pPr>
              <w:widowControl w:val="0"/>
              <w:contextualSpacing/>
              <w:jc w:val="both"/>
              <w:rPr>
                <w:rFonts w:ascii="Times New Roman" w:eastAsia="Times New Roman" w:hAnsi="Times New Roman"/>
                <w:bCs/>
                <w:highlight w:val="yellow"/>
              </w:rPr>
            </w:pPr>
            <w:r w:rsidRPr="00B3410A">
              <w:rPr>
                <w:rFonts w:ascii="Times New Roman" w:eastAsia="Times New Roman" w:hAnsi="Times New Roman"/>
                <w:bCs/>
              </w:rPr>
              <w:t>ООО «ИТЭ»</w:t>
            </w:r>
          </w:p>
        </w:tc>
      </w:tr>
      <w:tr w:rsidR="00ED601A" w14:paraId="4B22FF3D" w14:textId="77777777" w:rsidTr="00ED601A">
        <w:tc>
          <w:tcPr>
            <w:tcW w:w="4267" w:type="dxa"/>
            <w:shd w:val="clear" w:color="auto" w:fill="D9E2F3" w:themeFill="accent1" w:themeFillTint="33"/>
          </w:tcPr>
          <w:p w14:paraId="06FD4C9C" w14:textId="77777777" w:rsidR="00ED601A" w:rsidRPr="00BC6C35" w:rsidRDefault="00ED601A" w:rsidP="00ED601A">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88" w:type="dxa"/>
          </w:tcPr>
          <w:p w14:paraId="3E70C2F4" w14:textId="77777777" w:rsidR="00ED601A" w:rsidRDefault="00ED601A" w:rsidP="00ED601A">
            <w:pPr>
              <w:widowControl w:val="0"/>
              <w:contextualSpacing/>
              <w:jc w:val="both"/>
              <w:rPr>
                <w:rFonts w:ascii="Times New Roman" w:eastAsia="Times New Roman" w:hAnsi="Times New Roman"/>
                <w:bCs/>
              </w:rPr>
            </w:pPr>
            <w:r w:rsidRPr="00B3410A">
              <w:rPr>
                <w:rFonts w:ascii="Times New Roman" w:eastAsia="Times New Roman" w:hAnsi="Times New Roman"/>
                <w:bCs/>
              </w:rPr>
              <w:t>454091 г. Челябинск, ул. Красная, д.4, оф.523</w:t>
            </w:r>
          </w:p>
          <w:p w14:paraId="06F3F305" w14:textId="77777777" w:rsidR="00ED601A" w:rsidRDefault="00ED601A" w:rsidP="00ED601A">
            <w:pPr>
              <w:widowControl w:val="0"/>
              <w:contextualSpacing/>
              <w:jc w:val="both"/>
              <w:rPr>
                <w:rFonts w:ascii="Times New Roman" w:eastAsia="Times New Roman" w:hAnsi="Times New Roman"/>
                <w:iCs/>
              </w:rPr>
            </w:pPr>
            <w:r w:rsidRPr="00607DC3">
              <w:rPr>
                <w:rFonts w:ascii="Times New Roman" w:eastAsia="Times New Roman" w:hAnsi="Times New Roman"/>
                <w:iCs/>
              </w:rPr>
              <w:t>Обособленное подразделение по Мурманской области</w:t>
            </w:r>
          </w:p>
          <w:p w14:paraId="57BEBB44" w14:textId="77777777" w:rsidR="00ED601A" w:rsidRPr="000306BD" w:rsidRDefault="00ED601A" w:rsidP="00ED601A">
            <w:pPr>
              <w:widowControl w:val="0"/>
              <w:contextualSpacing/>
              <w:jc w:val="both"/>
              <w:rPr>
                <w:rFonts w:ascii="Times New Roman" w:eastAsia="Times New Roman" w:hAnsi="Times New Roman"/>
                <w:iCs/>
                <w:highlight w:val="yellow"/>
              </w:rPr>
            </w:pPr>
            <w:r w:rsidRPr="00607DC3">
              <w:rPr>
                <w:rFonts w:ascii="Times New Roman" w:eastAsia="Times New Roman" w:hAnsi="Times New Roman"/>
                <w:iCs/>
              </w:rPr>
              <w:t>183038, г. Мурманск, ул. Шмидта, д.4а, оф.408</w:t>
            </w:r>
          </w:p>
        </w:tc>
      </w:tr>
      <w:tr w:rsidR="00ED601A" w14:paraId="4D0982BA" w14:textId="77777777" w:rsidTr="00ED601A">
        <w:tc>
          <w:tcPr>
            <w:tcW w:w="4267" w:type="dxa"/>
            <w:shd w:val="clear" w:color="auto" w:fill="D9E2F3" w:themeFill="accent1" w:themeFillTint="33"/>
          </w:tcPr>
          <w:p w14:paraId="18A69158" w14:textId="77777777" w:rsidR="00ED601A" w:rsidRPr="00BC6C35" w:rsidRDefault="00ED601A" w:rsidP="00ED601A">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88" w:type="dxa"/>
          </w:tcPr>
          <w:p w14:paraId="492289B3" w14:textId="77777777" w:rsidR="00ED601A" w:rsidRPr="001E153C" w:rsidRDefault="00ED601A" w:rsidP="00ED601A">
            <w:pPr>
              <w:widowControl w:val="0"/>
              <w:contextualSpacing/>
              <w:jc w:val="both"/>
              <w:rPr>
                <w:rFonts w:ascii="Times New Roman" w:eastAsia="Times New Roman" w:hAnsi="Times New Roman"/>
                <w:bCs/>
              </w:rPr>
            </w:pPr>
            <w:r w:rsidRPr="00B3410A">
              <w:rPr>
                <w:rFonts w:ascii="Times New Roman" w:eastAsia="Times New Roman" w:hAnsi="Times New Roman"/>
                <w:bCs/>
              </w:rPr>
              <w:t>454091 г. Челябинск, ул. Красная, д.4, оф.523</w:t>
            </w:r>
          </w:p>
        </w:tc>
      </w:tr>
      <w:tr w:rsidR="00ED601A" w14:paraId="605E628F" w14:textId="77777777" w:rsidTr="00ED601A">
        <w:tc>
          <w:tcPr>
            <w:tcW w:w="4267" w:type="dxa"/>
            <w:shd w:val="clear" w:color="auto" w:fill="D9E2F3" w:themeFill="accent1" w:themeFillTint="33"/>
          </w:tcPr>
          <w:p w14:paraId="00E8E63A" w14:textId="77777777" w:rsidR="00ED601A" w:rsidRPr="00BC6C35" w:rsidRDefault="00ED601A" w:rsidP="00ED601A">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88" w:type="dxa"/>
          </w:tcPr>
          <w:p w14:paraId="01D4EB95" w14:textId="77777777" w:rsidR="00ED601A" w:rsidRPr="000306BD" w:rsidRDefault="00ED601A" w:rsidP="00ED601A">
            <w:pPr>
              <w:widowControl w:val="0"/>
              <w:contextualSpacing/>
              <w:jc w:val="both"/>
              <w:rPr>
                <w:rFonts w:ascii="Times New Roman" w:eastAsia="Times New Roman" w:hAnsi="Times New Roman"/>
                <w:iCs/>
                <w:highlight w:val="yellow"/>
              </w:rPr>
            </w:pPr>
            <w:r w:rsidRPr="002962C1">
              <w:rPr>
                <w:rFonts w:ascii="Times New Roman" w:eastAsia="Times New Roman" w:hAnsi="Times New Roman"/>
                <w:iCs/>
              </w:rPr>
              <w:t>ozdr@ite-sz.ru</w:t>
            </w:r>
          </w:p>
        </w:tc>
      </w:tr>
      <w:tr w:rsidR="00ED601A" w14:paraId="379DDF89" w14:textId="77777777" w:rsidTr="00ED601A">
        <w:tc>
          <w:tcPr>
            <w:tcW w:w="4267" w:type="dxa"/>
            <w:shd w:val="clear" w:color="auto" w:fill="D9E2F3" w:themeFill="accent1" w:themeFillTint="33"/>
          </w:tcPr>
          <w:p w14:paraId="1FF7EC77" w14:textId="77777777" w:rsidR="00ED601A" w:rsidRPr="00BC6C35" w:rsidRDefault="00ED601A" w:rsidP="00ED601A">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88" w:type="dxa"/>
          </w:tcPr>
          <w:p w14:paraId="05375AAA" w14:textId="77777777" w:rsidR="00ED601A" w:rsidRPr="000306BD" w:rsidRDefault="00ED601A" w:rsidP="00ED601A">
            <w:pPr>
              <w:widowControl w:val="0"/>
              <w:contextualSpacing/>
              <w:jc w:val="both"/>
              <w:rPr>
                <w:rFonts w:ascii="Times New Roman" w:eastAsia="Times New Roman" w:hAnsi="Times New Roman"/>
                <w:iCs/>
                <w:highlight w:val="yellow"/>
              </w:rPr>
            </w:pPr>
            <w:r>
              <w:rPr>
                <w:rFonts w:ascii="Times New Roman" w:eastAsia="Times New Roman" w:hAnsi="Times New Roman"/>
                <w:bCs/>
              </w:rPr>
              <w:t>+7 (922)700-11-39</w:t>
            </w:r>
          </w:p>
        </w:tc>
      </w:tr>
      <w:tr w:rsidR="00ED601A" w14:paraId="1E4EB896" w14:textId="77777777" w:rsidTr="00ED601A">
        <w:tc>
          <w:tcPr>
            <w:tcW w:w="4267" w:type="dxa"/>
            <w:shd w:val="clear" w:color="auto" w:fill="D9E2F3" w:themeFill="accent1" w:themeFillTint="33"/>
          </w:tcPr>
          <w:p w14:paraId="3E9551F4" w14:textId="77777777" w:rsidR="00ED601A" w:rsidRPr="00BC6C35" w:rsidRDefault="00ED601A" w:rsidP="00ED601A">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88" w:type="dxa"/>
          </w:tcPr>
          <w:p w14:paraId="0175C68D" w14:textId="77777777" w:rsidR="00ED601A" w:rsidRPr="000306BD" w:rsidRDefault="00ED601A" w:rsidP="00ED601A">
            <w:pPr>
              <w:widowControl w:val="0"/>
              <w:contextualSpacing/>
              <w:jc w:val="both"/>
              <w:rPr>
                <w:rFonts w:ascii="Times New Roman" w:eastAsia="Times New Roman" w:hAnsi="Times New Roman"/>
                <w:iCs/>
                <w:highlight w:val="yellow"/>
              </w:rPr>
            </w:pPr>
            <w:r w:rsidRPr="00B3410A">
              <w:rPr>
                <w:rFonts w:ascii="Times New Roman" w:eastAsia="Times New Roman" w:hAnsi="Times New Roman"/>
                <w:bCs/>
              </w:rPr>
              <w:t>Александрова Елена</w:t>
            </w:r>
          </w:p>
        </w:tc>
      </w:tr>
    </w:tbl>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7FB2D0E9" w14:textId="77777777" w:rsidR="00ED601A"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6C23DF27" w14:textId="2BD0AE13" w:rsidR="00252418" w:rsidRDefault="00252418">
      <w:pPr>
        <w:rPr>
          <w:rFonts w:ascii="Times New Roman" w:eastAsia="Times New Roman" w:hAnsi="Times New Roman" w:cs="Times New Roman"/>
          <w:iCs/>
          <w:lang w:eastAsia="ru-RU"/>
        </w:rPr>
      </w:pP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62D4C6A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56471448" w:rsidR="00ED601A" w:rsidRPr="00ED601A" w:rsidRDefault="00F451B5" w:rsidP="00D407F7">
            <w:pPr>
              <w:widowControl w:val="0"/>
              <w:jc w:val="both"/>
              <w:rPr>
                <w:rStyle w:val="1f4"/>
              </w:rPr>
            </w:pPr>
            <w:r>
              <w:rPr>
                <w:rStyle w:val="a6"/>
                <w:rFonts w:ascii="Times New Roman" w:hAnsi="Times New Roman"/>
              </w:rPr>
              <w:t>07</w:t>
            </w:r>
            <w:r w:rsidR="00ED601A" w:rsidRPr="00ED601A">
              <w:rPr>
                <w:rStyle w:val="a6"/>
                <w:rFonts w:ascii="Times New Roman" w:hAnsi="Times New Roman"/>
              </w:rPr>
              <w:t>.0</w:t>
            </w:r>
            <w:r>
              <w:rPr>
                <w:rStyle w:val="a6"/>
                <w:rFonts w:ascii="Times New Roman" w:hAnsi="Times New Roman"/>
              </w:rPr>
              <w:t>5</w:t>
            </w:r>
            <w:r w:rsidR="00ED601A" w:rsidRPr="00ED601A">
              <w:rPr>
                <w:rStyle w:val="a6"/>
                <w:rFonts w:ascii="Times New Roman" w:hAnsi="Times New Roman"/>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18T00:00:00Z">
                <w:dateFormat w:val="dd.MM.yyyy"/>
                <w:lid w:val="ru-RU"/>
                <w:storeMappedDataAs w:val="dateTime"/>
                <w:calendar w:val="gregorian"/>
              </w:date>
            </w:sdtPr>
            <w:sdtEndPr>
              <w:rPr>
                <w:rStyle w:val="a0"/>
                <w:rFonts w:ascii="Calibri" w:eastAsia="Times New Roman" w:hAnsi="Calibri"/>
              </w:rPr>
            </w:sdtEndPr>
            <w:sdtContent>
              <w:p w14:paraId="02EA6130" w14:textId="1A37602C" w:rsidR="00D407F7" w:rsidRPr="00BF5CF1" w:rsidRDefault="00F451B5" w:rsidP="00D407F7">
                <w:pPr>
                  <w:widowControl w:val="0"/>
                  <w:tabs>
                    <w:tab w:val="left" w:pos="247"/>
                    <w:tab w:val="left" w:pos="1130"/>
                  </w:tabs>
                  <w:ind w:left="33"/>
                  <w:contextualSpacing/>
                  <w:jc w:val="both"/>
                  <w:rPr>
                    <w:rStyle w:val="1f4"/>
                  </w:rPr>
                </w:pPr>
                <w:r>
                  <w:rPr>
                    <w:rStyle w:val="1f4"/>
                  </w:rPr>
                  <w:t>18.05.2026</w:t>
                </w:r>
              </w:p>
            </w:sdtContent>
          </w:sdt>
          <w:p w14:paraId="749F231C" w14:textId="4AE3185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D601A">
              <w:rPr>
                <w:rFonts w:ascii="Times New Roman" w:eastAsia="Times New Roman" w:hAnsi="Times New Roman"/>
                <w:iCs/>
              </w:rPr>
              <w:t>10</w:t>
            </w:r>
            <w:r w:rsidRPr="00BF5CF1">
              <w:rPr>
                <w:rFonts w:ascii="Times New Roman" w:eastAsia="Times New Roman" w:hAnsi="Times New Roman"/>
                <w:iCs/>
              </w:rPr>
              <w:t>:</w:t>
            </w:r>
            <w:r w:rsidR="00ED601A">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5-18T00:00:00Z">
                <w:dateFormat w:val="dd.MM.yyyy"/>
                <w:lid w:val="ru-RU"/>
                <w:storeMappedDataAs w:val="dateTime"/>
                <w:calendar w:val="gregorian"/>
              </w:date>
            </w:sdtPr>
            <w:sdtEndPr>
              <w:rPr>
                <w:rStyle w:val="a0"/>
                <w:rFonts w:ascii="Calibri" w:eastAsia="Times New Roman" w:hAnsi="Calibri"/>
              </w:rPr>
            </w:sdtEndPr>
            <w:sdtContent>
              <w:p w14:paraId="15E900F8" w14:textId="5F6B07A8" w:rsidR="00D407F7" w:rsidRPr="00BF5CF1" w:rsidRDefault="00F451B5" w:rsidP="00D407F7">
                <w:pPr>
                  <w:widowControl w:val="0"/>
                  <w:tabs>
                    <w:tab w:val="left" w:pos="247"/>
                    <w:tab w:val="left" w:pos="1130"/>
                  </w:tabs>
                  <w:ind w:left="33"/>
                  <w:contextualSpacing/>
                  <w:jc w:val="both"/>
                  <w:rPr>
                    <w:rStyle w:val="1f4"/>
                  </w:rPr>
                </w:pPr>
                <w:r>
                  <w:rPr>
                    <w:rStyle w:val="1f4"/>
                  </w:rPr>
                  <w:t>18.05.2026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5-18T00:00:00Z">
                <w:dateFormat w:val="dd.MM.yyyy"/>
                <w:lid w:val="ru-RU"/>
                <w:storeMappedDataAs w:val="dateTime"/>
                <w:calendar w:val="gregorian"/>
              </w:date>
            </w:sdtPr>
            <w:sdtEndPr>
              <w:rPr>
                <w:rStyle w:val="a0"/>
                <w:rFonts w:ascii="Calibri" w:eastAsia="Times New Roman" w:hAnsi="Calibri"/>
              </w:rPr>
            </w:sdtEndPr>
            <w:sdtContent>
              <w:p w14:paraId="6B3A6AE6" w14:textId="77E84EA2" w:rsidR="00D407F7" w:rsidRPr="00BF5CF1" w:rsidRDefault="00F451B5" w:rsidP="00D407F7">
                <w:pPr>
                  <w:widowControl w:val="0"/>
                  <w:tabs>
                    <w:tab w:val="left" w:pos="247"/>
                    <w:tab w:val="left" w:pos="1130"/>
                  </w:tabs>
                  <w:ind w:left="33"/>
                  <w:contextualSpacing/>
                  <w:jc w:val="both"/>
                  <w:rPr>
                    <w:rStyle w:val="1f4"/>
                  </w:rPr>
                </w:pPr>
                <w:r>
                  <w:rPr>
                    <w:rStyle w:val="1f4"/>
                  </w:rPr>
                  <w:t>18.05.2026</w:t>
                </w:r>
              </w:p>
            </w:sdtContent>
          </w:sdt>
          <w:p w14:paraId="3B23D831" w14:textId="1F8049FB" w:rsidR="00D407F7" w:rsidRPr="00BF5CF1" w:rsidRDefault="00ED601A"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9DE6F6F" w:rsidR="00D407F7" w:rsidRPr="00BF5CF1" w:rsidRDefault="00ED601A" w:rsidP="00D407F7">
            <w:pPr>
              <w:widowControl w:val="0"/>
              <w:jc w:val="both"/>
              <w:rPr>
                <w:rFonts w:ascii="Times New Roman" w:eastAsia="Times New Roman" w:hAnsi="Times New Roman"/>
                <w:iCs/>
                <w:highlight w:val="yellow"/>
              </w:rPr>
            </w:pPr>
            <w:r w:rsidRPr="00ED601A">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FD0F28C" w:rsidR="00D407F7" w:rsidRPr="00BF5CF1" w:rsidRDefault="00ED601A" w:rsidP="00D407F7">
            <w:pPr>
              <w:widowControl w:val="0"/>
              <w:jc w:val="both"/>
              <w:rPr>
                <w:rFonts w:ascii="Times New Roman" w:eastAsia="Times New Roman" w:hAnsi="Times New Roman"/>
                <w:iCs/>
                <w:highlight w:val="yellow"/>
              </w:rPr>
            </w:pPr>
            <w:r w:rsidRPr="00ED601A">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94557E5" w:rsidR="00D407F7" w:rsidRPr="00BF5CF1" w:rsidRDefault="00ED601A" w:rsidP="00D407F7">
            <w:pPr>
              <w:widowControl w:val="0"/>
              <w:jc w:val="both"/>
              <w:rPr>
                <w:rFonts w:ascii="Times New Roman" w:eastAsia="Times New Roman" w:hAnsi="Times New Roman"/>
                <w:iCs/>
                <w:highlight w:val="yellow"/>
              </w:rPr>
            </w:pPr>
            <w:r w:rsidRPr="00ED601A">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0FC5B4A" w:rsidR="00EA396D" w:rsidRPr="00BF5CF1" w:rsidRDefault="00ED601A"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AA12262" w:rsidR="0024495D" w:rsidRPr="005F3628" w:rsidRDefault="005F3628" w:rsidP="005F3628">
            <w:pPr>
              <w:spacing w:after="200" w:line="276" w:lineRule="auto"/>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В</w:t>
            </w:r>
            <w:r w:rsidRPr="005F3628">
              <w:rPr>
                <w:rFonts w:ascii="Times New Roman" w:eastAsia="Times New Roman" w:hAnsi="Times New Roman" w:cs="Times New Roman"/>
                <w:b/>
                <w:sz w:val="20"/>
                <w:szCs w:val="20"/>
                <w:lang w:eastAsia="ru-RU"/>
              </w:rPr>
              <w:t>ыполнение работ по демонтажу и монтажу аккумуляторного бака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46C269F"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6F6C06" w:rsidRPr="006F6C06">
              <w:rPr>
                <w:rFonts w:ascii="Times New Roman" w:hAnsi="Times New Roman" w:cs="Times New Roman"/>
                <w:b/>
                <w:bCs/>
                <w:sz w:val="20"/>
                <w:szCs w:val="20"/>
              </w:rPr>
              <w:t>5</w:t>
            </w:r>
            <w:r w:rsidR="006F6C06">
              <w:rPr>
                <w:rFonts w:ascii="Times New Roman" w:hAnsi="Times New Roman" w:cs="Times New Roman"/>
                <w:b/>
                <w:bCs/>
                <w:sz w:val="20"/>
                <w:szCs w:val="20"/>
              </w:rPr>
              <w:t xml:space="preserve"> </w:t>
            </w:r>
            <w:r w:rsidR="006F6C06" w:rsidRPr="006F6C06">
              <w:rPr>
                <w:rFonts w:ascii="Times New Roman" w:hAnsi="Times New Roman" w:cs="Times New Roman"/>
                <w:b/>
                <w:bCs/>
                <w:sz w:val="20"/>
                <w:szCs w:val="20"/>
              </w:rPr>
              <w:t>533</w:t>
            </w:r>
            <w:r w:rsidR="006F6C06">
              <w:rPr>
                <w:rFonts w:ascii="Times New Roman" w:hAnsi="Times New Roman" w:cs="Times New Roman"/>
                <w:b/>
                <w:bCs/>
                <w:sz w:val="20"/>
                <w:szCs w:val="20"/>
              </w:rPr>
              <w:t xml:space="preserve"> </w:t>
            </w:r>
            <w:r w:rsidR="006F6C06" w:rsidRPr="006F6C06">
              <w:rPr>
                <w:rFonts w:ascii="Times New Roman" w:hAnsi="Times New Roman" w:cs="Times New Roman"/>
                <w:b/>
                <w:bCs/>
                <w:sz w:val="20"/>
                <w:szCs w:val="20"/>
              </w:rPr>
              <w:t>333,33</w:t>
            </w:r>
            <w:r w:rsidR="005F3628">
              <w:rPr>
                <w:rFonts w:ascii="Times New Roman" w:hAnsi="Times New Roman" w:cs="Times New Roman"/>
                <w:b/>
                <w:bCs/>
                <w:sz w:val="20"/>
                <w:szCs w:val="20"/>
              </w:rPr>
              <w:t xml:space="preserve">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98995A9" w14:textId="096D4ED1" w:rsidR="00ED601A" w:rsidRPr="00ED601A" w:rsidRDefault="0024495D" w:rsidP="00ED601A">
            <w:pPr>
              <w:spacing w:after="0" w:line="240" w:lineRule="auto"/>
              <w:jc w:val="both"/>
              <w:rPr>
                <w:rFonts w:ascii="Times New Roman" w:eastAsia="Times New Roman" w:hAnsi="Times New Roman" w:cs="Times New Roman"/>
                <w:bCs/>
                <w:sz w:val="20"/>
                <w:szCs w:val="20"/>
                <w:lang w:eastAsia="ru-RU"/>
              </w:rPr>
            </w:pPr>
            <w:r w:rsidRPr="00ED601A">
              <w:rPr>
                <w:rFonts w:ascii="Times New Roman" w:eastAsia="Times New Roman" w:hAnsi="Times New Roman" w:cs="Times New Roman"/>
                <w:bCs/>
                <w:sz w:val="20"/>
                <w:szCs w:val="20"/>
                <w:lang w:eastAsia="ru-RU"/>
              </w:rPr>
              <w:t xml:space="preserve">Начальная (максимальная) цена договора </w:t>
            </w:r>
            <w:r w:rsidRPr="005F3628">
              <w:rPr>
                <w:rFonts w:ascii="Times New Roman" w:eastAsia="Times New Roman" w:hAnsi="Times New Roman" w:cs="Times New Roman"/>
                <w:bCs/>
                <w:sz w:val="20"/>
                <w:szCs w:val="20"/>
                <w:lang w:eastAsia="ru-RU"/>
              </w:rPr>
              <w:t>сформирована в соответствии с Техническим заданием (</w:t>
            </w:r>
            <w:r w:rsidR="00BF5CF1" w:rsidRPr="005F3628">
              <w:rPr>
                <w:rFonts w:ascii="Times New Roman" w:eastAsia="Times New Roman" w:hAnsi="Times New Roman" w:cs="Times New Roman"/>
                <w:bCs/>
                <w:sz w:val="20"/>
                <w:szCs w:val="20"/>
                <w:lang w:eastAsia="ru-RU"/>
              </w:rPr>
              <w:t>прилагается отдельным файлом</w:t>
            </w:r>
            <w:r w:rsidRPr="005F3628">
              <w:rPr>
                <w:rFonts w:ascii="Times New Roman" w:eastAsia="Times New Roman" w:hAnsi="Times New Roman" w:cs="Times New Roman"/>
                <w:bCs/>
                <w:sz w:val="20"/>
                <w:szCs w:val="20"/>
                <w:lang w:eastAsia="ru-RU"/>
              </w:rPr>
              <w:t>)</w:t>
            </w:r>
            <w:r w:rsidR="005F3628" w:rsidRPr="005F3628">
              <w:rPr>
                <w:rFonts w:ascii="Times New Roman" w:eastAsia="Times New Roman" w:hAnsi="Times New Roman" w:cs="Times New Roman"/>
                <w:bCs/>
                <w:sz w:val="20"/>
                <w:szCs w:val="20"/>
                <w:lang w:eastAsia="ru-RU"/>
              </w:rPr>
              <w:t>. Цена Договора включает в себя все расходы Подрядчика, в том числе расходы, связанные с выполнением работ, расходы на материалы, транспортные услуги, изыскательские работы, страхование, услуги соисполнителей, расходы на уплату налогов, сборов и других обязательных платежей, а также иные расходы Подрядчика, связанные с исполнением Договора.</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ED601A">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7402EF5" w:rsidR="0024495D" w:rsidRPr="004D717D" w:rsidRDefault="00D200A1" w:rsidP="00D200A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D200A1">
              <w:rPr>
                <w:rFonts w:ascii="Times New Roman" w:eastAsia="Times New Roman" w:hAnsi="Times New Roman" w:cs="Times New Roman"/>
                <w:bCs/>
                <w:sz w:val="20"/>
                <w:szCs w:val="20"/>
                <w:lang w:eastAsia="ru-RU"/>
              </w:rPr>
              <w:t>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FC21EAE" w:rsidR="0024495D" w:rsidRPr="004D717D" w:rsidRDefault="00D200A1" w:rsidP="00D200A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D200A1">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D200A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074CEFB2" w:rsidR="0024495D" w:rsidRPr="004D717D" w:rsidRDefault="00D200A1" w:rsidP="00D200A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D200A1">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8FA7A76" w14:textId="4EC8FF65" w:rsidR="00ED601A" w:rsidRDefault="00ED601A" w:rsidP="00ED6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w:t>
            </w:r>
            <w:r w:rsidRPr="006E65B3">
              <w:rPr>
                <w:rFonts w:ascii="Times New Roman" w:eastAsia="Times New Roman" w:hAnsi="Times New Roman" w:cs="Times New Roman"/>
                <w:bCs/>
                <w:sz w:val="20"/>
                <w:szCs w:val="20"/>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Pr>
                <w:rFonts w:ascii="Times New Roman" w:eastAsia="Times New Roman" w:hAnsi="Times New Roman" w:cs="Times New Roman"/>
                <w:bCs/>
                <w:sz w:val="20"/>
                <w:szCs w:val="20"/>
                <w:lang w:eastAsia="ru-RU"/>
              </w:rPr>
              <w:t>:</w:t>
            </w:r>
          </w:p>
          <w:p w14:paraId="1C38DC22" w14:textId="77777777" w:rsidR="00ED601A" w:rsidRPr="006E65B3" w:rsidRDefault="00ED601A" w:rsidP="00ED6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2)</w:t>
            </w:r>
            <w:r w:rsidRPr="006E65B3">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C61C0F8" w14:textId="77777777" w:rsidR="00ED601A" w:rsidRPr="006E65B3" w:rsidRDefault="00ED601A" w:rsidP="00ED6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3)</w:t>
            </w:r>
            <w:r w:rsidRPr="006E65B3">
              <w:rPr>
                <w:rFonts w:ascii="Times New Roman" w:eastAsia="Times New Roman" w:hAnsi="Times New Roman" w:cs="Times New Roman"/>
                <w:bCs/>
                <w:sz w:val="20"/>
                <w:szCs w:val="20"/>
                <w:lang w:eastAsia="ru-RU"/>
              </w:rPr>
              <w:tab/>
            </w:r>
            <w:proofErr w:type="spellStart"/>
            <w:r w:rsidRPr="006E65B3">
              <w:rPr>
                <w:rFonts w:ascii="Times New Roman" w:eastAsia="Times New Roman" w:hAnsi="Times New Roman" w:cs="Times New Roman"/>
                <w:bCs/>
                <w:sz w:val="20"/>
                <w:szCs w:val="20"/>
                <w:lang w:eastAsia="ru-RU"/>
              </w:rPr>
              <w:t>неприостановление</w:t>
            </w:r>
            <w:proofErr w:type="spellEnd"/>
            <w:r w:rsidRPr="006E65B3">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D34C1E9" w14:textId="77777777" w:rsidR="00ED601A" w:rsidRPr="006E65B3" w:rsidRDefault="00ED601A" w:rsidP="00ED6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4)</w:t>
            </w:r>
            <w:r w:rsidRPr="006E65B3">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FFDCFD" w14:textId="77777777" w:rsidR="00ED601A" w:rsidRPr="006E65B3" w:rsidRDefault="00ED601A" w:rsidP="00ED6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5)</w:t>
            </w:r>
            <w:r w:rsidRPr="006E65B3">
              <w:rPr>
                <w:rFonts w:ascii="Times New Roman" w:eastAsia="Times New Roman" w:hAnsi="Times New Roman" w:cs="Times New Roman"/>
                <w:bCs/>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31CDAB7B" w14:textId="77777777" w:rsidR="00ED601A" w:rsidRPr="006E65B3" w:rsidRDefault="00ED601A" w:rsidP="00ED6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6)</w:t>
            </w:r>
            <w:r w:rsidRPr="006E65B3">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A3851CB" w14:textId="77777777" w:rsidR="00ED601A" w:rsidRPr="006E65B3" w:rsidRDefault="00ED601A" w:rsidP="00ED6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7)</w:t>
            </w:r>
            <w:r w:rsidRPr="006E65B3">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1DA6B6DC" w14:textId="77777777" w:rsidR="00ED601A" w:rsidRPr="006E65B3" w:rsidRDefault="00ED601A" w:rsidP="00ED6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8)</w:t>
            </w:r>
            <w:r w:rsidRPr="006E65B3">
              <w:rPr>
                <w:rFonts w:ascii="Times New Roman" w:eastAsia="Times New Roman" w:hAnsi="Times New Roman" w:cs="Times New Roman"/>
                <w:bCs/>
                <w:sz w:val="20"/>
                <w:szCs w:val="20"/>
                <w:lang w:eastAsia="ru-RU"/>
              </w:rPr>
              <w:tab/>
              <w:t xml:space="preserve">отсутствие решения об исключении, в том числе предстоящем исключении, участника </w:t>
            </w:r>
            <w:r w:rsidRPr="006E65B3">
              <w:rPr>
                <w:rFonts w:ascii="Times New Roman" w:eastAsia="Times New Roman" w:hAnsi="Times New Roman" w:cs="Times New Roman"/>
                <w:bCs/>
                <w:sz w:val="20"/>
                <w:szCs w:val="20"/>
                <w:lang w:eastAsia="ru-RU"/>
              </w:rPr>
              <w:lastRenderedPageBreak/>
              <w:t>закупки из ЕГРЮЛ регистрирующим органом;</w:t>
            </w:r>
          </w:p>
          <w:p w14:paraId="1FC1CECB" w14:textId="77777777" w:rsidR="00ED601A" w:rsidRPr="006E65B3" w:rsidRDefault="00ED601A" w:rsidP="00ED6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9)</w:t>
            </w:r>
            <w:r w:rsidRPr="006E65B3">
              <w:rPr>
                <w:rFonts w:ascii="Times New Roman" w:eastAsia="Times New Roman" w:hAnsi="Times New Roman" w:cs="Times New Roman"/>
                <w:bCs/>
                <w:sz w:val="20"/>
                <w:szCs w:val="20"/>
                <w:lang w:eastAsia="ru-RU"/>
              </w:rPr>
              <w:tab/>
              <w:t>отсутствие дисквалификационных лиц в исполнительных органах (единоличного исполнительного органа) участника закупки;</w:t>
            </w:r>
          </w:p>
          <w:p w14:paraId="5DA2EF73" w14:textId="77777777" w:rsidR="0024495D" w:rsidRDefault="00ED601A" w:rsidP="00ED6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10)</w:t>
            </w:r>
            <w:r w:rsidRPr="006E65B3">
              <w:rPr>
                <w:rFonts w:ascii="Times New Roman" w:eastAsia="Times New Roman" w:hAnsi="Times New Roman" w:cs="Times New Roman"/>
                <w:bCs/>
                <w:sz w:val="20"/>
                <w:szCs w:val="20"/>
                <w:lang w:eastAsia="ru-RU"/>
              </w:rPr>
              <w:tab/>
              <w:t>отсутствие исполнительных производств, размер взыскания по которым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r>
              <w:rPr>
                <w:rFonts w:ascii="Times New Roman" w:eastAsia="Times New Roman" w:hAnsi="Times New Roman" w:cs="Times New Roman"/>
                <w:bCs/>
                <w:sz w:val="20"/>
                <w:szCs w:val="20"/>
                <w:lang w:eastAsia="ru-RU"/>
              </w:rPr>
              <w:t>.</w:t>
            </w:r>
          </w:p>
          <w:p w14:paraId="65B8F57C" w14:textId="73E61AE6" w:rsidR="00D200A1" w:rsidRPr="004D717D" w:rsidRDefault="00D200A1" w:rsidP="00ED60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A132B68" w:rsidR="0024495D" w:rsidRPr="004D717D" w:rsidRDefault="00245DB9" w:rsidP="00245DB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w:t>
            </w:r>
            <w:r w:rsidRPr="00D200A1">
              <w:rPr>
                <w:rFonts w:ascii="Times New Roman" w:eastAsia="Times New Roman" w:hAnsi="Times New Roman" w:cs="Times New Roman"/>
                <w:bCs/>
                <w:sz w:val="20"/>
                <w:szCs w:val="20"/>
                <w:lang w:eastAsia="ru-RU"/>
              </w:rPr>
              <w:t>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75D01" w:rsidRPr="00CD6114" w14:paraId="5240F7B9" w14:textId="77777777" w:rsidTr="00894AA9">
        <w:tc>
          <w:tcPr>
            <w:tcW w:w="540" w:type="pct"/>
            <w:vMerge/>
            <w:vAlign w:val="center"/>
          </w:tcPr>
          <w:p w14:paraId="100ED35A" w14:textId="77777777"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97995D9"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1-1. </w:t>
            </w:r>
            <w:r w:rsidRPr="00283A9D">
              <w:rPr>
                <w:rFonts w:ascii="Times New Roman" w:eastAsia="Times New Roman" w:hAnsi="Times New Roman" w:cs="Times New Roman"/>
                <w:bCs/>
                <w:sz w:val="20"/>
                <w:szCs w:val="20"/>
                <w:lang w:eastAsia="ru-RU"/>
              </w:rPr>
              <w:t>Для юридического лица:</w:t>
            </w:r>
          </w:p>
          <w:p w14:paraId="687657CF"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размещения заказа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 если заявка на участие в закупке подписывается по доверенности, то в составе заявки также предоставляется такая доверенность (либо ее копия));</w:t>
            </w:r>
          </w:p>
          <w:p w14:paraId="1F137FF6"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Устава;</w:t>
            </w:r>
          </w:p>
          <w:p w14:paraId="4A20B916"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64696E16"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3BB12DD1"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договора, являются крупной сделкой; или письмо об отсутствии необходимости такого одобрения;</w:t>
            </w:r>
          </w:p>
          <w:p w14:paraId="17376D04"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6.</w:t>
            </w:r>
            <w:r w:rsidRPr="00283A9D">
              <w:rPr>
                <w:rFonts w:ascii="Times New Roman" w:eastAsia="Times New Roman" w:hAnsi="Times New Roman" w:cs="Times New Roman"/>
                <w:bCs/>
                <w:sz w:val="20"/>
                <w:szCs w:val="20"/>
                <w:lang w:eastAsia="ru-RU"/>
              </w:rPr>
              <w:tab/>
              <w:t xml:space="preserve">Копия годовой бухгалтерской отчетности на последнюю отчетную дату с приложениями (с отметкой налогового органа о приеме), </w:t>
            </w:r>
            <w:proofErr w:type="gramStart"/>
            <w:r w:rsidRPr="00283A9D">
              <w:rPr>
                <w:rFonts w:ascii="Times New Roman" w:eastAsia="Times New Roman" w:hAnsi="Times New Roman" w:cs="Times New Roman"/>
                <w:bCs/>
                <w:sz w:val="20"/>
                <w:szCs w:val="20"/>
                <w:lang w:eastAsia="ru-RU"/>
              </w:rPr>
              <w:t>согласно форм</w:t>
            </w:r>
            <w:proofErr w:type="gramEnd"/>
            <w:r w:rsidRPr="00283A9D">
              <w:rPr>
                <w:rFonts w:ascii="Times New Roman" w:eastAsia="Times New Roman" w:hAnsi="Times New Roman" w:cs="Times New Roman"/>
                <w:bCs/>
                <w:sz w:val="20"/>
                <w:szCs w:val="20"/>
                <w:lang w:eastAsia="ru-RU"/>
              </w:rPr>
              <w:t xml:space="preserve"> Приказов Министерства Финансов Российской Федерации от 04.12.2012 № 154 н; от 06.04.2015 № 57 н:</w:t>
            </w:r>
          </w:p>
          <w:p w14:paraId="445DEDDF"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а) бухгалтерский баланс;</w:t>
            </w:r>
          </w:p>
          <w:p w14:paraId="627B5F6C" w14:textId="77777777" w:rsidR="00275D01"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б) отчет о финансовых результатах (отчет о прибылях и убытках); </w:t>
            </w:r>
          </w:p>
          <w:p w14:paraId="3208A327"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в) Приложения к бухгалтерской отчетности:</w:t>
            </w:r>
          </w:p>
          <w:p w14:paraId="1067DEBF"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об изменениях капитала;</w:t>
            </w:r>
          </w:p>
          <w:p w14:paraId="7BD8F51D"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движении денежных средств;</w:t>
            </w:r>
          </w:p>
          <w:p w14:paraId="4D404E6C"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w:t>
            </w:r>
            <w:r w:rsidRPr="00283A9D">
              <w:rPr>
                <w:rFonts w:ascii="Times New Roman" w:eastAsia="Times New Roman" w:hAnsi="Times New Roman" w:cs="Times New Roman"/>
                <w:bCs/>
                <w:sz w:val="20"/>
                <w:szCs w:val="20"/>
                <w:lang w:eastAsia="ru-RU"/>
              </w:rPr>
              <w:tab/>
              <w:t>отчет о целевом использовании средств.</w:t>
            </w:r>
          </w:p>
          <w:p w14:paraId="370D6CDC"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191615C8"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7.</w:t>
            </w:r>
            <w:r w:rsidRPr="00283A9D">
              <w:rPr>
                <w:rFonts w:ascii="Times New Roman" w:eastAsia="Times New Roman" w:hAnsi="Times New Roman" w:cs="Times New Roman"/>
                <w:bCs/>
                <w:sz w:val="20"/>
                <w:szCs w:val="20"/>
                <w:lang w:eastAsia="ru-RU"/>
              </w:rPr>
              <w:tab/>
              <w:t xml:space="preserve">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w:t>
            </w:r>
            <w:r w:rsidRPr="00283A9D">
              <w:rPr>
                <w:rFonts w:ascii="Times New Roman" w:eastAsia="Times New Roman" w:hAnsi="Times New Roman" w:cs="Times New Roman"/>
                <w:bCs/>
                <w:sz w:val="20"/>
                <w:szCs w:val="20"/>
                <w:lang w:eastAsia="ru-RU"/>
              </w:rPr>
              <w:lastRenderedPageBreak/>
              <w:t>КНД 1160080)</w:t>
            </w:r>
            <w:proofErr w:type="gramStart"/>
            <w:r w:rsidRPr="00283A9D">
              <w:rPr>
                <w:rFonts w:ascii="Times New Roman" w:eastAsia="Times New Roman" w:hAnsi="Times New Roman" w:cs="Times New Roman"/>
                <w:bCs/>
                <w:sz w:val="20"/>
                <w:szCs w:val="20"/>
                <w:lang w:eastAsia="ru-RU"/>
              </w:rPr>
              <w:t>; То есть</w:t>
            </w:r>
            <w:proofErr w:type="gramEnd"/>
            <w:r w:rsidRPr="00283A9D">
              <w:rPr>
                <w:rFonts w:ascii="Times New Roman" w:eastAsia="Times New Roman" w:hAnsi="Times New Roman" w:cs="Times New Roman"/>
                <w:bCs/>
                <w:sz w:val="20"/>
                <w:szCs w:val="20"/>
                <w:lang w:eastAsia="ru-RU"/>
              </w:rPr>
              <w:t xml:space="preserve">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7B399447" w14:textId="21717BAF"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 xml:space="preserve">1-2. </w:t>
            </w:r>
            <w:r w:rsidRPr="00283A9D">
              <w:rPr>
                <w:rFonts w:ascii="Times New Roman" w:eastAsia="Times New Roman" w:hAnsi="Times New Roman" w:cs="Times New Roman"/>
                <w:bCs/>
                <w:sz w:val="20"/>
                <w:szCs w:val="20"/>
                <w:lang w:eastAsia="ru-RU"/>
              </w:rPr>
              <w:t>Для индивидуального предпринимателя:</w:t>
            </w:r>
          </w:p>
          <w:p w14:paraId="6AFA5E1A"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21F90475"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692CBD77"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3.</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746D6A93"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4.</w:t>
            </w:r>
            <w:r w:rsidRPr="00283A9D">
              <w:rPr>
                <w:rFonts w:ascii="Times New Roman" w:eastAsia="Times New Roman" w:hAnsi="Times New Roman" w:cs="Times New Roman"/>
                <w:bCs/>
                <w:sz w:val="20"/>
                <w:szCs w:val="20"/>
                <w:lang w:eastAsia="ru-RU"/>
              </w:rPr>
              <w:tab/>
              <w:t>Копия Декларации по УСН или 3-НДФЛ на последнюю отчетную дату с приложениями (с отметкой налогового органа о приеме). Если участником закупки годовая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w:t>
            </w:r>
          </w:p>
          <w:p w14:paraId="249E7C45" w14:textId="32A48756"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5.</w:t>
            </w:r>
            <w:r w:rsidRPr="00283A9D">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w:t>
            </w:r>
            <w:r w:rsidR="00264F8A" w:rsidRPr="00283A9D">
              <w:rPr>
                <w:rFonts w:ascii="Times New Roman" w:eastAsia="Times New Roman" w:hAnsi="Times New Roman" w:cs="Times New Roman"/>
                <w:bCs/>
                <w:sz w:val="20"/>
                <w:szCs w:val="20"/>
                <w:lang w:eastAsia="ru-RU"/>
              </w:rPr>
              <w:t>; то есть</w:t>
            </w:r>
            <w:r w:rsidRPr="00283A9D">
              <w:rPr>
                <w:rFonts w:ascii="Times New Roman" w:eastAsia="Times New Roman" w:hAnsi="Times New Roman" w:cs="Times New Roman"/>
                <w:bCs/>
                <w:sz w:val="20"/>
                <w:szCs w:val="20"/>
                <w:lang w:eastAsia="ru-RU"/>
              </w:rPr>
              <w:t xml:space="preserve">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6F122813"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1-3 </w:t>
            </w:r>
            <w:r w:rsidRPr="00283A9D">
              <w:rPr>
                <w:rFonts w:ascii="Times New Roman" w:eastAsia="Times New Roman" w:hAnsi="Times New Roman" w:cs="Times New Roman"/>
                <w:bCs/>
                <w:sz w:val="20"/>
                <w:szCs w:val="20"/>
                <w:lang w:eastAsia="ru-RU"/>
              </w:rPr>
              <w:t>Для физического лица:</w:t>
            </w:r>
          </w:p>
          <w:p w14:paraId="269845E8" w14:textId="77777777" w:rsidR="00275D01" w:rsidRPr="00283A9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1)</w:t>
            </w:r>
            <w:r w:rsidRPr="00283A9D">
              <w:rPr>
                <w:rFonts w:ascii="Times New Roman" w:eastAsia="Times New Roman" w:hAnsi="Times New Roman" w:cs="Times New Roman"/>
                <w:bCs/>
                <w:sz w:val="20"/>
                <w:szCs w:val="20"/>
                <w:lang w:eastAsia="ru-RU"/>
              </w:rPr>
              <w:tab/>
              <w:t>Данные документов, удостоверяющих личность;</w:t>
            </w:r>
          </w:p>
          <w:p w14:paraId="3F7693C3" w14:textId="19A2BA40" w:rsidR="00275D01"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A9D">
              <w:rPr>
                <w:rFonts w:ascii="Times New Roman" w:eastAsia="Times New Roman" w:hAnsi="Times New Roman" w:cs="Times New Roman"/>
                <w:bCs/>
                <w:sz w:val="20"/>
                <w:szCs w:val="20"/>
                <w:lang w:eastAsia="ru-RU"/>
              </w:rPr>
              <w:t>2)</w:t>
            </w:r>
            <w:r w:rsidRPr="00283A9D">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49C0FCC" w14:textId="5A514C56" w:rsidR="00275D01"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2) </w:t>
            </w:r>
            <w:r w:rsidRPr="00283A9D">
              <w:rPr>
                <w:rFonts w:ascii="Times New Roman" w:eastAsia="Times New Roman" w:hAnsi="Times New Roman" w:cs="Times New Roman"/>
                <w:bCs/>
                <w:sz w:val="20"/>
                <w:szCs w:val="20"/>
                <w:lang w:eastAsia="ru-RU"/>
              </w:rPr>
              <w:t>Для группы (нескольких лиц) лиц, выступающих на стороне одного участника закупки: Документы, предусмотренные пунктом 11.4.3 Положения в зависимости от категории лиц, выступающих на стороне одного участника, и копия соглашения об объединении (иной документ).</w:t>
            </w:r>
          </w:p>
          <w:p w14:paraId="3216CFF7" w14:textId="77777777" w:rsidR="00275D01" w:rsidRPr="000D1756"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Pr="000D1756">
              <w:rPr>
                <w:rFonts w:ascii="Times New Roman" w:eastAsia="Times New Roman" w:hAnsi="Times New Roman" w:cs="Times New Roman"/>
                <w:bCs/>
                <w:sz w:val="20"/>
                <w:szCs w:val="20"/>
                <w:lang w:eastAsia="ru-RU"/>
              </w:rPr>
              <w:t xml:space="preserve"> предложение участника закупки в отношении предмета такой закупки (технические характеристики </w:t>
            </w:r>
            <w:r w:rsidRPr="00DE2DC7">
              <w:rPr>
                <w:rFonts w:ascii="Times New Roman" w:eastAsia="Times New Roman" w:hAnsi="Times New Roman" w:cs="Times New Roman"/>
                <w:b/>
                <w:sz w:val="20"/>
                <w:szCs w:val="20"/>
                <w:lang w:eastAsia="ru-RU"/>
              </w:rPr>
              <w:t>и конкретные показатели товара</w:t>
            </w:r>
            <w:r w:rsidRPr="000D1756">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w:t>
            </w:r>
            <w:r>
              <w:t xml:space="preserve"> </w:t>
            </w:r>
            <w:r w:rsidRPr="00FB7ABA">
              <w:rPr>
                <w:rFonts w:ascii="Times New Roman" w:eastAsia="Times New Roman" w:hAnsi="Times New Roman" w:cs="Times New Roman"/>
                <w:bCs/>
                <w:sz w:val="20"/>
                <w:szCs w:val="20"/>
                <w:lang w:eastAsia="ru-RU"/>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3CEDEAA" w14:textId="085FF08C" w:rsidR="00275D01" w:rsidRPr="00674061" w:rsidRDefault="00275D01" w:rsidP="0067406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4) </w:t>
            </w:r>
            <w:r w:rsidRPr="000D1756">
              <w:rPr>
                <w:rFonts w:ascii="Times New Roman" w:eastAsia="Times New Roman" w:hAnsi="Times New Roman" w:cs="Times New Roman"/>
                <w:bCs/>
                <w:sz w:val="20"/>
                <w:szCs w:val="20"/>
                <w:lang w:eastAsia="ru-RU"/>
              </w:rPr>
              <w:t>ценовое предложение;</w:t>
            </w:r>
          </w:p>
        </w:tc>
      </w:tr>
      <w:tr w:rsidR="00275D01" w:rsidRPr="00CD6114" w14:paraId="615018AB" w14:textId="77777777" w:rsidTr="004F40AA">
        <w:tc>
          <w:tcPr>
            <w:tcW w:w="540" w:type="pct"/>
            <w:vMerge w:val="restart"/>
            <w:vAlign w:val="center"/>
          </w:tcPr>
          <w:p w14:paraId="0AE169A8" w14:textId="341DA1B7"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75D01" w:rsidRPr="004D717D" w:rsidRDefault="00275D01" w:rsidP="00275D0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75D01" w:rsidRPr="004D717D" w:rsidRDefault="00275D01" w:rsidP="00275D0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75D01" w:rsidRPr="00CD6114" w14:paraId="2690F673" w14:textId="77777777" w:rsidTr="00894AA9">
        <w:tc>
          <w:tcPr>
            <w:tcW w:w="540" w:type="pct"/>
            <w:vMerge/>
            <w:vAlign w:val="center"/>
          </w:tcPr>
          <w:p w14:paraId="58CF3A93" w14:textId="77777777"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0C4BB10E" w:rsidR="00275D01" w:rsidRPr="00275D01" w:rsidRDefault="00275D01" w:rsidP="00275D0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275D01">
              <w:rPr>
                <w:rFonts w:ascii="Times New Roman" w:eastAsia="Times New Roman" w:hAnsi="Times New Roman" w:cs="Times New Roman"/>
                <w:bCs/>
                <w:sz w:val="20"/>
                <w:szCs w:val="20"/>
                <w:lang w:eastAsia="ru-RU"/>
              </w:rPr>
              <w:t>Не установлено</w:t>
            </w:r>
          </w:p>
        </w:tc>
      </w:tr>
      <w:tr w:rsidR="00275D01" w:rsidRPr="00CD6114" w14:paraId="2342B38F" w14:textId="77777777" w:rsidTr="004F40AA">
        <w:tc>
          <w:tcPr>
            <w:tcW w:w="540" w:type="pct"/>
            <w:vMerge w:val="restart"/>
            <w:vAlign w:val="center"/>
          </w:tcPr>
          <w:p w14:paraId="7C0E325D" w14:textId="5B844660"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75D01" w:rsidRPr="004D717D" w:rsidRDefault="00275D01" w:rsidP="00275D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75D01" w:rsidRPr="00CD6114" w14:paraId="7769F7C2" w14:textId="77777777" w:rsidTr="00894AA9">
        <w:tc>
          <w:tcPr>
            <w:tcW w:w="540" w:type="pct"/>
            <w:vMerge/>
            <w:vAlign w:val="center"/>
          </w:tcPr>
          <w:p w14:paraId="50EF3A08" w14:textId="77777777"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3556B6E" w14:textId="77777777" w:rsidR="003607FC" w:rsidRPr="003607FC" w:rsidRDefault="003607FC" w:rsidP="003607F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607FC">
              <w:rPr>
                <w:rFonts w:ascii="Times New Roman" w:eastAsia="Times New Roman" w:hAnsi="Times New Roman" w:cs="Times New Roman"/>
                <w:bCs/>
                <w:sz w:val="20"/>
                <w:szCs w:val="20"/>
                <w:lang w:eastAsia="ru-RU"/>
              </w:rPr>
              <w:t>Установлено.</w:t>
            </w:r>
          </w:p>
          <w:p w14:paraId="1F071FE6" w14:textId="77777777" w:rsidR="003607FC" w:rsidRPr="003607FC" w:rsidRDefault="003607FC" w:rsidP="003607F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607FC">
              <w:rPr>
                <w:rFonts w:ascii="Times New Roman" w:eastAsia="Times New Roman" w:hAnsi="Times New Roman" w:cs="Times New Roman"/>
                <w:bCs/>
                <w:sz w:val="20"/>
                <w:szCs w:val="20"/>
                <w:lang w:eastAsia="ru-RU"/>
              </w:rPr>
              <w:t>Антидемпинговая мера применяется к тем участникам, стоимость предложений которых более чем на 25 (двадцать пять) процентов ниже НМЦД, указанной в извещении об осуществлении закупки.</w:t>
            </w:r>
          </w:p>
          <w:p w14:paraId="6F5F7239" w14:textId="77777777" w:rsidR="003607FC" w:rsidRPr="003607FC" w:rsidRDefault="003607FC" w:rsidP="003607F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607FC">
              <w:rPr>
                <w:rFonts w:ascii="Times New Roman" w:eastAsia="Times New Roman" w:hAnsi="Times New Roman" w:cs="Times New Roman"/>
                <w:bCs/>
                <w:sz w:val="20"/>
                <w:szCs w:val="20"/>
                <w:lang w:eastAsia="ru-RU"/>
              </w:rPr>
              <w:t>Такой участник предоставляет в составе заявки расчет снижения цены, порядка ценообразования и обоснованности такого снижения. Обоснование предлагаемой цены договора (цены лота), расчеты и заключения, указанные в настоящем подпункте, представляются участником закупки, предложившим демпинговую цену договора в составе заявки на участие в закупке. В случае их непредставления или признания предложенной цены договора необоснованной заявка на участие в закупке такого участника отклоняется. Указанное решение фиксируется в итоговом протоколе.</w:t>
            </w:r>
          </w:p>
          <w:p w14:paraId="049230E2" w14:textId="3BADF356" w:rsidR="00275D01" w:rsidRPr="004D717D" w:rsidRDefault="003607FC" w:rsidP="003607F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3607FC">
              <w:rPr>
                <w:rFonts w:ascii="Times New Roman" w:eastAsia="Times New Roman" w:hAnsi="Times New Roman" w:cs="Times New Roman"/>
                <w:bCs/>
                <w:sz w:val="20"/>
                <w:szCs w:val="20"/>
                <w:lang w:eastAsia="ru-RU"/>
              </w:rPr>
              <w:t>Невыполнение участником требований, предъявляемых в соответствии с данным разделом, влечет за собой обязанность отклонить заявку такого участника.</w:t>
            </w:r>
          </w:p>
        </w:tc>
      </w:tr>
      <w:tr w:rsidR="00275D01" w:rsidRPr="00CD6114" w14:paraId="3C165D9F" w14:textId="77777777" w:rsidTr="004F40AA">
        <w:tc>
          <w:tcPr>
            <w:tcW w:w="540" w:type="pct"/>
            <w:vMerge w:val="restart"/>
            <w:vAlign w:val="center"/>
          </w:tcPr>
          <w:p w14:paraId="056DC714" w14:textId="3E8BDCFA"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75D01" w:rsidRPr="004D717D" w:rsidRDefault="00275D01" w:rsidP="00275D0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275D01" w:rsidRPr="00CD6114" w14:paraId="3B4814CA" w14:textId="77777777" w:rsidTr="005660A5">
        <w:trPr>
          <w:trHeight w:val="1751"/>
        </w:trPr>
        <w:tc>
          <w:tcPr>
            <w:tcW w:w="540" w:type="pct"/>
            <w:vMerge/>
            <w:vAlign w:val="center"/>
          </w:tcPr>
          <w:p w14:paraId="2E8E9798" w14:textId="77777777"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75D01" w:rsidRPr="004D717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75D01" w:rsidRPr="004D717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75D01" w:rsidRPr="004D717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75D01" w:rsidRPr="004D717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75D01" w:rsidRPr="004D717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75D01" w:rsidRPr="004D717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75D01" w:rsidRPr="004D717D"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275D01" w:rsidRPr="00CD6114" w14:paraId="5473CE5E" w14:textId="77777777" w:rsidTr="00125726">
        <w:tc>
          <w:tcPr>
            <w:tcW w:w="540" w:type="pct"/>
            <w:vMerge w:val="restart"/>
            <w:vAlign w:val="center"/>
          </w:tcPr>
          <w:p w14:paraId="7FC78610" w14:textId="743B8011"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275D01" w:rsidRPr="00125726" w:rsidRDefault="00275D01" w:rsidP="00275D0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275D01" w:rsidRPr="00CD6114" w14:paraId="278FC607" w14:textId="77777777" w:rsidTr="00125726">
        <w:tc>
          <w:tcPr>
            <w:tcW w:w="540" w:type="pct"/>
            <w:vMerge/>
            <w:vAlign w:val="center"/>
          </w:tcPr>
          <w:p w14:paraId="79C0DCFD" w14:textId="77777777"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B7B2D2" w14:textId="77777777" w:rsidR="00BD6F8D" w:rsidRDefault="00BD6F8D" w:rsidP="00BD6F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2D53E8F3" w14:textId="77777777" w:rsidR="00BD6F8D" w:rsidRDefault="00BD6F8D" w:rsidP="00BD6F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 Несоответствия участника закупки требованиям к участникам закупки, установленным документацией о проведении запроса котировок в электронной форме.</w:t>
            </w:r>
          </w:p>
          <w:p w14:paraId="071C70C5" w14:textId="77777777" w:rsidR="00BD6F8D" w:rsidRDefault="00BD6F8D" w:rsidP="00BD6F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 Несоответствия котировочной заявки требованиям к заявкам, установленным извещением о проведении запроса котировок в электронной форме.</w:t>
            </w:r>
          </w:p>
          <w:p w14:paraId="691EFBC6" w14:textId="77777777" w:rsidR="00BD6F8D" w:rsidRDefault="00BD6F8D" w:rsidP="00BD6F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Несоответствия предлагаемых товаров, работ, услуг требованиям закупочной документации (количество, объем, технические характеристики и пр.).</w:t>
            </w:r>
          </w:p>
          <w:p w14:paraId="64ADBC56" w14:textId="77777777" w:rsidR="00BD6F8D" w:rsidRDefault="00BD6F8D" w:rsidP="00BD6F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 Несоответствие сроков поставки товаров (графиков выполнения работ, оказания услуг) условиям, указанным в закупочной документации, в том числе условиям проекта договора и технического задания (при наличии).</w:t>
            </w:r>
          </w:p>
          <w:p w14:paraId="781F0E2C" w14:textId="77777777" w:rsidR="00BD6F8D" w:rsidRDefault="00BD6F8D" w:rsidP="00BD6F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 Несоответствие гарантийного срока на поставляемые товары, результаты работ и услуг условиям, указанным в закупочной документации.</w:t>
            </w:r>
          </w:p>
          <w:p w14:paraId="5A6FB381" w14:textId="77777777" w:rsidR="00BD6F8D" w:rsidRDefault="00BD6F8D" w:rsidP="00BD6F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 Непредставления (при необходимости) обеспечения заявки в случае установления требования об обеспечении заявки.</w:t>
            </w:r>
          </w:p>
          <w:p w14:paraId="0A465015" w14:textId="77777777" w:rsidR="00BD6F8D" w:rsidRDefault="00BD6F8D" w:rsidP="00BD6F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ж) Предоставления в составе заявки заведомо недостоверных сведений, намеренного искажения информации или документов, входящих в состав заявки.</w:t>
            </w:r>
          </w:p>
          <w:p w14:paraId="467ADE8A" w14:textId="77777777" w:rsidR="00BD6F8D" w:rsidRDefault="00BD6F8D" w:rsidP="00BD6F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з) 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участников закупки </w:t>
            </w:r>
            <w:proofErr w:type="gramStart"/>
            <w:r>
              <w:rPr>
                <w:rFonts w:ascii="Times New Roman" w:eastAsia="Times New Roman" w:hAnsi="Times New Roman" w:cs="Times New Roman"/>
                <w:sz w:val="20"/>
                <w:szCs w:val="20"/>
                <w:lang w:eastAsia="ru-RU"/>
              </w:rPr>
              <w:t>и</w:t>
            </w:r>
            <w:proofErr w:type="gramEnd"/>
            <w:r>
              <w:rPr>
                <w:rFonts w:ascii="Times New Roman" w:eastAsia="Times New Roman" w:hAnsi="Times New Roman" w:cs="Times New Roman"/>
                <w:sz w:val="20"/>
                <w:szCs w:val="20"/>
                <w:lang w:eastAsia="ru-RU"/>
              </w:rPr>
              <w:t xml:space="preserve"> в связи с этим участник закупки перестал соответствовать установленным требованиям.</w:t>
            </w:r>
          </w:p>
          <w:p w14:paraId="72B834B6" w14:textId="77777777" w:rsidR="00BD6F8D" w:rsidRDefault="00BD6F8D" w:rsidP="00BD6F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1FCB2F7E" w14:textId="77777777" w:rsidR="00BD6F8D" w:rsidRDefault="00BD6F8D" w:rsidP="00BD6F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14:paraId="76EAC4E0" w14:textId="50E9B489" w:rsidR="00275D01" w:rsidRPr="004D717D" w:rsidRDefault="00BD6F8D" w:rsidP="00BD6F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75D01" w:rsidRPr="00CD6114" w14:paraId="39F40138" w14:textId="77777777" w:rsidTr="00B41C71">
        <w:tc>
          <w:tcPr>
            <w:tcW w:w="540" w:type="pct"/>
            <w:vMerge w:val="restart"/>
            <w:vAlign w:val="center"/>
          </w:tcPr>
          <w:p w14:paraId="101DBA18" w14:textId="10568B70"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275D01" w:rsidRPr="00B41C71" w:rsidRDefault="00275D01" w:rsidP="00275D0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275D01" w:rsidRPr="00CD6114" w14:paraId="7B5DCB0B" w14:textId="77777777" w:rsidTr="00125726">
        <w:tc>
          <w:tcPr>
            <w:tcW w:w="540" w:type="pct"/>
            <w:vMerge/>
            <w:vAlign w:val="center"/>
          </w:tcPr>
          <w:p w14:paraId="60DF85C0" w14:textId="77777777"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275D01" w:rsidRPr="0045454A" w:rsidRDefault="00275D01" w:rsidP="00275D0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275D01" w:rsidRPr="0045454A" w:rsidRDefault="00275D01" w:rsidP="00275D0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275D01" w:rsidRPr="0045454A" w:rsidRDefault="00275D01" w:rsidP="00275D0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lastRenderedPageBreak/>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275D01" w:rsidRPr="0045454A" w:rsidRDefault="00275D01" w:rsidP="00275D0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275D01" w:rsidRPr="0045454A" w:rsidRDefault="00275D01" w:rsidP="00275D0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275D01" w:rsidRPr="0045454A" w:rsidRDefault="00275D01" w:rsidP="00275D0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275D01" w:rsidRDefault="00275D01" w:rsidP="00275D0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75D01" w:rsidRPr="00CD6114" w14:paraId="5589B722" w14:textId="77777777" w:rsidTr="004F40AA">
        <w:trPr>
          <w:trHeight w:val="196"/>
        </w:trPr>
        <w:tc>
          <w:tcPr>
            <w:tcW w:w="540" w:type="pct"/>
            <w:vMerge w:val="restart"/>
            <w:shd w:val="clear" w:color="auto" w:fill="FFFFFF"/>
            <w:vAlign w:val="center"/>
          </w:tcPr>
          <w:p w14:paraId="6364F469" w14:textId="5685DBC0"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75D01" w:rsidRPr="004D717D" w:rsidRDefault="00275D01" w:rsidP="00275D0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75D01" w:rsidRPr="00CD6114" w14:paraId="5D87B594" w14:textId="77777777" w:rsidTr="005660A5">
        <w:trPr>
          <w:trHeight w:val="196"/>
        </w:trPr>
        <w:tc>
          <w:tcPr>
            <w:tcW w:w="540" w:type="pct"/>
            <w:vMerge/>
            <w:shd w:val="clear" w:color="auto" w:fill="FFFFFF"/>
            <w:vAlign w:val="center"/>
          </w:tcPr>
          <w:p w14:paraId="0F975DFC" w14:textId="77777777"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75D01" w:rsidRPr="004D717D" w:rsidRDefault="00275D01" w:rsidP="00275D0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75D01" w:rsidRPr="004D717D" w:rsidRDefault="00275D01" w:rsidP="00275D0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75D01" w:rsidRPr="004D717D" w:rsidRDefault="00275D01" w:rsidP="00275D0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8D26377" w:rsidR="00275D01" w:rsidRPr="00BD6F8D" w:rsidRDefault="00275D01" w:rsidP="00BD6F8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75D01" w:rsidRPr="00CD6114" w14:paraId="10360C2C" w14:textId="77777777" w:rsidTr="00F02ACD">
        <w:trPr>
          <w:trHeight w:val="196"/>
        </w:trPr>
        <w:tc>
          <w:tcPr>
            <w:tcW w:w="540" w:type="pct"/>
            <w:vMerge w:val="restart"/>
            <w:shd w:val="clear" w:color="auto" w:fill="FFFFFF"/>
            <w:vAlign w:val="center"/>
          </w:tcPr>
          <w:p w14:paraId="35A3192F" w14:textId="2B1209BB"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75D01" w:rsidRPr="004D717D" w:rsidRDefault="00275D01" w:rsidP="00275D01">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75D01" w:rsidRPr="00CD6114" w14:paraId="388ADADB" w14:textId="77777777" w:rsidTr="005660A5">
        <w:trPr>
          <w:trHeight w:val="196"/>
        </w:trPr>
        <w:tc>
          <w:tcPr>
            <w:tcW w:w="540" w:type="pct"/>
            <w:vMerge/>
            <w:shd w:val="clear" w:color="auto" w:fill="FFFFFF"/>
            <w:vAlign w:val="center"/>
          </w:tcPr>
          <w:p w14:paraId="047DB0D5" w14:textId="77777777" w:rsidR="00275D01" w:rsidRPr="004D717D" w:rsidRDefault="00275D01" w:rsidP="00275D01">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51F2827" w:rsidR="00275D01" w:rsidRPr="004D717D" w:rsidRDefault="00BD6F8D" w:rsidP="00BD6F8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2F68F" w14:textId="77777777" w:rsidR="007E37F2" w:rsidRDefault="007E37F2">
      <w:pPr>
        <w:spacing w:after="0" w:line="240" w:lineRule="auto"/>
      </w:pPr>
      <w:r>
        <w:separator/>
      </w:r>
    </w:p>
  </w:endnote>
  <w:endnote w:type="continuationSeparator" w:id="0">
    <w:p w14:paraId="69203BDB" w14:textId="77777777" w:rsidR="007E37F2" w:rsidRDefault="007E3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97C72" w14:textId="77777777" w:rsidR="007E37F2" w:rsidRDefault="007E37F2">
      <w:pPr>
        <w:spacing w:after="0" w:line="240" w:lineRule="auto"/>
      </w:pPr>
      <w:r>
        <w:separator/>
      </w:r>
    </w:p>
  </w:footnote>
  <w:footnote w:type="continuationSeparator" w:id="0">
    <w:p w14:paraId="70EE480E" w14:textId="77777777" w:rsidR="007E37F2" w:rsidRDefault="007E37F2">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900AC"/>
    <w:rsid w:val="000F1F44"/>
    <w:rsid w:val="001077B4"/>
    <w:rsid w:val="00125726"/>
    <w:rsid w:val="00127D6D"/>
    <w:rsid w:val="0015530A"/>
    <w:rsid w:val="0015588A"/>
    <w:rsid w:val="00164454"/>
    <w:rsid w:val="00190446"/>
    <w:rsid w:val="001935A9"/>
    <w:rsid w:val="001945AD"/>
    <w:rsid w:val="001C1D68"/>
    <w:rsid w:val="001F7182"/>
    <w:rsid w:val="0024495D"/>
    <w:rsid w:val="00245DB9"/>
    <w:rsid w:val="00252418"/>
    <w:rsid w:val="0025284C"/>
    <w:rsid w:val="00256C00"/>
    <w:rsid w:val="00264F8A"/>
    <w:rsid w:val="00275D01"/>
    <w:rsid w:val="002C0075"/>
    <w:rsid w:val="00327AD7"/>
    <w:rsid w:val="00331187"/>
    <w:rsid w:val="0033483E"/>
    <w:rsid w:val="00352E13"/>
    <w:rsid w:val="003602CB"/>
    <w:rsid w:val="003607FC"/>
    <w:rsid w:val="00364BED"/>
    <w:rsid w:val="003725DA"/>
    <w:rsid w:val="00383738"/>
    <w:rsid w:val="00390F7D"/>
    <w:rsid w:val="003B0C56"/>
    <w:rsid w:val="003C4574"/>
    <w:rsid w:val="003E056F"/>
    <w:rsid w:val="003E3E9E"/>
    <w:rsid w:val="00401090"/>
    <w:rsid w:val="0040213B"/>
    <w:rsid w:val="00436D85"/>
    <w:rsid w:val="00442C9E"/>
    <w:rsid w:val="00477588"/>
    <w:rsid w:val="00483B31"/>
    <w:rsid w:val="004D717D"/>
    <w:rsid w:val="004F40AA"/>
    <w:rsid w:val="005125C6"/>
    <w:rsid w:val="00536928"/>
    <w:rsid w:val="0054310E"/>
    <w:rsid w:val="005467B3"/>
    <w:rsid w:val="005660A5"/>
    <w:rsid w:val="005A0C02"/>
    <w:rsid w:val="005B5933"/>
    <w:rsid w:val="005E1214"/>
    <w:rsid w:val="005F3628"/>
    <w:rsid w:val="00612C81"/>
    <w:rsid w:val="00642172"/>
    <w:rsid w:val="0064252D"/>
    <w:rsid w:val="0064253C"/>
    <w:rsid w:val="00653E09"/>
    <w:rsid w:val="006711D1"/>
    <w:rsid w:val="00674061"/>
    <w:rsid w:val="0069166F"/>
    <w:rsid w:val="00695C75"/>
    <w:rsid w:val="006A6602"/>
    <w:rsid w:val="006B11A4"/>
    <w:rsid w:val="006B3403"/>
    <w:rsid w:val="006C0C28"/>
    <w:rsid w:val="006D1E38"/>
    <w:rsid w:val="006F6C06"/>
    <w:rsid w:val="007075FC"/>
    <w:rsid w:val="00731542"/>
    <w:rsid w:val="00731559"/>
    <w:rsid w:val="00733C73"/>
    <w:rsid w:val="007342CC"/>
    <w:rsid w:val="007B7712"/>
    <w:rsid w:val="007C3E28"/>
    <w:rsid w:val="007D331B"/>
    <w:rsid w:val="007E37F2"/>
    <w:rsid w:val="007E6159"/>
    <w:rsid w:val="00836FFF"/>
    <w:rsid w:val="00850314"/>
    <w:rsid w:val="00866D4A"/>
    <w:rsid w:val="00883093"/>
    <w:rsid w:val="00894AA9"/>
    <w:rsid w:val="008C549A"/>
    <w:rsid w:val="008D2D62"/>
    <w:rsid w:val="008E092F"/>
    <w:rsid w:val="008E42F2"/>
    <w:rsid w:val="008F11E7"/>
    <w:rsid w:val="00905540"/>
    <w:rsid w:val="00914A56"/>
    <w:rsid w:val="0098502E"/>
    <w:rsid w:val="00A53448"/>
    <w:rsid w:val="00A85575"/>
    <w:rsid w:val="00B004ED"/>
    <w:rsid w:val="00B23783"/>
    <w:rsid w:val="00B41C71"/>
    <w:rsid w:val="00B935D1"/>
    <w:rsid w:val="00B96737"/>
    <w:rsid w:val="00BB0229"/>
    <w:rsid w:val="00BC5E90"/>
    <w:rsid w:val="00BC6C35"/>
    <w:rsid w:val="00BD6F8D"/>
    <w:rsid w:val="00BE07E0"/>
    <w:rsid w:val="00BE3719"/>
    <w:rsid w:val="00BF5CF1"/>
    <w:rsid w:val="00C1140E"/>
    <w:rsid w:val="00C24106"/>
    <w:rsid w:val="00C4222B"/>
    <w:rsid w:val="00C461E7"/>
    <w:rsid w:val="00C74129"/>
    <w:rsid w:val="00CB0FCC"/>
    <w:rsid w:val="00CB6FF5"/>
    <w:rsid w:val="00CB7DED"/>
    <w:rsid w:val="00CD6114"/>
    <w:rsid w:val="00D200A1"/>
    <w:rsid w:val="00D274C9"/>
    <w:rsid w:val="00D3328C"/>
    <w:rsid w:val="00D35C3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D601A"/>
    <w:rsid w:val="00ED740D"/>
    <w:rsid w:val="00EE059E"/>
    <w:rsid w:val="00EE7A23"/>
    <w:rsid w:val="00EF1BED"/>
    <w:rsid w:val="00EF554F"/>
    <w:rsid w:val="00F02ACD"/>
    <w:rsid w:val="00F06942"/>
    <w:rsid w:val="00F406AD"/>
    <w:rsid w:val="00F451B5"/>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character" w:customStyle="1" w:styleId="docdata">
    <w:name w:val="docdata"/>
    <w:aliases w:val="docy,v5,5029,bqiaagaaeyqcaaagiaiaaanxbwaaba0maaaaaaaaaaaaaaaaaaaaaaaaaaaaaaaaaaaaaaaaaaaaaaaaaaaaaaaaaaaaaaaaaaaaaaaaaaaaaaaaaaaaaaaaaaaaaaaaaaaaaaaaaaaaaaaaaaaaaaaaaaaaaaaaaaaaaaaaaaaaaaaaaaaaaaaaaaaaaaaaaaaaaaaaaaaaaaaaaaaaaaaaaaaaaaaaaaaaaaaa"/>
    <w:basedOn w:val="a0"/>
    <w:rsid w:val="005F3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002697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59150688">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92955220">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30552"/>
    <w:rsid w:val="0015062D"/>
    <w:rsid w:val="001A7E61"/>
    <w:rsid w:val="00203520"/>
    <w:rsid w:val="00274A39"/>
    <w:rsid w:val="002D74EE"/>
    <w:rsid w:val="002E4821"/>
    <w:rsid w:val="003D5AC7"/>
    <w:rsid w:val="003F2A8D"/>
    <w:rsid w:val="004513CA"/>
    <w:rsid w:val="00456446"/>
    <w:rsid w:val="00504A7E"/>
    <w:rsid w:val="00520195"/>
    <w:rsid w:val="00535AB8"/>
    <w:rsid w:val="007B1876"/>
    <w:rsid w:val="007E059C"/>
    <w:rsid w:val="00851BFF"/>
    <w:rsid w:val="00BF119F"/>
    <w:rsid w:val="00C06FB2"/>
    <w:rsid w:val="00C37B34"/>
    <w:rsid w:val="00C45BE3"/>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59174-7BDB-42FB-B5EE-7CB5C7915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5593</Words>
  <Characters>31886</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DOC-MARKER-_FylRkKPS20ZrmemeCMSGQ</dc:description>
  <cp:lastModifiedBy>User119</cp:lastModifiedBy>
  <cp:revision>5</cp:revision>
  <dcterms:created xsi:type="dcterms:W3CDTF">2026-05-07T11:39:00Z</dcterms:created>
  <dcterms:modified xsi:type="dcterms:W3CDTF">2026-05-07T11:47:00Z</dcterms:modified>
</cp:coreProperties>
</file>