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3A" w:rsidRPr="007C133A" w:rsidRDefault="007C133A" w:rsidP="007C133A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docStart_1"/>
      <w:bookmarkStart w:id="1" w:name="_title_1"/>
      <w:bookmarkStart w:id="2" w:name="_ref_1-9614b2652d3b49"/>
      <w:bookmarkEnd w:id="0"/>
      <w:r w:rsidRPr="007C133A">
        <w:rPr>
          <w:rFonts w:ascii="Times New Roman" w:hAnsi="Times New Roman" w:cs="Times New Roman"/>
          <w:i/>
          <w:u w:val="single"/>
        </w:rPr>
        <w:t xml:space="preserve">Приложение № 1 </w:t>
      </w:r>
    </w:p>
    <w:p w:rsidR="004A475D" w:rsidRPr="004A475D" w:rsidRDefault="004A475D" w:rsidP="004A475D">
      <w:pPr>
        <w:ind w:left="1440"/>
        <w:jc w:val="center"/>
        <w:rPr>
          <w:rFonts w:ascii="Times New Roman" w:hAnsi="Times New Roman" w:cs="Times New Roman"/>
          <w:i/>
          <w:u w:val="single"/>
        </w:rPr>
      </w:pPr>
      <w:r w:rsidRPr="004A475D">
        <w:rPr>
          <w:rFonts w:ascii="Times New Roman" w:hAnsi="Times New Roman" w:cs="Times New Roman"/>
          <w:i/>
          <w:highlight w:val="yellow"/>
          <w:u w:val="single"/>
        </w:rPr>
        <w:t>ФОРМА ДОГОВОРА: СЫРЬЕ ДЛЯ ИЗГОТОВЛЕНИЯ Х/Б</w:t>
      </w:r>
      <w:r w:rsidRPr="004A475D">
        <w:rPr>
          <w:rFonts w:ascii="Times New Roman" w:hAnsi="Times New Roman" w:cs="Times New Roman"/>
          <w:i/>
          <w:u w:val="single"/>
        </w:rPr>
        <w:t xml:space="preserve"> -  по заявкам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7C133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7C133A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Закупочной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</w:t>
      </w:r>
      <w:proofErr w:type="gramStart"/>
      <w:r w:rsidRPr="004A475D">
        <w:t xml:space="preserve">изделий </w:t>
      </w:r>
      <w:r w:rsidR="007C133A">
        <w:t xml:space="preserve"> </w:t>
      </w:r>
      <w:r w:rsidRPr="004A475D">
        <w:t>–</w:t>
      </w:r>
      <w:proofErr w:type="gramEnd"/>
      <w:r w:rsidR="007C133A">
        <w:t xml:space="preserve"> </w:t>
      </w:r>
      <w:r w:rsidR="007C133A" w:rsidRPr="007C133A">
        <w:rPr>
          <w:b/>
          <w:i/>
        </w:rPr>
        <w:t>«н</w:t>
      </w:r>
      <w:r w:rsidR="007C133A" w:rsidRPr="007C133A">
        <w:rPr>
          <w:rFonts w:eastAsia="Calibri"/>
          <w:b/>
          <w:i/>
          <w:sz w:val="24"/>
          <w:szCs w:val="24"/>
        </w:rPr>
        <w:t>ачинка кремовая</w:t>
      </w:r>
      <w:r w:rsidR="007C133A" w:rsidRPr="00204B66">
        <w:rPr>
          <w:rFonts w:eastAsia="Calibri"/>
          <w:b/>
          <w:sz w:val="24"/>
          <w:szCs w:val="24"/>
        </w:rPr>
        <w:t xml:space="preserve"> </w:t>
      </w:r>
      <w:proofErr w:type="spellStart"/>
      <w:r w:rsidR="007C133A" w:rsidRPr="007C133A">
        <w:rPr>
          <w:rFonts w:eastAsia="Calibri"/>
          <w:b/>
          <w:i/>
          <w:sz w:val="24"/>
          <w:szCs w:val="24"/>
        </w:rPr>
        <w:t>нетермо</w:t>
      </w:r>
      <w:proofErr w:type="spellEnd"/>
      <w:r w:rsidR="007C133A" w:rsidRPr="007C133A">
        <w:rPr>
          <w:rFonts w:eastAsia="Calibri"/>
          <w:b/>
          <w:i/>
          <w:sz w:val="24"/>
          <w:szCs w:val="24"/>
        </w:rPr>
        <w:t>-стабильная нестерилизованная со вкусом вареной сгущёнки</w:t>
      </w:r>
      <w:r w:rsidR="007C133A">
        <w:rPr>
          <w:rFonts w:eastAsia="Calibri"/>
          <w:b/>
          <w:sz w:val="24"/>
          <w:szCs w:val="24"/>
        </w:rPr>
        <w:t>»</w:t>
      </w:r>
      <w:r w:rsidRPr="004A475D">
        <w:t xml:space="preserve">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20%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до </w:t>
      </w:r>
      <w:proofErr w:type="gramStart"/>
      <w:r w:rsidRPr="004A475D">
        <w:rPr>
          <w:rStyle w:val="a5"/>
          <w:b w:val="0"/>
          <w:color w:val="000000"/>
          <w:shd w:val="clear" w:color="auto" w:fill="FFFFFF"/>
        </w:rPr>
        <w:t>«  </w:t>
      </w:r>
      <w:proofErr w:type="gramEnd"/>
      <w:r w:rsidRPr="004A475D">
        <w:rPr>
          <w:rStyle w:val="a5"/>
          <w:b w:val="0"/>
          <w:color w:val="000000"/>
          <w:shd w:val="clear" w:color="auto" w:fill="FFFFFF"/>
        </w:rPr>
        <w:t xml:space="preserve"> »      202_  года.,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11.5.4. </w:t>
      </w:r>
      <w:r w:rsidRPr="003365CA">
        <w:rPr>
          <w:rFonts w:ascii="Times New Roman" w:hAnsi="Times New Roman" w:cs="Times New Roman"/>
          <w:color w:val="FF0000"/>
        </w:rPr>
        <w:t>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7C133A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C1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C133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7C133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7C133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7C133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7C133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7C133A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1973"/>
        <w:gridCol w:w="1441"/>
        <w:gridCol w:w="1441"/>
        <w:gridCol w:w="3170"/>
        <w:gridCol w:w="1949"/>
      </w:tblGrid>
      <w:tr w:rsidR="009024DC" w:rsidRPr="009024DC" w:rsidTr="0088408E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proofErr w:type="gramStart"/>
            <w:r w:rsidRPr="009024DC">
              <w:rPr>
                <w:b/>
                <w:lang w:bidi="ru-RU"/>
              </w:rPr>
              <w:t>товара  (</w:t>
            </w:r>
            <w:proofErr w:type="gramEnd"/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88408E"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7C133A" w:rsidRPr="00905244" w:rsidRDefault="007C133A" w:rsidP="007C133A">
      <w:pPr>
        <w:spacing w:after="0" w:line="240" w:lineRule="auto"/>
        <w:rPr>
          <w:rFonts w:ascii="Times New Roman" w:hAnsi="Times New Roman" w:cs="Times New Roman"/>
        </w:rPr>
      </w:pPr>
      <w:r w:rsidRPr="00905244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7C133A" w:rsidRPr="009024DC" w:rsidRDefault="007C133A" w:rsidP="007C133A">
      <w:pPr>
        <w:spacing w:after="0" w:line="240" w:lineRule="auto"/>
        <w:rPr>
          <w:rFonts w:ascii="Times New Roman" w:hAnsi="Times New Roman" w:cs="Times New Roman"/>
        </w:rPr>
      </w:pPr>
    </w:p>
    <w:p w:rsidR="007C133A" w:rsidRPr="00905244" w:rsidRDefault="007C133A" w:rsidP="007C133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к</w:t>
      </w:r>
      <w:r w:rsidRPr="00905244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7C133A" w:rsidRDefault="007C133A" w:rsidP="007C133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5244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5244">
        <w:rPr>
          <w:rFonts w:ascii="Times New Roman" w:hAnsi="Times New Roman" w:cs="Times New Roman"/>
        </w:rPr>
        <w:t xml:space="preserve"> Автотранспортом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</w:t>
      </w:r>
      <w:proofErr w:type="gramStart"/>
      <w:r w:rsidRPr="00905244">
        <w:rPr>
          <w:rFonts w:ascii="Times New Roman" w:hAnsi="Times New Roman" w:cs="Times New Roman"/>
        </w:rPr>
        <w:t>производят</w:t>
      </w:r>
      <w:proofErr w:type="gramEnd"/>
      <w:r w:rsidRPr="00905244">
        <w:rPr>
          <w:rFonts w:ascii="Times New Roman" w:hAnsi="Times New Roman" w:cs="Times New Roman"/>
        </w:rPr>
        <w:t xml:space="preserve"> на пластиковых поддонах размера: 1,2 м. х 0,8 м., грузоподъёмность которых до 1500кг. Товар на поддоне должен быть </w:t>
      </w:r>
      <w:proofErr w:type="spellStart"/>
      <w:r w:rsidRPr="00905244">
        <w:rPr>
          <w:rFonts w:ascii="Times New Roman" w:hAnsi="Times New Roman" w:cs="Times New Roman"/>
        </w:rPr>
        <w:t>опалечен</w:t>
      </w:r>
      <w:proofErr w:type="spellEnd"/>
      <w:r w:rsidRPr="00905244">
        <w:rPr>
          <w:rFonts w:ascii="Times New Roman" w:hAnsi="Times New Roman" w:cs="Times New Roman"/>
        </w:rPr>
        <w:t>, чтобы исключить смещение ведер на поддоне при транспортировке и выгрузке. Поставка на поддонах по 616 кг для возможности размещения на стеллажах (ограничение по высоте и весу)</w:t>
      </w:r>
      <w:r>
        <w:rPr>
          <w:rFonts w:ascii="Times New Roman" w:hAnsi="Times New Roman" w:cs="Times New Roman"/>
        </w:rPr>
        <w:t xml:space="preserve">. </w:t>
      </w:r>
      <w:r w:rsidRPr="00905244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7C133A" w:rsidRPr="00905244" w:rsidRDefault="007C133A" w:rsidP="007C133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5244">
        <w:rPr>
          <w:rFonts w:ascii="Times New Roman" w:hAnsi="Times New Roman" w:cs="Times New Roman"/>
          <w:b/>
        </w:rPr>
        <w:t>Условия</w:t>
      </w:r>
      <w:r w:rsidRPr="00905244">
        <w:rPr>
          <w:rFonts w:ascii="Times New Roman" w:hAnsi="Times New Roman" w:cs="Times New Roman"/>
          <w:b/>
          <w:lang w:val="uk-UA"/>
        </w:rPr>
        <w:t xml:space="preserve"> поставки: </w:t>
      </w:r>
      <w:r>
        <w:rPr>
          <w:rFonts w:ascii="Times New Roman" w:hAnsi="Times New Roman" w:cs="Times New Roman"/>
        </w:rPr>
        <w:t>п</w:t>
      </w:r>
      <w:r w:rsidRPr="00905244">
        <w:rPr>
          <w:rFonts w:ascii="Times New Roman" w:hAnsi="Times New Roman" w:cs="Times New Roman"/>
        </w:rPr>
        <w:t>оставка товара осуществляется в течение 1-го (одного) календарного дня после получения заявки, включая доставки в выходные и праздничные дни</w:t>
      </w:r>
    </w:p>
    <w:p w:rsidR="007C133A" w:rsidRPr="00905244" w:rsidRDefault="007C133A" w:rsidP="007C133A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</w:t>
      </w:r>
      <w:r w:rsidRPr="00905244">
        <w:rPr>
          <w:rFonts w:ascii="Times New Roman" w:hAnsi="Times New Roman" w:cs="Times New Roman"/>
          <w:lang w:val="uk-UA"/>
        </w:rPr>
        <w:t xml:space="preserve">оставка осуществляется по заявкам Заказчика на основании производственных </w:t>
      </w:r>
      <w:proofErr w:type="spellStart"/>
      <w:r w:rsidRPr="00905244">
        <w:rPr>
          <w:rFonts w:ascii="Times New Roman" w:hAnsi="Times New Roman" w:cs="Times New Roman"/>
          <w:lang w:val="uk-UA"/>
        </w:rPr>
        <w:t>потребностей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905244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Pr="00905244">
        <w:rPr>
          <w:rFonts w:ascii="Times New Roman" w:hAnsi="Times New Roman" w:cs="Times New Roman"/>
          <w:lang w:val="uk-UA"/>
        </w:rPr>
        <w:t>графиком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поставки (</w:t>
      </w:r>
      <w:proofErr w:type="spellStart"/>
      <w:r w:rsidRPr="00905244">
        <w:rPr>
          <w:rFonts w:ascii="Times New Roman" w:hAnsi="Times New Roman" w:cs="Times New Roman"/>
          <w:lang w:val="uk-UA"/>
        </w:rPr>
        <w:t>график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поставки </w:t>
      </w:r>
      <w:proofErr w:type="spellStart"/>
      <w:r w:rsidRPr="00905244">
        <w:rPr>
          <w:rFonts w:ascii="Times New Roman" w:hAnsi="Times New Roman" w:cs="Times New Roman"/>
          <w:lang w:val="uk-UA"/>
        </w:rPr>
        <w:t>составляется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05244">
        <w:rPr>
          <w:rFonts w:ascii="Times New Roman" w:hAnsi="Times New Roman" w:cs="Times New Roman"/>
          <w:lang w:val="uk-UA"/>
        </w:rPr>
        <w:t>после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05244">
        <w:rPr>
          <w:rFonts w:ascii="Times New Roman" w:hAnsi="Times New Roman" w:cs="Times New Roman"/>
          <w:lang w:val="uk-UA"/>
        </w:rPr>
        <w:t>заключения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05244">
        <w:rPr>
          <w:rFonts w:ascii="Times New Roman" w:hAnsi="Times New Roman" w:cs="Times New Roman"/>
          <w:lang w:val="uk-UA"/>
        </w:rPr>
        <w:t>договора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05244">
        <w:rPr>
          <w:rFonts w:ascii="Times New Roman" w:hAnsi="Times New Roman" w:cs="Times New Roman"/>
          <w:lang w:val="uk-UA"/>
        </w:rPr>
        <w:t>может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05244">
        <w:rPr>
          <w:rFonts w:ascii="Times New Roman" w:hAnsi="Times New Roman" w:cs="Times New Roman"/>
          <w:lang w:val="uk-UA"/>
        </w:rPr>
        <w:t>меняться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Pr="00905244">
        <w:rPr>
          <w:rFonts w:ascii="Times New Roman" w:hAnsi="Times New Roman" w:cs="Times New Roman"/>
          <w:lang w:val="uk-UA"/>
        </w:rPr>
        <w:t>согласованию</w:t>
      </w:r>
      <w:proofErr w:type="spellEnd"/>
      <w:r w:rsidRPr="00905244">
        <w:rPr>
          <w:rFonts w:ascii="Times New Roman" w:hAnsi="Times New Roman" w:cs="Times New Roman"/>
          <w:lang w:val="uk-UA"/>
        </w:rPr>
        <w:t xml:space="preserve"> Заказчика с </w:t>
      </w:r>
      <w:proofErr w:type="spellStart"/>
      <w:r w:rsidRPr="00905244">
        <w:rPr>
          <w:rFonts w:ascii="Times New Roman" w:hAnsi="Times New Roman" w:cs="Times New Roman"/>
          <w:lang w:val="uk-UA"/>
        </w:rPr>
        <w:t>Поставщиком</w:t>
      </w:r>
      <w:proofErr w:type="spellEnd"/>
      <w:r w:rsidRPr="00905244">
        <w:rPr>
          <w:rFonts w:ascii="Times New Roman" w:hAnsi="Times New Roman" w:cs="Times New Roman"/>
          <w:lang w:val="uk-UA"/>
        </w:rPr>
        <w:t>).</w:t>
      </w:r>
    </w:p>
    <w:p w:rsidR="007C133A" w:rsidRPr="00750381" w:rsidRDefault="007C133A" w:rsidP="007C133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Pr="00905244">
        <w:rPr>
          <w:rFonts w:ascii="Times New Roman" w:hAnsi="Times New Roman" w:cs="Times New Roman"/>
        </w:rPr>
        <w:t xml:space="preserve">АО "СМАК" ОП производственная площадка РАМКОН, 140103, Московская </w:t>
      </w:r>
      <w:proofErr w:type="spellStart"/>
      <w:r w:rsidRPr="00905244">
        <w:rPr>
          <w:rFonts w:ascii="Times New Roman" w:hAnsi="Times New Roman" w:cs="Times New Roman"/>
        </w:rPr>
        <w:t>обл</w:t>
      </w:r>
      <w:proofErr w:type="spellEnd"/>
      <w:r w:rsidRPr="00905244">
        <w:rPr>
          <w:rFonts w:ascii="Times New Roman" w:hAnsi="Times New Roman" w:cs="Times New Roman"/>
        </w:rPr>
        <w:t xml:space="preserve">, Раменский </w:t>
      </w:r>
      <w:proofErr w:type="spellStart"/>
      <w:r w:rsidRPr="00905244">
        <w:rPr>
          <w:rFonts w:ascii="Times New Roman" w:hAnsi="Times New Roman" w:cs="Times New Roman"/>
        </w:rPr>
        <w:t>г.о</w:t>
      </w:r>
      <w:proofErr w:type="spellEnd"/>
      <w:r w:rsidRPr="00905244">
        <w:rPr>
          <w:rFonts w:ascii="Times New Roman" w:hAnsi="Times New Roman" w:cs="Times New Roman"/>
        </w:rPr>
        <w:t xml:space="preserve">., Раменское г., 4-й км </w:t>
      </w:r>
      <w:proofErr w:type="spellStart"/>
      <w:r w:rsidRPr="00905244">
        <w:rPr>
          <w:rFonts w:ascii="Times New Roman" w:hAnsi="Times New Roman" w:cs="Times New Roman"/>
        </w:rPr>
        <w:t>Донинское</w:t>
      </w:r>
      <w:proofErr w:type="spellEnd"/>
      <w:r w:rsidRPr="00905244">
        <w:rPr>
          <w:rFonts w:ascii="Times New Roman" w:hAnsi="Times New Roman" w:cs="Times New Roman"/>
        </w:rPr>
        <w:t xml:space="preserve"> ш, стр. 14 офис 1</w:t>
      </w:r>
      <w:r>
        <w:rPr>
          <w:rFonts w:ascii="Times New Roman" w:hAnsi="Times New Roman" w:cs="Times New Roman"/>
        </w:rPr>
        <w:t xml:space="preserve"> </w:t>
      </w:r>
      <w:r w:rsidRPr="00750381">
        <w:rPr>
          <w:rFonts w:ascii="Times New Roman" w:hAnsi="Times New Roman" w:cs="Times New Roman"/>
        </w:rPr>
        <w:t xml:space="preserve">(время приемки - с 8:00 по 14:00). </w:t>
      </w:r>
    </w:p>
    <w:p w:rsidR="007C133A" w:rsidRDefault="007C133A" w:rsidP="007C133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 поставки:</w:t>
      </w:r>
      <w:r w:rsidRPr="00902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даты заключения по</w:t>
      </w:r>
      <w:r w:rsidRPr="00905244">
        <w:rPr>
          <w:rFonts w:ascii="Times New Roman" w:hAnsi="Times New Roman" w:cs="Times New Roman"/>
        </w:rPr>
        <w:t xml:space="preserve"> 31.0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905244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г.</w:t>
      </w:r>
    </w:p>
    <w:p w:rsidR="007C133A" w:rsidRPr="00905244" w:rsidRDefault="007C133A" w:rsidP="007C133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5244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905244">
        <w:rPr>
          <w:rFonts w:ascii="Times New Roman" w:hAnsi="Times New Roman" w:cs="Times New Roman"/>
        </w:rPr>
        <w:t xml:space="preserve"> в момент его приемки должен составлять не менее 2/3 от общего срока годности (срока хранения).</w:t>
      </w:r>
    </w:p>
    <w:p w:rsidR="007C133A" w:rsidRPr="00905244" w:rsidRDefault="007C133A" w:rsidP="007C133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5244">
        <w:rPr>
          <w:rFonts w:ascii="Times New Roman" w:hAnsi="Times New Roman" w:cs="Times New Roman"/>
          <w:b/>
        </w:rPr>
        <w:t>Приемка товара:</w:t>
      </w:r>
      <w:r w:rsidRPr="00905244">
        <w:rPr>
          <w:rFonts w:ascii="Times New Roman" w:hAnsi="Times New Roman" w:cs="Times New Roman"/>
        </w:rPr>
        <w:t xml:space="preserve"> в течение 2 (двух) рабочих дней.</w:t>
      </w:r>
    </w:p>
    <w:p w:rsidR="007C133A" w:rsidRPr="00905244" w:rsidRDefault="007C133A" w:rsidP="007C133A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lastRenderedPageBreak/>
        <w:t>9.  Замена товара ненадлежащего качества:</w:t>
      </w:r>
      <w:r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7C133A" w:rsidRPr="009024DC" w:rsidRDefault="007C133A" w:rsidP="007C133A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 w:rsidRPr="009024DC">
        <w:rPr>
          <w:rFonts w:ascii="Times New Roman" w:hAnsi="Times New Roman" w:cs="Times New Roman"/>
          <w:b/>
        </w:rPr>
        <w:t>10 . Страна происхождения товара</w:t>
      </w:r>
      <w:r w:rsidRPr="007503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Россия.</w:t>
      </w:r>
    </w:p>
    <w:p w:rsidR="007C133A" w:rsidRPr="009024DC" w:rsidRDefault="007C133A" w:rsidP="007C133A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11.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7C133A" w:rsidRDefault="007C133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7C133A" w:rsidRDefault="004A475D" w:rsidP="007C133A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</w:t>
      </w:r>
    </w:p>
    <w:p w:rsidR="004A475D" w:rsidRPr="004A475D" w:rsidRDefault="004A475D" w:rsidP="007C13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эксплуатационные характеристики товара 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52"/>
        <w:gridCol w:w="437"/>
        <w:gridCol w:w="6662"/>
      </w:tblGrid>
      <w:tr w:rsidR="007C133A" w:rsidRPr="00911CFB" w:rsidTr="00F332D8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60" w:name="RANGE!A1:G60"/>
            <w:r w:rsidRPr="009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  <w:bookmarkEnd w:id="60"/>
          </w:p>
        </w:tc>
        <w:bookmarkStart w:id="61" w:name="_GoBack"/>
        <w:bookmarkEnd w:id="61"/>
      </w:tr>
      <w:tr w:rsidR="007C133A" w:rsidRPr="00911CFB" w:rsidTr="00F332D8">
        <w:trPr>
          <w:trHeight w:val="55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Начинка кремовая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нетермостабильная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нестерилизова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нная со вкусом вареной сгущенки, изготовитель 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Любимцева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Е.С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7C133A" w:rsidRPr="00911CFB" w:rsidTr="00F332D8">
        <w:trPr>
          <w:trHeight w:val="450"/>
        </w:trPr>
        <w:tc>
          <w:tcPr>
            <w:tcW w:w="2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Для внесения в хлебобулочные, кондитерские изделия после выпечки. Срок годности хлебобулочных изделий 60 суток, срок годности кондитерских изделий 5 месяцев</w:t>
            </w:r>
          </w:p>
        </w:tc>
      </w:tr>
      <w:tr w:rsidR="007C133A" w:rsidRPr="00911CFB" w:rsidTr="00F332D8">
        <w:trPr>
          <w:trHeight w:val="840"/>
        </w:trPr>
        <w:tc>
          <w:tcPr>
            <w:tcW w:w="2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585"/>
        </w:trPr>
        <w:tc>
          <w:tcPr>
            <w:tcW w:w="93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133A" w:rsidRPr="00911CFB" w:rsidTr="00F332D8">
        <w:trPr>
          <w:trHeight w:val="87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</w:tr>
      <w:tr w:rsidR="007C133A" w:rsidRPr="00911CFB" w:rsidTr="00F332D8">
        <w:trPr>
          <w:trHeight w:val="93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Сахар, вода, жир специального назначения (рафинированные дезодорированные растительные масла: пальмовое, пальмоядровое, эмульгатор- моно- и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диглицериды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жирных кислот, соевый лецитин, патока, сухое обезжиренное молоко,  стабилизатор - модифицированный крахмал, пищевые волокна, комплексная пищевая добавка (эмульгатор - микрокристаллическая целлюлоза, </w:t>
            </w:r>
            <w:r w:rsidRPr="00853CA1">
              <w:rPr>
                <w:rFonts w:ascii="Times New Roman" w:eastAsia="Times New Roman" w:hAnsi="Times New Roman" w:cs="Times New Roman"/>
                <w:lang w:eastAsia="ru-RU"/>
              </w:rPr>
              <w:t>эмульгатор крахмал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стабилизатор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карбоксиметилцеллюлозы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натриевая соль, соль пищевая, консервант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калия, регулятор кислотности - лимонная кислота, красители пищевые - диоксид титана, сахарный колер I,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ароматизатор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"Вареная сгущенка"</w:t>
            </w:r>
          </w:p>
        </w:tc>
      </w:tr>
      <w:tr w:rsidR="007C133A" w:rsidRPr="00911CFB" w:rsidTr="00F332D8">
        <w:trPr>
          <w:trHeight w:val="21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79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Не асептическая полимерная тара с полимерными мешками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вкладышами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весом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нетто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14 кг.</w:t>
            </w:r>
          </w:p>
        </w:tc>
      </w:tr>
      <w:tr w:rsidR="007C133A" w:rsidRPr="00911CFB" w:rsidTr="00F332D8">
        <w:trPr>
          <w:trHeight w:val="150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proofErr w:type="gram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вид: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Густая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мягкая мажущаяся масса, не растекающаяся по горизонтальной поверхности, без наличия ощущаемых кристаллов сахара. Допускается изменение консистенции, включая незначительное расслоение, которое легко восстанавливается при механическом воздействии (перемешивание).</w:t>
            </w:r>
          </w:p>
        </w:tc>
      </w:tr>
      <w:tr w:rsidR="007C133A" w:rsidRPr="00911CFB" w:rsidTr="00F332D8">
        <w:trPr>
          <w:trHeight w:val="5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Цвет: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коричневый</w:t>
            </w:r>
          </w:p>
        </w:tc>
      </w:tr>
      <w:tr w:rsidR="007C133A" w:rsidRPr="00911CFB" w:rsidTr="00F332D8">
        <w:trPr>
          <w:trHeight w:val="66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Вкус и запах: сладкий вкус, с ароматом и вкусом вареной сгущенки.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Не допускается постороннего привкуса и запаха</w:t>
            </w:r>
          </w:p>
        </w:tc>
      </w:tr>
      <w:tr w:rsidR="007C133A" w:rsidRPr="00911CFB" w:rsidTr="00F332D8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сухих веществ: 68</w:t>
            </w:r>
            <w:r w:rsidRPr="00911CFB">
              <w:rPr>
                <w:rFonts w:ascii="Calibri" w:eastAsia="Times New Roman" w:hAnsi="Calibri" w:cs="Calibri"/>
                <w:lang w:eastAsia="ru-RU"/>
              </w:rPr>
              <w:t>±2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C133A" w:rsidRPr="00911CFB" w:rsidTr="00F332D8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общего сахара в пересчете на сухое вещество: </w:t>
            </w:r>
          </w:p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C133A" w:rsidRPr="00911CFB" w:rsidTr="00F332D8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сорбиновой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кислоты: не более 0,15%</w:t>
            </w:r>
          </w:p>
        </w:tc>
      </w:tr>
      <w:tr w:rsidR="007C133A" w:rsidRPr="00911CFB" w:rsidTr="00F332D8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жира в пересчете на сухое вещество   9,6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</w:tr>
      <w:tr w:rsidR="007C133A" w:rsidRPr="00911CFB" w:rsidTr="00F332D8">
        <w:trPr>
          <w:trHeight w:val="64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Энергетическая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пищевая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ценность на 100 г продукта (калорийность)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Белки - 0,7г, Жиры - 7,0 г, углеводы - 63,0 г;  </w:t>
            </w:r>
          </w:p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1359 кДж/318 ккал</w:t>
            </w:r>
          </w:p>
        </w:tc>
      </w:tr>
      <w:tr w:rsidR="007C133A" w:rsidRPr="00911CFB" w:rsidTr="00F332D8">
        <w:trPr>
          <w:trHeight w:val="10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Показатели безопасности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</w:t>
            </w: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33A" w:rsidRPr="00911CFB" w:rsidTr="00F332D8">
        <w:trPr>
          <w:trHeight w:val="12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 показатели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 </w:t>
            </w:r>
          </w:p>
        </w:tc>
      </w:tr>
      <w:tr w:rsidR="007C133A" w:rsidRPr="00911CFB" w:rsidTr="00F332D8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менее 9 месяцев со дня изготовления</w:t>
            </w:r>
          </w:p>
        </w:tc>
      </w:tr>
      <w:tr w:rsidR="007C133A" w:rsidRPr="00911CFB" w:rsidTr="00F332D8">
        <w:trPr>
          <w:trHeight w:val="99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при температуре от +1°С до +25°С и относительной влажности воздуха не более 75%.</w:t>
            </w:r>
          </w:p>
        </w:tc>
      </w:tr>
      <w:tr w:rsidR="007C133A" w:rsidRPr="00911CFB" w:rsidTr="00F332D8">
        <w:trPr>
          <w:trHeight w:val="6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включая выходные и праздничные дни,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 ассортименте и количестве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указанным в заявке</w:t>
            </w:r>
          </w:p>
        </w:tc>
      </w:tr>
      <w:tr w:rsidR="007C133A" w:rsidRPr="00911CFB" w:rsidTr="00F332D8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</w:tr>
      <w:tr w:rsidR="007C133A" w:rsidRPr="00911CFB" w:rsidTr="00F332D8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</w:tr>
      <w:tr w:rsidR="007C133A" w:rsidRPr="00911CFB" w:rsidTr="00F332D8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</w:tr>
      <w:tr w:rsidR="007C133A" w:rsidRPr="00911CFB" w:rsidTr="00F332D8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7C133A" w:rsidRPr="00911CFB" w:rsidTr="00F332D8">
        <w:trPr>
          <w:trHeight w:val="162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ТС 021/2011 "О безопасности пищевой продукции"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 ТС 022/2011 "Пищевая продукция в части ее маркировки"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ТР/ТС 029/2012 "Требования безопасности пищевых добавок,     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технологических вспомогательных средств"                                                                                                                     </w:t>
            </w:r>
          </w:p>
        </w:tc>
      </w:tr>
      <w:tr w:rsidR="007C133A" w:rsidRPr="00911CFB" w:rsidTr="00F332D8">
        <w:trPr>
          <w:trHeight w:val="7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7C133A" w:rsidRPr="00911CFB" w:rsidTr="00F332D8">
        <w:trPr>
          <w:trHeight w:val="8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7C133A" w:rsidRPr="00911CFB" w:rsidTr="00F332D8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7C133A" w:rsidRPr="00911CFB" w:rsidTr="00F332D8">
        <w:trPr>
          <w:trHeight w:val="157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пластиковых поддонах 800х1200 мм. Поддон с товаром должен быть обмотан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стрейч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-пленкой для возможности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еремещения поддона с товаром по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средством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электропогрузчика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или штабелера.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возможности размещения поддонов на стеллажах в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ысо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 поддона с товаром не более 120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вес продукции нетто не более 616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7C133A" w:rsidRPr="00911CFB" w:rsidTr="00F332D8">
        <w:trPr>
          <w:trHeight w:val="157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53B">
              <w:rPr>
                <w:rFonts w:ascii="Times New Roman" w:hAnsi="Times New Roman" w:cs="Times New Roman"/>
                <w:b/>
                <w:bCs/>
              </w:rPr>
              <w:t>Условия транспортировки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Default="007C133A" w:rsidP="00F332D8">
            <w:pPr>
              <w:rPr>
                <w:rFonts w:ascii="Times New Roman" w:hAnsi="Times New Roman" w:cs="Times New Roman"/>
              </w:rPr>
            </w:pPr>
            <w:r w:rsidRPr="006F4633">
              <w:rPr>
                <w:rFonts w:ascii="Times New Roman" w:hAnsi="Times New Roman" w:cs="Times New Roman"/>
              </w:rPr>
              <w:t xml:space="preserve">Температура транспортировки должна соответствовать температуре хранения продукта, а также должна обеспечивать физико-химическую и микробиологическую сохранность продукта в соответствии с требованиями </w:t>
            </w:r>
            <w:r>
              <w:rPr>
                <w:rFonts w:ascii="Times New Roman" w:hAnsi="Times New Roman" w:cs="Times New Roman"/>
              </w:rPr>
              <w:t>СТО 2000705430-003-2020</w:t>
            </w:r>
          </w:p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 температуре не выше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°С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 отчетом 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терморегистратора</w:t>
            </w:r>
            <w:proofErr w:type="spellEnd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должен быть с действующим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свидетельством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7C133A" w:rsidRPr="00911CFB" w:rsidTr="00F332D8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Требование к маркировке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1C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информации в соответствии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с ГОСТ Р 51074-2003 "Информация для потребителя" п.4.13.2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«Пищевая продукция в части ее маркировки"</w:t>
            </w:r>
          </w:p>
        </w:tc>
      </w:tr>
      <w:tr w:rsidR="007C133A" w:rsidRPr="00911CFB" w:rsidTr="00F332D8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сопроводительным документам</w:t>
            </w:r>
          </w:p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Pr="00911CFB" w:rsidRDefault="007C133A" w:rsidP="00F3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7C133A" w:rsidRPr="00911CFB" w:rsidTr="00F332D8">
        <w:trPr>
          <w:trHeight w:val="65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3A" w:rsidRPr="00911CFB" w:rsidRDefault="007C133A" w:rsidP="00F33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ФИО ответственного по техническому заданию</w:t>
            </w:r>
            <w:r w:rsidRPr="004022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Корлякова</w:t>
            </w:r>
            <w:proofErr w:type="spellEnd"/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О.Л. 8-496-46-186-61</w:t>
            </w:r>
          </w:p>
        </w:tc>
      </w:tr>
    </w:tbl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2" w:name="_docEnd_5"/>
      <w:bookmarkEnd w:id="62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3" w:name="_Toc19627812"/>
      <w:bookmarkStart w:id="64" w:name="_Toc19627726"/>
      <w:bookmarkStart w:id="65" w:name="_Toc19627644"/>
      <w:bookmarkStart w:id="66" w:name="_Toc19627589"/>
      <w:bookmarkStart w:id="67" w:name="_Toc19627504"/>
      <w:bookmarkStart w:id="68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3"/>
      <w:bookmarkEnd w:id="64"/>
      <w:bookmarkEnd w:id="65"/>
      <w:bookmarkEnd w:id="66"/>
      <w:bookmarkEnd w:id="67"/>
      <w:bookmarkEnd w:id="68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9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9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0" w:name="_Toc19627727"/>
      <w:bookmarkStart w:id="71" w:name="_Toc19627645"/>
      <w:bookmarkStart w:id="72" w:name="_Toc19627590"/>
      <w:bookmarkStart w:id="73" w:name="_Toc19627505"/>
      <w:bookmarkStart w:id="74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70"/>
      <w:bookmarkEnd w:id="71"/>
      <w:bookmarkEnd w:id="72"/>
      <w:bookmarkEnd w:id="73"/>
      <w:bookmarkEnd w:id="74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5" w:name="_Toc19627728"/>
      <w:bookmarkStart w:id="76" w:name="_Toc19627646"/>
      <w:bookmarkStart w:id="77" w:name="_Toc19627591"/>
      <w:bookmarkStart w:id="78" w:name="_Toc19627506"/>
      <w:bookmarkStart w:id="79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5"/>
      <w:bookmarkEnd w:id="76"/>
      <w:bookmarkEnd w:id="77"/>
      <w:bookmarkEnd w:id="78"/>
      <w:bookmarkEnd w:id="79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C133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C133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C133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C133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C133A">
      <w:rPr>
        <w:noProof/>
      </w:rPr>
      <w:t>8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C133A">
      <w:rPr>
        <w:noProof/>
      </w:rP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C133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C133A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7C133A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C133A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6428</Words>
  <Characters>36643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Перова Инна Валериевна</cp:lastModifiedBy>
  <cp:revision>8</cp:revision>
  <dcterms:created xsi:type="dcterms:W3CDTF">2025-12-11T05:35:00Z</dcterms:created>
  <dcterms:modified xsi:type="dcterms:W3CDTF">2026-05-13T04:49:00Z</dcterms:modified>
</cp:coreProperties>
</file>