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</w:t>
      </w:r>
      <w:r>
        <w:rPr>
          <w:rFonts w:ascii="Times New Roman" w:hAnsi="Times New Roman"/>
          <w:b/>
          <w:sz w:val="20"/>
          <w:szCs w:val="20"/>
        </w:rPr>
        <w:t xml:space="preserve">ехнич﻿⁠﻿‍⁠​⁠﻿‌‌​​‍⁠⁠﻿‌‌‍‍﻿‌​​⁠​﻿‌‍﻿‍‌‌‌​​​⁠​﻿​​‍‌еское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задание 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поставку </w:t>
      </w:r>
      <w:r>
        <w:rPr>
          <w:rFonts w:ascii="Times New Roman" w:hAnsi="Times New Roman"/>
          <w:b/>
          <w:sz w:val="20"/>
          <w:szCs w:val="20"/>
        </w:rPr>
        <w:t xml:space="preserve">аккумуляторной батареи для ИБП 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80"/>
        <w:numPr>
          <w:ilvl w:val="0"/>
          <w:numId w:val="1"/>
        </w:numPr>
        <w:ind w:left="-284" w:right="-284" w:firstLine="0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закупки: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7"/>
        <w:gridCol w:w="1417"/>
        <w:gridCol w:w="3687"/>
        <w:gridCol w:w="1267"/>
        <w:gridCol w:w="1693"/>
        <w:gridCol w:w="1859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ОКПД 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Национальный режим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1875 (Запрет)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1875 (Ограничение)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1875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(Преимущество)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27.20.22.000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Аккумуляторна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батаре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ffc000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-284" w:right="-284"/>
        <w:jc w:val="both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В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одели, промышленные образцы,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вания или эквивалент», «патенты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  <w:r>
        <w:rPr>
          <w:rFonts w:ascii="Times New Roman" w:hAnsi="Times New Roman"/>
          <w:bCs/>
          <w:i/>
          <w:iCs/>
          <w:sz w:val="20"/>
          <w:szCs w:val="20"/>
        </w:rPr>
      </w:r>
      <w:r>
        <w:rPr>
          <w:rFonts w:ascii="Times New Roman" w:hAnsi="Times New Roman"/>
          <w:bCs/>
          <w:i/>
          <w:iCs/>
          <w:sz w:val="20"/>
          <w:szCs w:val="20"/>
        </w:rPr>
      </w:r>
    </w:p>
    <w:tbl>
      <w:tblPr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317"/>
        <w:gridCol w:w="776"/>
        <w:gridCol w:w="708"/>
      </w:tblGrid>
      <w:tr>
        <w:tblPrEx/>
        <w:trPr>
          <w:jc w:val="center"/>
          <w:trHeight w:val="20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6317" w:type="dxa"/>
            <w:textDirection w:val="lrTb"/>
            <w:noWrap w:val="false"/>
          </w:tcPr>
          <w:p>
            <w:pPr>
              <w:pStyle w:val="912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Технические и функциональные характеристики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Ед. изм.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ind w:hanging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914"/>
                <w:rFonts w:ascii="Times New Roman" w:hAnsi="Times New Roman"/>
                <w:sz w:val="20"/>
                <w:szCs w:val="20"/>
              </w:rPr>
            </w:pPr>
            <w:r>
              <w:rPr>
                <w:rStyle w:val="914"/>
                <w:rFonts w:ascii="Times New Roman" w:hAnsi="Times New Roman"/>
                <w:sz w:val="20"/>
                <w:szCs w:val="20"/>
              </w:rPr>
              <w:t xml:space="preserve">Аккумуляторн</w:t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  <w:t xml:space="preserve">ая</w:t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Style w:val="914"/>
                <w:rFonts w:ascii="Times New Roman" w:hAnsi="Times New Roman"/>
                <w:sz w:val="20"/>
                <w:szCs w:val="20"/>
              </w:rPr>
            </w:pPr>
            <w:r>
              <w:rPr>
                <w:rStyle w:val="914"/>
                <w:rFonts w:ascii="Times New Roman" w:hAnsi="Times New Roman"/>
                <w:sz w:val="20"/>
                <w:szCs w:val="20"/>
              </w:rPr>
              <w:t xml:space="preserve">б</w:t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  <w:t xml:space="preserve">атаре</w:t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Style w:val="914"/>
                <w:rFonts w:ascii="Times New Roman" w:hAnsi="Times New Roman"/>
                <w:sz w:val="20"/>
                <w:szCs w:val="20"/>
              </w:rPr>
            </w:pPr>
            <w:r>
              <w:rPr>
                <w:rStyle w:val="914"/>
                <w:rFonts w:ascii="Times New Roman" w:hAnsi="Times New Roman"/>
                <w:sz w:val="20"/>
                <w:szCs w:val="20"/>
              </w:rPr>
              <w:t xml:space="preserve">Delta</w:t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  <w:t xml:space="preserve"> DTM 1207</w:t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</w:r>
            <w:r>
              <w:rPr>
                <w:rStyle w:val="914"/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AGM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cвинцово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-кислотный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Технические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Емкость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менее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7.2 А*ч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Клеммы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T2/F2 (под клемму 250)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Напряжение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 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Максимальный ток заряда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2.1 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Максимальный ток разряда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105 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Внутреннее сопротивление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 мОм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циклов полной зарядки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элементов в блоке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менее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Рабочий диапазон температур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Заряд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-10 °C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не менее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 °C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Разряд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-20 °C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не менее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 °C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Саморазряд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менее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3% мес. при 20 °С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 корпуса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ABS-пластик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Конструктивные особенности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защита от утечек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Габариты и вес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151 мм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Ширина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65 мм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94 мм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Высота с учетом клеммы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100 мм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источником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бесперебойного питания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 имеющимся у Заказчика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ind w:left="-284" w:right="-284"/>
        <w:jc w:val="both"/>
        <w:spacing w:after="0" w:line="240" w:lineRule="auto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shd w:val="clear" w:color="auto" w:fill="f9fafb"/>
        </w:rPr>
        <w:t xml:space="preserve">2. Место поставки: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683001, Россия, Камчатский край, г. Петропавловск-Камчатский, ул. Ленинская, д. 59, 9 этаж.</w:t>
      </w:r>
      <w:r>
        <w:rPr>
          <w:rFonts w:ascii="Times New Roman" w:hAnsi="Times New Roman" w:eastAsia="Calibri"/>
          <w:bCs/>
          <w:sz w:val="20"/>
          <w:szCs w:val="20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ind w:left="-284" w:right="-284"/>
        <w:jc w:val="both"/>
        <w:spacing w:after="0" w:line="240" w:lineRule="auto"/>
        <w:rPr>
          <w:rFonts w:ascii="Times New Roman" w:hAnsi="Times New Roman"/>
          <w:b/>
          <w:sz w:val="20"/>
          <w:szCs w:val="20"/>
          <w:shd w:val="clear" w:color="auto" w:fill="f9fafb"/>
        </w:rPr>
      </w:pPr>
      <w:r>
        <w:rPr>
          <w:rFonts w:ascii="Times New Roman" w:hAnsi="Times New Roman"/>
          <w:b/>
          <w:sz w:val="20"/>
          <w:szCs w:val="20"/>
          <w:shd w:val="clear" w:color="auto" w:fill="f9fafb"/>
        </w:rPr>
        <w:t xml:space="preserve">3. Срок поставки:</w:t>
      </w:r>
      <w:r>
        <w:rPr>
          <w:rFonts w:ascii="Times New Roman" w:hAnsi="Times New Roman"/>
          <w:b/>
          <w:sz w:val="20"/>
          <w:szCs w:val="20"/>
          <w:shd w:val="clear" w:color="auto" w:fill="f9fafb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в течение 14 календарных дней 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en-US"/>
        </w:rPr>
        <w:t xml:space="preserve">c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 момента заключения договора.</w:t>
      </w:r>
      <w:r>
        <w:rPr>
          <w:rFonts w:ascii="Times New Roman" w:hAnsi="Times New Roman"/>
          <w:b/>
          <w:sz w:val="20"/>
          <w:szCs w:val="20"/>
          <w:shd w:val="clear" w:color="auto" w:fill="f9fafb"/>
        </w:rPr>
      </w:r>
      <w:r>
        <w:rPr>
          <w:rFonts w:ascii="Times New Roman" w:hAnsi="Times New Roman"/>
          <w:b/>
          <w:sz w:val="20"/>
          <w:szCs w:val="20"/>
          <w:shd w:val="clear" w:color="auto" w:fill="f9fafb"/>
        </w:rPr>
      </w:r>
    </w:p>
    <w:p>
      <w:pPr>
        <w:ind w:left="-284" w:right="-284"/>
        <w:jc w:val="both"/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9fafb"/>
        </w:rPr>
      </w:pP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3.1. Доставка товара, погрузочно-разгрузочные работы, производятся силами и за счет Поставщика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</w:r>
    </w:p>
    <w:p>
      <w:pPr>
        <w:pStyle w:val="912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 Требования к качеству, безопасности поставляемого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4.1. Поставляемый товар должен соответствовать заданным функциональным и качественным характеристикам;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</w:t>
      </w:r>
      <w:r>
        <w:rPr>
          <w:color w:val="000000"/>
          <w:sz w:val="20"/>
          <w:szCs w:val="20"/>
        </w:rPr>
        <w:t xml:space="preserve">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5. Требования к упаковке и маркировке поставляемого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5.1. Товар поставляе</w:t>
      </w:r>
      <w:r>
        <w:rPr>
          <w:color w:val="000000"/>
          <w:sz w:val="20"/>
          <w:szCs w:val="20"/>
        </w:rPr>
        <w:t xml:space="preserve">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5.2. </w:t>
      </w:r>
      <w:r>
        <w:rPr>
          <w:color w:val="000000"/>
          <w:sz w:val="20"/>
          <w:szCs w:val="20"/>
        </w:rPr>
        <w:t xml:space="preserve"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транспортировании;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5.4. Упаковка и маркировка товара должна соответствовать требованиям ГОСТ, и</w:t>
      </w:r>
      <w:r>
        <w:rPr>
          <w:color w:val="000000"/>
          <w:sz w:val="20"/>
          <w:szCs w:val="20"/>
        </w:rPr>
        <w:t xml:space="preserve">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6. Требования к гарантийному сроку товара и (или) объему предоставления гарантий качества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6.1. Гарантия качества товара - в соответствии с гарантийным сроком, установленным производителем.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6.2. Гарантийные обязательства должны распространяться на каждую единицу товара с момента приемки товара Заказчиком.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6.3. Поставщик обязан при обнаружении недостатков у поставляемого товара заменить товар ненадлежа</w:t>
      </w:r>
      <w:r>
        <w:rPr>
          <w:color w:val="000000"/>
          <w:sz w:val="20"/>
          <w:szCs w:val="20"/>
        </w:rPr>
        <w:t xml:space="preserve">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>
        <w:rPr>
          <w:color w:val="000000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709" w:right="850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705"/>
    <w:link w:val="729"/>
    <w:uiPriority w:val="10"/>
    <w:rPr>
      <w:sz w:val="48"/>
      <w:szCs w:val="48"/>
    </w:rPr>
  </w:style>
  <w:style w:type="character" w:styleId="668">
    <w:name w:val="Subtitle Char"/>
    <w:basedOn w:val="705"/>
    <w:link w:val="732"/>
    <w:uiPriority w:val="11"/>
    <w:rPr>
      <w:sz w:val="24"/>
      <w:szCs w:val="24"/>
    </w:rPr>
  </w:style>
  <w:style w:type="character" w:styleId="669">
    <w:name w:val="Quote Char"/>
    <w:link w:val="745"/>
    <w:uiPriority w:val="29"/>
    <w:rPr>
      <w:i/>
    </w:rPr>
  </w:style>
  <w:style w:type="character" w:styleId="670">
    <w:name w:val="Intense Quote Char"/>
    <w:link w:val="747"/>
    <w:uiPriority w:val="30"/>
    <w:rPr>
      <w:i/>
    </w:rPr>
  </w:style>
  <w:style w:type="character" w:styleId="671">
    <w:name w:val="Header Char"/>
    <w:basedOn w:val="705"/>
    <w:link w:val="718"/>
    <w:uiPriority w:val="99"/>
  </w:style>
  <w:style w:type="character" w:styleId="672">
    <w:name w:val="Caption Char"/>
    <w:basedOn w:val="705"/>
    <w:link w:val="715"/>
    <w:uiPriority w:val="35"/>
    <w:rPr>
      <w:b/>
      <w:bCs/>
      <w:color w:val="4f81bd" w:themeColor="accent1"/>
      <w:sz w:val="18"/>
      <w:szCs w:val="18"/>
    </w:rPr>
  </w:style>
  <w:style w:type="table" w:styleId="673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2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7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0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1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2">
    <w:name w:val="Footnote Text Char"/>
    <w:link w:val="716"/>
    <w:uiPriority w:val="99"/>
    <w:rPr>
      <w:sz w:val="18"/>
    </w:rPr>
  </w:style>
  <w:style w:type="character" w:styleId="693">
    <w:name w:val="Endnote Text Char"/>
    <w:link w:val="714"/>
    <w:uiPriority w:val="99"/>
    <w:rPr>
      <w:sz w:val="20"/>
    </w:rPr>
  </w:style>
  <w:style w:type="paragraph" w:styleId="694">
    <w:name w:val="TOC Heading"/>
    <w:uiPriority w:val="39"/>
    <w:unhideWhenUsed/>
  </w:style>
  <w:style w:type="paragraph" w:styleId="695" w:default="1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696">
    <w:name w:val="Heading 1"/>
    <w:basedOn w:val="695"/>
    <w:next w:val="695"/>
    <w:link w:val="73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3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3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3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3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4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4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4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>
    <w:name w:val="FollowedHyperlink"/>
    <w:basedOn w:val="705"/>
    <w:uiPriority w:val="99"/>
    <w:semiHidden/>
    <w:unhideWhenUsed/>
    <w:qFormat/>
    <w:rPr>
      <w:color w:val="800080"/>
      <w:u w:val="single"/>
    </w:rPr>
  </w:style>
  <w:style w:type="character" w:styleId="709">
    <w:name w:val="footnote reference"/>
    <w:basedOn w:val="705"/>
    <w:uiPriority w:val="99"/>
    <w:unhideWhenUsed/>
    <w:rPr>
      <w:vertAlign w:val="superscript"/>
    </w:rPr>
  </w:style>
  <w:style w:type="character" w:styleId="710">
    <w:name w:val="endnote reference"/>
    <w:basedOn w:val="705"/>
    <w:uiPriority w:val="99"/>
    <w:semiHidden/>
    <w:unhideWhenUsed/>
    <w:qFormat/>
    <w:rPr>
      <w:vertAlign w:val="superscript"/>
    </w:rPr>
  </w:style>
  <w:style w:type="character" w:styleId="711">
    <w:name w:val="Hyperlink"/>
    <w:basedOn w:val="705"/>
    <w:uiPriority w:val="99"/>
    <w:unhideWhenUsed/>
    <w:rPr>
      <w:color w:val="0563c1" w:themeColor="hyperlink"/>
      <w:u w:val="single"/>
    </w:rPr>
  </w:style>
  <w:style w:type="character" w:styleId="712">
    <w:name w:val="Strong"/>
    <w:uiPriority w:val="22"/>
    <w:qFormat/>
    <w:rPr>
      <w:b/>
      <w:bCs/>
    </w:rPr>
  </w:style>
  <w:style w:type="paragraph" w:styleId="713">
    <w:name w:val="Balloon Text"/>
    <w:basedOn w:val="695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14">
    <w:name w:val="endnote text"/>
    <w:basedOn w:val="695"/>
    <w:link w:val="878"/>
    <w:uiPriority w:val="99"/>
    <w:semiHidden/>
    <w:unhideWhenUsed/>
    <w:pPr>
      <w:spacing w:after="0" w:line="240" w:lineRule="auto"/>
    </w:pPr>
    <w:rPr>
      <w:sz w:val="20"/>
    </w:rPr>
  </w:style>
  <w:style w:type="paragraph" w:styleId="715">
    <w:name w:val="Caption"/>
    <w:basedOn w:val="695"/>
    <w:next w:val="695"/>
    <w:link w:val="672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716">
    <w:name w:val="footnote text"/>
    <w:basedOn w:val="695"/>
    <w:link w:val="877"/>
    <w:uiPriority w:val="99"/>
    <w:semiHidden/>
    <w:unhideWhenUsed/>
    <w:pPr>
      <w:spacing w:after="40" w:line="240" w:lineRule="auto"/>
    </w:pPr>
    <w:rPr>
      <w:sz w:val="18"/>
    </w:rPr>
  </w:style>
  <w:style w:type="paragraph" w:styleId="717">
    <w:name w:val="toc 8"/>
    <w:basedOn w:val="695"/>
    <w:next w:val="695"/>
    <w:uiPriority w:val="39"/>
    <w:unhideWhenUsed/>
    <w:qFormat/>
    <w:pPr>
      <w:ind w:left="1984"/>
      <w:spacing w:after="57"/>
    </w:pPr>
  </w:style>
  <w:style w:type="paragraph" w:styleId="718">
    <w:name w:val="Header"/>
    <w:basedOn w:val="695"/>
    <w:link w:val="749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9">
    <w:name w:val="toc 9"/>
    <w:basedOn w:val="695"/>
    <w:next w:val="695"/>
    <w:uiPriority w:val="39"/>
    <w:unhideWhenUsed/>
    <w:qFormat/>
    <w:pPr>
      <w:ind w:left="2268"/>
      <w:spacing w:after="57"/>
    </w:pPr>
  </w:style>
  <w:style w:type="paragraph" w:styleId="720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721">
    <w:name w:val="Body Text"/>
    <w:basedOn w:val="695"/>
    <w:link w:val="883"/>
    <w:qFormat/>
    <w:pPr>
      <w:spacing w:before="180" w:after="360" w:line="240" w:lineRule="atLeast"/>
      <w:shd w:val="clear" w:color="auto" w:fill="ffffff"/>
      <w:widowControl w:val="off"/>
    </w:pPr>
    <w:rPr>
      <w:rFonts w:ascii="Times New Roman" w:hAnsi="Times New Roman"/>
      <w:sz w:val="23"/>
      <w:szCs w:val="23"/>
    </w:rPr>
  </w:style>
  <w:style w:type="paragraph" w:styleId="722">
    <w:name w:val="toc 1"/>
    <w:basedOn w:val="695"/>
    <w:next w:val="695"/>
    <w:uiPriority w:val="39"/>
    <w:unhideWhenUsed/>
    <w:qFormat/>
    <w:pPr>
      <w:spacing w:after="57"/>
    </w:pPr>
  </w:style>
  <w:style w:type="paragraph" w:styleId="72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724">
    <w:name w:val="table of figures"/>
    <w:basedOn w:val="695"/>
    <w:next w:val="695"/>
    <w:uiPriority w:val="99"/>
    <w:unhideWhenUsed/>
    <w:qFormat/>
    <w:pPr>
      <w:spacing w:after="0"/>
    </w:pPr>
  </w:style>
  <w:style w:type="paragraph" w:styleId="725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726">
    <w:name w:val="toc 2"/>
    <w:basedOn w:val="695"/>
    <w:next w:val="695"/>
    <w:uiPriority w:val="39"/>
    <w:unhideWhenUsed/>
    <w:qFormat/>
    <w:pPr>
      <w:ind w:left="283"/>
      <w:spacing w:after="57"/>
    </w:pPr>
  </w:style>
  <w:style w:type="paragraph" w:styleId="727">
    <w:name w:val="toc 4"/>
    <w:basedOn w:val="695"/>
    <w:next w:val="695"/>
    <w:uiPriority w:val="39"/>
    <w:unhideWhenUsed/>
    <w:qFormat/>
    <w:pPr>
      <w:ind w:left="850"/>
      <w:spacing w:after="57"/>
    </w:pPr>
  </w:style>
  <w:style w:type="paragraph" w:styleId="728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729">
    <w:name w:val="Title"/>
    <w:basedOn w:val="695"/>
    <w:next w:val="695"/>
    <w:link w:val="743"/>
    <w:uiPriority w:val="10"/>
    <w:qFormat/>
    <w:pPr>
      <w:contextualSpacing/>
      <w:spacing w:before="300"/>
    </w:pPr>
    <w:rPr>
      <w:sz w:val="48"/>
      <w:szCs w:val="48"/>
    </w:rPr>
  </w:style>
  <w:style w:type="paragraph" w:styleId="730">
    <w:name w:val="Footer"/>
    <w:basedOn w:val="695"/>
    <w:link w:val="751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1">
    <w:name w:val="Normal (Web)"/>
    <w:basedOn w:val="695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732">
    <w:name w:val="Subtitle"/>
    <w:basedOn w:val="695"/>
    <w:next w:val="695"/>
    <w:link w:val="744"/>
    <w:uiPriority w:val="11"/>
    <w:qFormat/>
    <w:pPr>
      <w:spacing w:before="200"/>
    </w:pPr>
    <w:rPr>
      <w:sz w:val="24"/>
      <w:szCs w:val="24"/>
    </w:rPr>
  </w:style>
  <w:style w:type="table" w:styleId="733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34" w:customStyle="1">
    <w:name w:val="Заголовок 1 Знак"/>
    <w:basedOn w:val="705"/>
    <w:link w:val="696"/>
    <w:uiPriority w:val="9"/>
    <w:qFormat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05"/>
    <w:link w:val="697"/>
    <w:uiPriority w:val="9"/>
    <w:qFormat/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705"/>
    <w:link w:val="698"/>
    <w:uiPriority w:val="9"/>
    <w:qFormat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05"/>
    <w:link w:val="69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05"/>
    <w:link w:val="70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05"/>
    <w:link w:val="70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05"/>
    <w:link w:val="7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05"/>
    <w:link w:val="70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05"/>
    <w:link w:val="70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Заголовок Знак"/>
    <w:basedOn w:val="705"/>
    <w:link w:val="729"/>
    <w:uiPriority w:val="10"/>
    <w:qFormat/>
    <w:rPr>
      <w:sz w:val="48"/>
      <w:szCs w:val="48"/>
    </w:rPr>
  </w:style>
  <w:style w:type="character" w:styleId="744" w:customStyle="1">
    <w:name w:val="Подзаголовок Знак"/>
    <w:basedOn w:val="705"/>
    <w:link w:val="732"/>
    <w:uiPriority w:val="11"/>
    <w:qFormat/>
    <w:rPr>
      <w:sz w:val="24"/>
      <w:szCs w:val="24"/>
    </w:rPr>
  </w:style>
  <w:style w:type="paragraph" w:styleId="745">
    <w:name w:val="Quote"/>
    <w:basedOn w:val="695"/>
    <w:next w:val="695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qFormat/>
    <w:rPr>
      <w:i/>
    </w:rPr>
  </w:style>
  <w:style w:type="paragraph" w:styleId="747">
    <w:name w:val="Intense Quote"/>
    <w:basedOn w:val="695"/>
    <w:next w:val="695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Верхний колонтитул Знак"/>
    <w:basedOn w:val="705"/>
    <w:link w:val="718"/>
    <w:uiPriority w:val="99"/>
    <w:qFormat/>
  </w:style>
  <w:style w:type="character" w:styleId="750" w:customStyle="1">
    <w:name w:val="Footer Char"/>
    <w:basedOn w:val="705"/>
    <w:uiPriority w:val="99"/>
    <w:qFormat/>
  </w:style>
  <w:style w:type="character" w:styleId="751" w:customStyle="1">
    <w:name w:val="Нижний колонтитул Знак"/>
    <w:link w:val="730"/>
    <w:uiPriority w:val="99"/>
  </w:style>
  <w:style w:type="table" w:styleId="752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Таблица простая 31"/>
    <w:basedOn w:val="706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Таблица простая 41"/>
    <w:basedOn w:val="706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 простая 51"/>
    <w:basedOn w:val="706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1 светлая1"/>
    <w:basedOn w:val="706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06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06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06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06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06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06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-сетка 21"/>
    <w:basedOn w:val="706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06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06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06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06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06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06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31"/>
    <w:basedOn w:val="706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06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06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06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06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06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06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а-сетка 41"/>
    <w:basedOn w:val="706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06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1" w:customStyle="1">
    <w:name w:val="Grid Table 4 - Accent 2"/>
    <w:basedOn w:val="706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06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06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06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5" w:customStyle="1">
    <w:name w:val="Grid Table 4 - Accent 6"/>
    <w:basedOn w:val="706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 w:customStyle="1">
    <w:name w:val="Таблица-сетка 5 темная1"/>
    <w:basedOn w:val="70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0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0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0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0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0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Таблица-сетка 6 цветная1"/>
    <w:basedOn w:val="706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94" w:customStyle="1">
    <w:name w:val="Grid Table 6 Colorful - Accent 1"/>
    <w:basedOn w:val="706"/>
    <w:uiPriority w:val="99"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  <w:tblStylePr w:type="firstCol">
      <w:rPr>
        <w:b/>
        <w:color w:val="a0b7e1" w:themeColor="accent1" w:themeTint="80"/>
      </w:rPr>
    </w:tblStylePr>
    <w:tblStylePr w:type="firstRow">
      <w:rPr>
        <w:b/>
        <w:color w:val="a0b7e1" w:themeColor="accent1" w:themeTint="80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/>
      </w:rPr>
    </w:tblStylePr>
    <w:tblStylePr w:type="lastRow">
      <w:rPr>
        <w:b/>
        <w:color w:val="a0b7e1" w:themeColor="accent1" w:themeTint="80"/>
      </w:rPr>
    </w:tblStylePr>
  </w:style>
  <w:style w:type="table" w:styleId="795" w:customStyle="1">
    <w:name w:val="Grid Table 6 Colorful - Accent 2"/>
    <w:basedOn w:val="706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</w:tblStylePr>
  </w:style>
  <w:style w:type="table" w:styleId="796" w:customStyle="1">
    <w:name w:val="Grid Table 6 Colorful - Accent 3"/>
    <w:basedOn w:val="706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b/>
        <w:color w:val="a5a5a5" w:themeColor="accent3"/>
      </w:rPr>
    </w:tblStyle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</w:tblStylePr>
    <w:tblStylePr w:type="lastRow">
      <w:rPr>
        <w:b/>
        <w:color w:val="a5a5a5" w:themeColor="accent3"/>
      </w:rPr>
    </w:tblStylePr>
  </w:style>
  <w:style w:type="table" w:styleId="797" w:customStyle="1">
    <w:name w:val="Grid Table 6 Colorful - Accent 4"/>
    <w:basedOn w:val="706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</w:tblStylePr>
  </w:style>
  <w:style w:type="table" w:styleId="798" w:customStyle="1">
    <w:name w:val="Grid Table 6 Colorful - Accent 5"/>
    <w:basedOn w:val="706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  <w:tblStylePr w:type="firstCol">
      <w:rPr>
        <w:b/>
        <w:color w:val="245a8c" w:themeColor="accent5" w:themeShade="94"/>
      </w:rPr>
    </w:tblStylePr>
    <w:tblStylePr w:type="firstRow">
      <w:rPr>
        <w:b/>
        <w:color w:val="245a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c" w:themeColor="accent5" w:themeShade="94"/>
      </w:rPr>
    </w:tblStylePr>
    <w:tblStylePr w:type="lastRow">
      <w:rPr>
        <w:b/>
        <w:color w:val="245a8c" w:themeColor="accent5" w:themeShade="94"/>
      </w:rPr>
    </w:tblStylePr>
  </w:style>
  <w:style w:type="table" w:styleId="799" w:customStyle="1">
    <w:name w:val="Grid Table 6 Colorful - Accent 6"/>
    <w:basedOn w:val="706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  <w:tblStylePr w:type="firstCol">
      <w:rPr>
        <w:b/>
        <w:color w:val="245a8c" w:themeColor="accent5" w:themeShade="94"/>
      </w:rPr>
    </w:tblStylePr>
    <w:tblStylePr w:type="firstRow">
      <w:rPr>
        <w:b/>
        <w:color w:val="245a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c" w:themeColor="accent5" w:themeShade="94"/>
      </w:rPr>
    </w:tblStylePr>
    <w:tblStylePr w:type="lastRow">
      <w:rPr>
        <w:b/>
        <w:color w:val="245a8c" w:themeColor="accent5" w:themeShade="94"/>
      </w:rPr>
    </w:tblStylePr>
  </w:style>
  <w:style w:type="table" w:styleId="800" w:customStyle="1">
    <w:name w:val="Таблица-сетка 7 цветная1"/>
    <w:basedOn w:val="706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06"/>
    <w:uiPriority w:val="99"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06"/>
    <w:uiPriority w:val="99"/>
    <w:qFormat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06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06"/>
    <w:uiPriority w:val="99"/>
    <w:qFormat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06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c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06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Список-таблица 1 светлая1"/>
    <w:basedOn w:val="706"/>
    <w:uiPriority w:val="99"/>
    <w:qFormat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06"/>
    <w:uiPriority w:val="99"/>
    <w:qFormat/>
    <w:tblPr/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06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06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06"/>
    <w:uiPriority w:val="99"/>
    <w:qFormat/>
    <w:tblPr/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06"/>
    <w:uiPriority w:val="99"/>
    <w:qFormat/>
    <w:tblPr/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06"/>
    <w:uiPriority w:val="99"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Список-таблица 21"/>
    <w:basedOn w:val="706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06"/>
    <w:uiPriority w:val="99"/>
    <w:qFormat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06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06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06"/>
    <w:uiPriority w:val="99"/>
    <w:qFormat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06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06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Список-таблица 31"/>
    <w:basedOn w:val="706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06"/>
    <w:uiPriority w:val="99"/>
    <w:qFormat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06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06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06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06"/>
    <w:uiPriority w:val="99"/>
    <w:qFormat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06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Список-таблица 41"/>
    <w:basedOn w:val="706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06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06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06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06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06"/>
    <w:uiPriority w:val="9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06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Список-таблица 5 темная1"/>
    <w:basedOn w:val="706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06"/>
    <w:uiPriority w:val="99"/>
    <w:qFormat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06"/>
    <w:uiPriority w:val="99"/>
    <w:qFormat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06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06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06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06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Список-таблица 6 цветная1"/>
    <w:basedOn w:val="706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06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  <w:tblStylePr w:type="firstCol">
      <w:rPr>
        <w:b/>
        <w:color w:val="244174" w:themeColor="accent1" w:themeShade="94"/>
      </w:rPr>
    </w:tblStylePr>
    <w:tblStylePr w:type="firstRow">
      <w:rPr>
        <w:b/>
        <w:color w:val="24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44174" w:themeColor="accent1" w:themeShade="94"/>
      </w:rPr>
    </w:tblStylePr>
    <w:tblStylePr w:type="lastRow">
      <w:rPr>
        <w:b/>
        <w:color w:val="244174" w:themeColor="accent1" w:themeShade="94"/>
      </w:rPr>
      <w:tcPr>
        <w:tcBorders>
          <w:top w:val="single" w:color="4472C4" w:themeColor="accent1" w:sz="4" w:space="0"/>
        </w:tcBorders>
      </w:tcPr>
    </w:tblStylePr>
  </w:style>
  <w:style w:type="table" w:styleId="844" w:customStyle="1">
    <w:name w:val="List Table 6 Colorful - Accent 2"/>
    <w:basedOn w:val="706"/>
    <w:uiPriority w:val="99"/>
    <w:qFormat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06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b/>
        <w:color w:val="c9c9c9" w:themeColor="accent3" w:themeTint="99"/>
      </w:rPr>
    </w:tblStyle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06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06"/>
    <w:uiPriority w:val="99"/>
    <w:qFormat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  <w:tblStylePr w:type="firstCol">
      <w:rPr>
        <w:b/>
        <w:color w:val="9cc2e5" w:themeColor="accent5" w:themeTint="99"/>
      </w:rPr>
    </w:tblStylePr>
    <w:tblStylePr w:type="firstRow">
      <w:rPr>
        <w:b/>
        <w:color w:val="9cc2e5" w:themeColor="accent5" w:themeTint="99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cc2e5" w:themeColor="accent5" w:themeTint="99"/>
      </w:rPr>
    </w:tblStylePr>
    <w:tblStylePr w:type="lastRow">
      <w:rPr>
        <w:b/>
        <w:color w:val="9cc2e5" w:themeColor="accent5" w:themeTint="99"/>
      </w:rPr>
      <w:tcPr>
        <w:tcBorders>
          <w:top w:val="single" w:color="9BC2E5" w:themeColor="accent5" w:themeTint="9A" w:sz="4" w:space="0"/>
        </w:tcBorders>
      </w:tcPr>
    </w:tblStylePr>
  </w:style>
  <w:style w:type="table" w:styleId="848" w:customStyle="1">
    <w:name w:val="List Table 6 Colorful - Accent 6"/>
    <w:basedOn w:val="706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b/>
        <w:color w:val="a8d08d" w:themeColor="accent6" w:themeTint="99"/>
      </w:rPr>
    </w:tblStyle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 w:customStyle="1">
    <w:name w:val="Список-таблица 7 цветная1"/>
    <w:basedOn w:val="706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06"/>
    <w:uiPriority w:val="99"/>
    <w:qFormat/>
    <w:tblPr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44174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06"/>
    <w:uiPriority w:val="99"/>
    <w:qFormat/>
    <w:tblPr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06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06"/>
    <w:uiPriority w:val="99"/>
    <w:qFormat/>
    <w:tblPr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06"/>
    <w:uiPriority w:val="99"/>
    <w:qFormat/>
    <w:tblPr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cc2e5" w:themeColor="accent5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06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8" w:customStyle="1">
    <w:name w:val="Lined - Accent 2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2" w:customStyle="1">
    <w:name w:val="Lined - Accent 6"/>
    <w:basedOn w:val="706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06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06"/>
    <w:uiPriority w:val="99"/>
    <w:qFormat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5" w:customStyle="1">
    <w:name w:val="Bordered &amp; Lined - Accent 2"/>
    <w:basedOn w:val="706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06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06"/>
    <w:uiPriority w:val="99"/>
    <w:qFormat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06"/>
    <w:uiPriority w:val="99"/>
    <w:qFormat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9" w:customStyle="1">
    <w:name w:val="Bordered &amp; Lined - Accent 6"/>
    <w:basedOn w:val="706"/>
    <w:uiPriority w:val="99"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06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06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2" w:customStyle="1">
    <w:name w:val="Bordered - Accent 2"/>
    <w:basedOn w:val="706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06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06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06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6" w:customStyle="1">
    <w:name w:val="Bordered - Accent 6"/>
    <w:basedOn w:val="706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7" w:customStyle="1">
    <w:name w:val="Текст сноски Знак"/>
    <w:link w:val="716"/>
    <w:uiPriority w:val="99"/>
    <w:rPr>
      <w:sz w:val="18"/>
    </w:rPr>
  </w:style>
  <w:style w:type="character" w:styleId="878" w:customStyle="1">
    <w:name w:val="Текст концевой сноски Знак"/>
    <w:link w:val="714"/>
    <w:uiPriority w:val="99"/>
    <w:qFormat/>
    <w:rPr>
      <w:sz w:val="20"/>
    </w:rPr>
  </w:style>
  <w:style w:type="paragraph" w:styleId="879" w:customStyle="1">
    <w:name w:val="Заголовок оглавления1"/>
    <w:uiPriority w:val="39"/>
    <w:unhideWhenUsed/>
  </w:style>
  <w:style w:type="paragraph" w:styleId="880">
    <w:name w:val="List Paragraph"/>
    <w:basedOn w:val="695"/>
    <w:qFormat/>
    <w:pPr>
      <w:ind w:left="708"/>
    </w:pPr>
  </w:style>
  <w:style w:type="paragraph" w:styleId="881" w:customStyle="1">
    <w:name w:val="Iacaaiea"/>
    <w:basedOn w:val="695"/>
    <w:pPr>
      <w:jc w:val="center"/>
      <w:spacing w:before="120" w:after="0" w:line="360" w:lineRule="atLeast"/>
      <w:tabs>
        <w:tab w:val="left" w:pos="426" w:leader="none"/>
      </w:tabs>
    </w:pPr>
    <w:rPr>
      <w:rFonts w:ascii="Times New Roman" w:hAnsi="Times New Roman" w:eastAsia="Calibri"/>
      <w:b/>
      <w:bCs/>
    </w:rPr>
  </w:style>
  <w:style w:type="paragraph" w:styleId="882" w:customStyle="1">
    <w:name w:val="ConsPlusNormal"/>
    <w:qFormat/>
    <w:pPr>
      <w:ind w:firstLine="720"/>
    </w:pPr>
    <w:rPr>
      <w:rFonts w:ascii="Arial" w:hAnsi="Arial" w:cs="Arial"/>
    </w:rPr>
  </w:style>
  <w:style w:type="character" w:styleId="883" w:customStyle="1">
    <w:name w:val="Основной текст Знак"/>
    <w:link w:val="72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884" w:customStyle="1">
    <w:name w:val="Основной текст Знак1"/>
    <w:uiPriority w:val="99"/>
    <w:semiHidden/>
    <w:rPr>
      <w:rFonts w:cs="Times New Roman"/>
      <w:sz w:val="22"/>
      <w:szCs w:val="22"/>
    </w:rPr>
  </w:style>
  <w:style w:type="paragraph" w:styleId="885" w:customStyle="1">
    <w:name w:val="аголовок 31"/>
    <w:basedOn w:val="695"/>
    <w:next w:val="695"/>
    <w:qFormat/>
    <w:pPr>
      <w:jc w:val="both"/>
      <w:keepNext/>
      <w:spacing w:after="0" w:line="240" w:lineRule="auto"/>
    </w:pPr>
    <w:rPr>
      <w:rFonts w:ascii="Times New Roman" w:hAnsi="Times New Roman"/>
      <w:sz w:val="24"/>
      <w:szCs w:val="20"/>
    </w:rPr>
  </w:style>
  <w:style w:type="paragraph" w:styleId="886">
    <w:name w:val="No Spacing"/>
    <w:link w:val="887"/>
    <w:uiPriority w:val="1"/>
    <w:qFormat/>
    <w:rPr>
      <w:rFonts w:cs="Times New Roman"/>
      <w:sz w:val="22"/>
      <w:szCs w:val="22"/>
    </w:rPr>
  </w:style>
  <w:style w:type="character" w:styleId="887" w:customStyle="1">
    <w:name w:val="Без интервала Знак"/>
    <w:link w:val="886"/>
    <w:uiPriority w:val="1"/>
    <w:qFormat/>
    <w:rPr>
      <w:rFonts w:cs="Times New Roman"/>
      <w:sz w:val="22"/>
      <w:szCs w:val="22"/>
    </w:rPr>
  </w:style>
  <w:style w:type="character" w:styleId="888" w:customStyle="1">
    <w:name w:val="apple-converted-space"/>
  </w:style>
  <w:style w:type="character" w:styleId="889" w:customStyle="1">
    <w:name w:val="Текст выноски Знак"/>
    <w:link w:val="713"/>
    <w:uiPriority w:val="99"/>
    <w:semiHidden/>
    <w:qFormat/>
    <w:rPr>
      <w:rFonts w:ascii="Tahoma" w:hAnsi="Tahoma" w:cs="Tahoma"/>
      <w:sz w:val="16"/>
      <w:szCs w:val="16"/>
    </w:rPr>
  </w:style>
  <w:style w:type="paragraph" w:styleId="890" w:customStyle="1">
    <w:name w:val="Default"/>
    <w:qFormat/>
    <w:rPr>
      <w:rFonts w:ascii="Arial" w:hAnsi="Arial" w:cs="Arial"/>
      <w:color w:val="000000"/>
      <w:sz w:val="24"/>
      <w:szCs w:val="24"/>
    </w:rPr>
  </w:style>
  <w:style w:type="paragraph" w:styleId="891" w:customStyle="1">
    <w:name w:val="msonormal"/>
    <w:basedOn w:val="695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92" w:customStyle="1">
    <w:name w:val="xl64"/>
    <w:basedOn w:val="695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893" w:customStyle="1">
    <w:name w:val="xl65"/>
    <w:basedOn w:val="695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894" w:customStyle="1">
    <w:name w:val="xl66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895" w:customStyle="1">
    <w:name w:val="xl67"/>
    <w:basedOn w:val="695"/>
    <w:qFormat/>
    <w:pPr>
      <w:jc w:val="center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896" w:customStyle="1">
    <w:name w:val="xl68"/>
    <w:basedOn w:val="695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897" w:customStyle="1">
    <w:name w:val="xl69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000000"/>
    </w:rPr>
  </w:style>
  <w:style w:type="paragraph" w:styleId="898" w:customStyle="1">
    <w:name w:val="xl70"/>
    <w:basedOn w:val="69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899" w:customStyle="1">
    <w:name w:val="xl71"/>
    <w:basedOn w:val="69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color w:val="000000"/>
    </w:rPr>
  </w:style>
  <w:style w:type="paragraph" w:styleId="900" w:customStyle="1">
    <w:name w:val="xl72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901" w:customStyle="1">
    <w:name w:val="xl73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902" w:customStyle="1">
    <w:name w:val="xl74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000000"/>
    </w:rPr>
  </w:style>
  <w:style w:type="paragraph" w:styleId="903" w:customStyle="1">
    <w:name w:val="xl75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212121"/>
    </w:rPr>
  </w:style>
  <w:style w:type="paragraph" w:styleId="904" w:customStyle="1">
    <w:name w:val="xl76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905" w:customStyle="1">
    <w:name w:val="xl77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</w:rPr>
  </w:style>
  <w:style w:type="paragraph" w:styleId="906" w:customStyle="1">
    <w:name w:val="xl78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333333"/>
    </w:rPr>
  </w:style>
  <w:style w:type="paragraph" w:styleId="907" w:customStyle="1">
    <w:name w:val="xl79"/>
    <w:basedOn w:val="695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212121"/>
    </w:rPr>
  </w:style>
  <w:style w:type="paragraph" w:styleId="908" w:customStyle="1">
    <w:name w:val="xl80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000000"/>
    </w:rPr>
  </w:style>
  <w:style w:type="paragraph" w:styleId="909" w:customStyle="1">
    <w:name w:val="xl81"/>
    <w:basedOn w:val="695"/>
    <w:qFormat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000000"/>
    </w:rPr>
  </w:style>
  <w:style w:type="paragraph" w:styleId="910" w:customStyle="1">
    <w:name w:val="xl82"/>
    <w:basedOn w:val="695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333333"/>
    </w:rPr>
  </w:style>
  <w:style w:type="paragraph" w:styleId="911" w:customStyle="1">
    <w:name w:val="xl83"/>
    <w:basedOn w:val="695"/>
    <w:qFormat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383838"/>
    </w:rPr>
  </w:style>
  <w:style w:type="paragraph" w:styleId="912" w:customStyle="1">
    <w:name w:val="docdata"/>
    <w:basedOn w:val="695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13" w:customStyle="1">
    <w:name w:val="Table Paragraph"/>
    <w:basedOn w:val="695"/>
    <w:uiPriority w:val="1"/>
    <w:qFormat/>
    <w:pPr>
      <w:ind w:left="109"/>
      <w:spacing w:before="1" w:after="0" w:line="240" w:lineRule="auto"/>
      <w:widowControl w:val="off"/>
    </w:pPr>
    <w:rPr>
      <w:rFonts w:ascii="Times New Roman" w:hAnsi="Times New Roman"/>
      <w:lang w:eastAsia="en-US"/>
    </w:rPr>
  </w:style>
  <w:style w:type="character" w:styleId="914" w:customStyle="1">
    <w:name w:val="docy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E6C1-9E35-461A-8449-DCD1092B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DOC-MARKER-9tSMkU2HkwnUXnGbkU5E_g</dc:description>
  <cp:lastModifiedBy>User</cp:lastModifiedBy>
  <cp:revision>7</cp:revision>
  <dcterms:created xsi:type="dcterms:W3CDTF">2026-03-10T11:01:00Z</dcterms:created>
  <dcterms:modified xsi:type="dcterms:W3CDTF">2026-05-13T04:38:29Z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