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F97DC" w14:textId="0ECB4EB0" w:rsidR="00C25054" w:rsidRPr="00C25054" w:rsidRDefault="00C25054" w:rsidP="00C25054">
      <w:pPr>
        <w:tabs>
          <w:tab w:val="left" w:pos="9923"/>
        </w:tabs>
        <w:ind w:right="-1"/>
        <w:jc w:val="right"/>
        <w:rPr>
          <w:sz w:val="20"/>
          <w:szCs w:val="20"/>
        </w:rPr>
      </w:pPr>
      <w:r w:rsidRPr="00C25054">
        <w:rPr>
          <w:sz w:val="20"/>
          <w:szCs w:val="20"/>
        </w:rPr>
        <w:t>Реестровый номер закупки: №22-САП/26</w:t>
      </w:r>
    </w:p>
    <w:p w14:paraId="3E778C83" w14:textId="77777777" w:rsidR="004619AB" w:rsidRDefault="004619AB" w:rsidP="00C25054">
      <w:pPr>
        <w:ind w:right="-1"/>
        <w:jc w:val="center"/>
        <w:rPr>
          <w:b/>
          <w:sz w:val="24"/>
          <w:szCs w:val="24"/>
        </w:rPr>
      </w:pPr>
    </w:p>
    <w:p w14:paraId="14611A70" w14:textId="11C7F10F" w:rsidR="004619AB" w:rsidRDefault="004619AB" w:rsidP="00C25054">
      <w:pPr>
        <w:ind w:right="-1"/>
        <w:jc w:val="center"/>
        <w:rPr>
          <w:b/>
          <w:sz w:val="24"/>
          <w:szCs w:val="24"/>
        </w:rPr>
      </w:pPr>
      <w:r>
        <w:rPr>
          <w:b/>
          <w:sz w:val="24"/>
          <w:szCs w:val="24"/>
        </w:rPr>
        <w:t>ТЕХНИЧЕСКОЕ ЗАДАНИЕ</w:t>
      </w:r>
    </w:p>
    <w:p w14:paraId="75F17B4F" w14:textId="347DFE83" w:rsidR="00FA66E7" w:rsidRDefault="004619AB" w:rsidP="004619AB">
      <w:pPr>
        <w:tabs>
          <w:tab w:val="left" w:pos="9922"/>
        </w:tabs>
        <w:ind w:right="-1"/>
        <w:jc w:val="center"/>
        <w:rPr>
          <w:b/>
          <w:bCs/>
        </w:rPr>
      </w:pPr>
      <w:r w:rsidRPr="004619AB">
        <w:rPr>
          <w:b/>
          <w:bCs/>
        </w:rPr>
        <w:t>Выполнение работ по монтажу пожарной сигнализации и системы оповещения в здании для стоянки автотранспортных сре</w:t>
      </w:r>
      <w:proofErr w:type="gramStart"/>
      <w:r w:rsidRPr="004619AB">
        <w:rPr>
          <w:b/>
          <w:bCs/>
        </w:rPr>
        <w:t>дств с п</w:t>
      </w:r>
      <w:proofErr w:type="gramEnd"/>
      <w:r w:rsidRPr="004619AB">
        <w:rPr>
          <w:b/>
          <w:bCs/>
        </w:rPr>
        <w:t>одключением к существующей системе</w:t>
      </w:r>
    </w:p>
    <w:p w14:paraId="6099B344" w14:textId="77777777" w:rsidR="004619AB" w:rsidRDefault="004619AB" w:rsidP="004619AB">
      <w:pPr>
        <w:tabs>
          <w:tab w:val="left" w:pos="9922"/>
        </w:tabs>
        <w:ind w:right="-1"/>
        <w:jc w:val="center"/>
      </w:pPr>
    </w:p>
    <w:p w14:paraId="37A18F84" w14:textId="2F9040D0" w:rsidR="009E3AC8" w:rsidRPr="004619AB" w:rsidRDefault="004619AB" w:rsidP="004619AB">
      <w:pPr>
        <w:ind w:right="1276"/>
        <w:jc w:val="center"/>
        <w:rPr>
          <w:i/>
        </w:rPr>
      </w:pPr>
      <w:r w:rsidRPr="004619AB">
        <w:rPr>
          <w:i/>
        </w:rPr>
        <w:t xml:space="preserve">43.21.10.140 </w:t>
      </w:r>
      <w:r w:rsidRPr="004619AB">
        <w:rPr>
          <w:bCs/>
          <w:i/>
        </w:rPr>
        <w:t>Работы по монтажу систем пожарной сигнализации и охранной сигнализации</w:t>
      </w:r>
    </w:p>
    <w:p w14:paraId="36F9214F" w14:textId="77777777" w:rsidR="004619AB" w:rsidRPr="00FA66E7" w:rsidRDefault="004619AB" w:rsidP="004619AB">
      <w:pPr>
        <w:ind w:right="1276"/>
        <w:jc w:val="center"/>
      </w:pPr>
    </w:p>
    <w:p w14:paraId="18A0835F" w14:textId="4E0B9086" w:rsidR="00351F58" w:rsidRPr="00FA66E7" w:rsidRDefault="00351F58" w:rsidP="00FA66E7">
      <w:pPr>
        <w:pStyle w:val="a7"/>
        <w:numPr>
          <w:ilvl w:val="0"/>
          <w:numId w:val="2"/>
        </w:numPr>
        <w:ind w:right="1276"/>
        <w:jc w:val="center"/>
        <w:rPr>
          <w:b/>
        </w:rPr>
      </w:pPr>
      <w:r w:rsidRPr="00FA66E7">
        <w:rPr>
          <w:b/>
        </w:rPr>
        <w:t>Технические показатели сооружения</w:t>
      </w:r>
      <w:r w:rsidR="00A3784B" w:rsidRPr="00FA66E7">
        <w:rPr>
          <w:b/>
        </w:rPr>
        <w:t xml:space="preserve"> </w:t>
      </w:r>
    </w:p>
    <w:p w14:paraId="60DC8FFA" w14:textId="77777777" w:rsidR="00351F58" w:rsidRPr="00FA66E7" w:rsidRDefault="00351F58" w:rsidP="00FA66E7">
      <w:pPr>
        <w:pStyle w:val="a3"/>
        <w:rPr>
          <w:b/>
          <w:sz w:val="22"/>
          <w:szCs w:val="22"/>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1417"/>
        <w:gridCol w:w="1276"/>
        <w:gridCol w:w="2268"/>
      </w:tblGrid>
      <w:tr w:rsidR="00351F58" w:rsidRPr="00FA66E7" w14:paraId="0C8861F0" w14:textId="77777777" w:rsidTr="00351F58">
        <w:trPr>
          <w:trHeight w:val="686"/>
        </w:trPr>
        <w:tc>
          <w:tcPr>
            <w:tcW w:w="4253" w:type="dxa"/>
          </w:tcPr>
          <w:p w14:paraId="088C5A11" w14:textId="77777777" w:rsidR="00351F58" w:rsidRPr="004619AB" w:rsidRDefault="00351F58" w:rsidP="00FA66E7">
            <w:pPr>
              <w:pStyle w:val="TableParagraph"/>
              <w:jc w:val="center"/>
              <w:rPr>
                <w:rFonts w:ascii="Times New Roman" w:hAnsi="Times New Roman" w:cs="Times New Roman"/>
                <w:b/>
                <w:lang w:val="ru-RU"/>
              </w:rPr>
            </w:pPr>
            <w:r w:rsidRPr="004619AB">
              <w:rPr>
                <w:rFonts w:ascii="Times New Roman" w:hAnsi="Times New Roman" w:cs="Times New Roman"/>
                <w:b/>
                <w:lang w:val="ru-RU"/>
              </w:rPr>
              <w:t>Наименование параметра</w:t>
            </w:r>
          </w:p>
        </w:tc>
        <w:tc>
          <w:tcPr>
            <w:tcW w:w="1417" w:type="dxa"/>
          </w:tcPr>
          <w:p w14:paraId="0B67F567" w14:textId="77777777" w:rsidR="00351F58" w:rsidRPr="004619AB" w:rsidRDefault="00351F58" w:rsidP="00FA66E7">
            <w:pPr>
              <w:pStyle w:val="TableParagraph"/>
              <w:jc w:val="center"/>
              <w:rPr>
                <w:rFonts w:ascii="Times New Roman" w:hAnsi="Times New Roman" w:cs="Times New Roman"/>
                <w:b/>
                <w:lang w:val="ru-RU"/>
              </w:rPr>
            </w:pPr>
            <w:r w:rsidRPr="004619AB">
              <w:rPr>
                <w:rFonts w:ascii="Times New Roman" w:hAnsi="Times New Roman" w:cs="Times New Roman"/>
                <w:b/>
                <w:lang w:val="ru-RU"/>
              </w:rPr>
              <w:t>Значение</w:t>
            </w:r>
          </w:p>
          <w:p w14:paraId="2E3E1EE0" w14:textId="77777777" w:rsidR="00351F58" w:rsidRPr="004619AB" w:rsidRDefault="00351F58" w:rsidP="00FA66E7">
            <w:pPr>
              <w:pStyle w:val="TableParagraph"/>
              <w:jc w:val="center"/>
              <w:rPr>
                <w:rFonts w:ascii="Times New Roman" w:hAnsi="Times New Roman" w:cs="Times New Roman"/>
                <w:b/>
                <w:lang w:val="ru-RU"/>
              </w:rPr>
            </w:pPr>
            <w:r w:rsidRPr="004619AB">
              <w:rPr>
                <w:rFonts w:ascii="Times New Roman" w:hAnsi="Times New Roman" w:cs="Times New Roman"/>
                <w:b/>
                <w:lang w:val="ru-RU"/>
              </w:rPr>
              <w:t>параметра</w:t>
            </w:r>
          </w:p>
        </w:tc>
        <w:tc>
          <w:tcPr>
            <w:tcW w:w="1276" w:type="dxa"/>
          </w:tcPr>
          <w:p w14:paraId="20334288" w14:textId="77777777" w:rsidR="00351F58" w:rsidRPr="004619AB" w:rsidRDefault="00351F58" w:rsidP="00FA66E7">
            <w:pPr>
              <w:pStyle w:val="TableParagraph"/>
              <w:jc w:val="center"/>
              <w:rPr>
                <w:rFonts w:ascii="Times New Roman" w:hAnsi="Times New Roman" w:cs="Times New Roman"/>
                <w:b/>
                <w:lang w:val="ru-RU"/>
              </w:rPr>
            </w:pPr>
            <w:r w:rsidRPr="004619AB">
              <w:rPr>
                <w:rFonts w:ascii="Times New Roman" w:hAnsi="Times New Roman" w:cs="Times New Roman"/>
                <w:b/>
                <w:lang w:val="ru-RU"/>
              </w:rPr>
              <w:t>Ед.</w:t>
            </w:r>
          </w:p>
          <w:p w14:paraId="698C15FF" w14:textId="77777777" w:rsidR="00351F58" w:rsidRPr="004619AB" w:rsidRDefault="00351F58" w:rsidP="00FA66E7">
            <w:pPr>
              <w:pStyle w:val="TableParagraph"/>
              <w:jc w:val="center"/>
              <w:rPr>
                <w:rFonts w:ascii="Times New Roman" w:hAnsi="Times New Roman" w:cs="Times New Roman"/>
                <w:b/>
                <w:lang w:val="ru-RU"/>
              </w:rPr>
            </w:pPr>
            <w:r w:rsidRPr="004619AB">
              <w:rPr>
                <w:rFonts w:ascii="Times New Roman" w:hAnsi="Times New Roman" w:cs="Times New Roman"/>
                <w:b/>
                <w:lang w:val="ru-RU"/>
              </w:rPr>
              <w:t>изм.</w:t>
            </w:r>
          </w:p>
        </w:tc>
        <w:tc>
          <w:tcPr>
            <w:tcW w:w="2268" w:type="dxa"/>
          </w:tcPr>
          <w:p w14:paraId="3E34D97D" w14:textId="77777777" w:rsidR="00351F58" w:rsidRPr="004619AB" w:rsidRDefault="00351F58" w:rsidP="00FA66E7">
            <w:pPr>
              <w:pStyle w:val="TableParagraph"/>
              <w:jc w:val="center"/>
              <w:rPr>
                <w:rFonts w:ascii="Times New Roman" w:hAnsi="Times New Roman" w:cs="Times New Roman"/>
                <w:b/>
                <w:lang w:val="ru-RU"/>
              </w:rPr>
            </w:pPr>
            <w:r w:rsidRPr="004619AB">
              <w:rPr>
                <w:rFonts w:ascii="Times New Roman" w:hAnsi="Times New Roman" w:cs="Times New Roman"/>
                <w:b/>
                <w:lang w:val="ru-RU"/>
              </w:rPr>
              <w:t>Примечание</w:t>
            </w:r>
          </w:p>
        </w:tc>
      </w:tr>
      <w:tr w:rsidR="00351F58" w:rsidRPr="00FA66E7" w14:paraId="38D64FA4" w14:textId="77777777" w:rsidTr="00351F58">
        <w:trPr>
          <w:trHeight w:val="448"/>
        </w:trPr>
        <w:tc>
          <w:tcPr>
            <w:tcW w:w="4253" w:type="dxa"/>
          </w:tcPr>
          <w:p w14:paraId="6721D946"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lang w:val="ru-RU"/>
              </w:rPr>
              <w:t>Ширина (внутренние размеры)</w:t>
            </w:r>
          </w:p>
        </w:tc>
        <w:tc>
          <w:tcPr>
            <w:tcW w:w="1417" w:type="dxa"/>
          </w:tcPr>
          <w:p w14:paraId="18994F43"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w w:val="95"/>
                <w:lang w:val="ru-RU"/>
              </w:rPr>
              <w:t>13,029</w:t>
            </w:r>
          </w:p>
        </w:tc>
        <w:tc>
          <w:tcPr>
            <w:tcW w:w="1276" w:type="dxa"/>
          </w:tcPr>
          <w:p w14:paraId="4C828858"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w w:val="99"/>
                <w:lang w:val="ru-RU"/>
              </w:rPr>
              <w:t>м</w:t>
            </w:r>
          </w:p>
        </w:tc>
        <w:tc>
          <w:tcPr>
            <w:tcW w:w="2268" w:type="dxa"/>
          </w:tcPr>
          <w:p w14:paraId="46B56AFD" w14:textId="77777777" w:rsidR="00351F58" w:rsidRPr="004619AB" w:rsidRDefault="00351F58" w:rsidP="00FA66E7">
            <w:pPr>
              <w:pStyle w:val="TableParagraph"/>
              <w:jc w:val="center"/>
              <w:rPr>
                <w:rFonts w:ascii="Times New Roman" w:hAnsi="Times New Roman" w:cs="Times New Roman"/>
                <w:lang w:val="ru-RU"/>
              </w:rPr>
            </w:pPr>
          </w:p>
        </w:tc>
      </w:tr>
      <w:tr w:rsidR="00351F58" w:rsidRPr="00FA66E7" w14:paraId="542E0767" w14:textId="77777777" w:rsidTr="00351F58">
        <w:trPr>
          <w:trHeight w:val="448"/>
        </w:trPr>
        <w:tc>
          <w:tcPr>
            <w:tcW w:w="4253" w:type="dxa"/>
          </w:tcPr>
          <w:p w14:paraId="10BA175B"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lang w:val="ru-RU"/>
              </w:rPr>
              <w:t>Длина (внутренние размеры)</w:t>
            </w:r>
          </w:p>
        </w:tc>
        <w:tc>
          <w:tcPr>
            <w:tcW w:w="1417" w:type="dxa"/>
          </w:tcPr>
          <w:p w14:paraId="4E1EAA31"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w w:val="95"/>
                <w:lang w:val="ru-RU"/>
              </w:rPr>
              <w:t>23,530</w:t>
            </w:r>
          </w:p>
        </w:tc>
        <w:tc>
          <w:tcPr>
            <w:tcW w:w="1276" w:type="dxa"/>
          </w:tcPr>
          <w:p w14:paraId="0973F31E"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w w:val="99"/>
                <w:lang w:val="ru-RU"/>
              </w:rPr>
              <w:t>м</w:t>
            </w:r>
          </w:p>
        </w:tc>
        <w:tc>
          <w:tcPr>
            <w:tcW w:w="2268" w:type="dxa"/>
          </w:tcPr>
          <w:p w14:paraId="40428D28" w14:textId="77777777" w:rsidR="00351F58" w:rsidRPr="004619AB" w:rsidRDefault="00351F58" w:rsidP="00FA66E7">
            <w:pPr>
              <w:pStyle w:val="TableParagraph"/>
              <w:jc w:val="center"/>
              <w:rPr>
                <w:rFonts w:ascii="Times New Roman" w:hAnsi="Times New Roman" w:cs="Times New Roman"/>
                <w:lang w:val="ru-RU"/>
              </w:rPr>
            </w:pPr>
          </w:p>
        </w:tc>
      </w:tr>
      <w:tr w:rsidR="00351F58" w:rsidRPr="00FA66E7" w14:paraId="09497FE0" w14:textId="77777777" w:rsidTr="00351F58">
        <w:trPr>
          <w:trHeight w:val="599"/>
        </w:trPr>
        <w:tc>
          <w:tcPr>
            <w:tcW w:w="4253" w:type="dxa"/>
          </w:tcPr>
          <w:p w14:paraId="04DEEC63"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lang w:val="ru-RU"/>
              </w:rPr>
              <w:t>Высота (внутренние размеры)</w:t>
            </w:r>
          </w:p>
        </w:tc>
        <w:tc>
          <w:tcPr>
            <w:tcW w:w="1417" w:type="dxa"/>
          </w:tcPr>
          <w:p w14:paraId="771F5001"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lang w:val="ru-RU"/>
              </w:rPr>
              <w:t>5,020</w:t>
            </w:r>
          </w:p>
        </w:tc>
        <w:tc>
          <w:tcPr>
            <w:tcW w:w="1276" w:type="dxa"/>
          </w:tcPr>
          <w:p w14:paraId="074D1F7E"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w w:val="99"/>
                <w:lang w:val="ru-RU"/>
              </w:rPr>
              <w:t>м</w:t>
            </w:r>
          </w:p>
        </w:tc>
        <w:tc>
          <w:tcPr>
            <w:tcW w:w="2268" w:type="dxa"/>
          </w:tcPr>
          <w:p w14:paraId="34BDD242"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lang w:val="ru-RU"/>
              </w:rPr>
              <w:t>от уровня</w:t>
            </w:r>
          </w:p>
          <w:p w14:paraId="7137EB44"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lang w:val="ru-RU"/>
              </w:rPr>
              <w:t>планировки</w:t>
            </w:r>
          </w:p>
        </w:tc>
      </w:tr>
      <w:tr w:rsidR="00351F58" w:rsidRPr="00FA66E7" w14:paraId="34F9782D" w14:textId="77777777" w:rsidTr="00351F58">
        <w:trPr>
          <w:trHeight w:val="448"/>
        </w:trPr>
        <w:tc>
          <w:tcPr>
            <w:tcW w:w="4253" w:type="dxa"/>
          </w:tcPr>
          <w:p w14:paraId="63BB64B4"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lang w:val="ru-RU"/>
              </w:rPr>
              <w:t>Площадь сооружения общая</w:t>
            </w:r>
          </w:p>
        </w:tc>
        <w:tc>
          <w:tcPr>
            <w:tcW w:w="1417" w:type="dxa"/>
          </w:tcPr>
          <w:p w14:paraId="27132D4D"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lang w:val="ru-RU"/>
              </w:rPr>
              <w:t>324,91</w:t>
            </w:r>
          </w:p>
        </w:tc>
        <w:tc>
          <w:tcPr>
            <w:tcW w:w="1276" w:type="dxa"/>
          </w:tcPr>
          <w:p w14:paraId="25BDA9A2"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position w:val="-8"/>
                <w:lang w:val="ru-RU"/>
              </w:rPr>
              <w:t>м</w:t>
            </w:r>
            <w:proofErr w:type="gramStart"/>
            <w:r w:rsidRPr="004619AB">
              <w:rPr>
                <w:rFonts w:ascii="Times New Roman" w:hAnsi="Times New Roman" w:cs="Times New Roman"/>
                <w:lang w:val="ru-RU"/>
              </w:rPr>
              <w:t>2</w:t>
            </w:r>
            <w:proofErr w:type="gramEnd"/>
          </w:p>
        </w:tc>
        <w:tc>
          <w:tcPr>
            <w:tcW w:w="2268" w:type="dxa"/>
          </w:tcPr>
          <w:p w14:paraId="78216A57" w14:textId="77777777" w:rsidR="00351F58" w:rsidRPr="004619AB" w:rsidRDefault="00351F58" w:rsidP="00FA66E7">
            <w:pPr>
              <w:pStyle w:val="TableParagraph"/>
              <w:jc w:val="center"/>
              <w:rPr>
                <w:rFonts w:ascii="Times New Roman" w:hAnsi="Times New Roman" w:cs="Times New Roman"/>
                <w:lang w:val="ru-RU"/>
              </w:rPr>
            </w:pPr>
          </w:p>
        </w:tc>
      </w:tr>
      <w:tr w:rsidR="00351F58" w:rsidRPr="00FA66E7" w14:paraId="2EB8C586" w14:textId="77777777" w:rsidTr="00351F58">
        <w:trPr>
          <w:trHeight w:val="448"/>
        </w:trPr>
        <w:tc>
          <w:tcPr>
            <w:tcW w:w="4253" w:type="dxa"/>
          </w:tcPr>
          <w:p w14:paraId="618437D4"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lang w:val="ru-RU"/>
              </w:rPr>
              <w:t>Строительный объем</w:t>
            </w:r>
          </w:p>
        </w:tc>
        <w:tc>
          <w:tcPr>
            <w:tcW w:w="1417" w:type="dxa"/>
          </w:tcPr>
          <w:p w14:paraId="285EA5EB"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lang w:val="ru-RU"/>
              </w:rPr>
              <w:t>350</w:t>
            </w:r>
          </w:p>
        </w:tc>
        <w:tc>
          <w:tcPr>
            <w:tcW w:w="1276" w:type="dxa"/>
          </w:tcPr>
          <w:p w14:paraId="52100368"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position w:val="-8"/>
                <w:lang w:val="ru-RU"/>
              </w:rPr>
              <w:t>м</w:t>
            </w:r>
            <w:r w:rsidRPr="004619AB">
              <w:rPr>
                <w:rFonts w:ascii="Times New Roman" w:hAnsi="Times New Roman" w:cs="Times New Roman"/>
                <w:lang w:val="ru-RU"/>
              </w:rPr>
              <w:t>3</w:t>
            </w:r>
          </w:p>
        </w:tc>
        <w:tc>
          <w:tcPr>
            <w:tcW w:w="2268" w:type="dxa"/>
          </w:tcPr>
          <w:p w14:paraId="4B5FA138" w14:textId="77777777" w:rsidR="00351F58" w:rsidRPr="004619AB" w:rsidRDefault="00351F58" w:rsidP="00FA66E7">
            <w:pPr>
              <w:pStyle w:val="TableParagraph"/>
              <w:jc w:val="center"/>
              <w:rPr>
                <w:rFonts w:ascii="Times New Roman" w:hAnsi="Times New Roman" w:cs="Times New Roman"/>
                <w:lang w:val="ru-RU"/>
              </w:rPr>
            </w:pPr>
          </w:p>
        </w:tc>
      </w:tr>
      <w:tr w:rsidR="00351F58" w:rsidRPr="00FA66E7" w14:paraId="79A480B0" w14:textId="77777777" w:rsidTr="00351F58">
        <w:trPr>
          <w:trHeight w:val="448"/>
        </w:trPr>
        <w:tc>
          <w:tcPr>
            <w:tcW w:w="4253" w:type="dxa"/>
          </w:tcPr>
          <w:p w14:paraId="017E79E7"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lang w:val="ru-RU"/>
              </w:rPr>
              <w:t>Площадь проемов ворот</w:t>
            </w:r>
          </w:p>
        </w:tc>
        <w:tc>
          <w:tcPr>
            <w:tcW w:w="1417" w:type="dxa"/>
          </w:tcPr>
          <w:p w14:paraId="6C174CAF"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lang w:val="ru-RU"/>
              </w:rPr>
              <w:t>36,96</w:t>
            </w:r>
          </w:p>
        </w:tc>
        <w:tc>
          <w:tcPr>
            <w:tcW w:w="1276" w:type="dxa"/>
          </w:tcPr>
          <w:p w14:paraId="54E5D780"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position w:val="-8"/>
                <w:lang w:val="ru-RU"/>
              </w:rPr>
              <w:t>м</w:t>
            </w:r>
            <w:proofErr w:type="gramStart"/>
            <w:r w:rsidRPr="004619AB">
              <w:rPr>
                <w:rFonts w:ascii="Times New Roman" w:hAnsi="Times New Roman" w:cs="Times New Roman"/>
                <w:lang w:val="ru-RU"/>
              </w:rPr>
              <w:t>2</w:t>
            </w:r>
            <w:proofErr w:type="gramEnd"/>
          </w:p>
        </w:tc>
        <w:tc>
          <w:tcPr>
            <w:tcW w:w="2268" w:type="dxa"/>
          </w:tcPr>
          <w:p w14:paraId="10892D88" w14:textId="77777777" w:rsidR="00351F58" w:rsidRPr="004619AB" w:rsidRDefault="00351F58" w:rsidP="00FA66E7">
            <w:pPr>
              <w:pStyle w:val="TableParagraph"/>
              <w:jc w:val="center"/>
              <w:rPr>
                <w:rFonts w:ascii="Times New Roman" w:hAnsi="Times New Roman" w:cs="Times New Roman"/>
                <w:lang w:val="ru-RU"/>
              </w:rPr>
            </w:pPr>
          </w:p>
        </w:tc>
      </w:tr>
      <w:tr w:rsidR="00351F58" w:rsidRPr="00FA66E7" w14:paraId="4C7390F3" w14:textId="77777777" w:rsidTr="00351F58">
        <w:trPr>
          <w:trHeight w:val="448"/>
        </w:trPr>
        <w:tc>
          <w:tcPr>
            <w:tcW w:w="4253" w:type="dxa"/>
          </w:tcPr>
          <w:p w14:paraId="36E9C850"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lang w:val="ru-RU"/>
              </w:rPr>
              <w:t>Площадь проёмов окон</w:t>
            </w:r>
          </w:p>
        </w:tc>
        <w:tc>
          <w:tcPr>
            <w:tcW w:w="1417" w:type="dxa"/>
          </w:tcPr>
          <w:p w14:paraId="41B67FF3"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lang w:val="ru-RU"/>
              </w:rPr>
              <w:t>3,78</w:t>
            </w:r>
          </w:p>
        </w:tc>
        <w:tc>
          <w:tcPr>
            <w:tcW w:w="1276" w:type="dxa"/>
          </w:tcPr>
          <w:p w14:paraId="115773C8" w14:textId="77777777" w:rsidR="00351F58" w:rsidRPr="004619AB" w:rsidRDefault="00351F58" w:rsidP="00FA66E7">
            <w:pPr>
              <w:pStyle w:val="TableParagraph"/>
              <w:jc w:val="center"/>
              <w:rPr>
                <w:rFonts w:ascii="Times New Roman" w:hAnsi="Times New Roman" w:cs="Times New Roman"/>
                <w:lang w:val="ru-RU"/>
              </w:rPr>
            </w:pPr>
            <w:r w:rsidRPr="004619AB">
              <w:rPr>
                <w:rFonts w:ascii="Times New Roman" w:hAnsi="Times New Roman" w:cs="Times New Roman"/>
                <w:position w:val="-8"/>
                <w:lang w:val="ru-RU"/>
              </w:rPr>
              <w:t>м</w:t>
            </w:r>
            <w:proofErr w:type="gramStart"/>
            <w:r w:rsidRPr="004619AB">
              <w:rPr>
                <w:rFonts w:ascii="Times New Roman" w:hAnsi="Times New Roman" w:cs="Times New Roman"/>
                <w:lang w:val="ru-RU"/>
              </w:rPr>
              <w:t>2</w:t>
            </w:r>
            <w:proofErr w:type="gramEnd"/>
          </w:p>
        </w:tc>
        <w:tc>
          <w:tcPr>
            <w:tcW w:w="2268" w:type="dxa"/>
          </w:tcPr>
          <w:p w14:paraId="630185B6" w14:textId="77777777" w:rsidR="00351F58" w:rsidRPr="004619AB" w:rsidRDefault="00351F58" w:rsidP="00FA66E7">
            <w:pPr>
              <w:pStyle w:val="TableParagraph"/>
              <w:jc w:val="center"/>
              <w:rPr>
                <w:rFonts w:ascii="Times New Roman" w:hAnsi="Times New Roman" w:cs="Times New Roman"/>
                <w:lang w:val="ru-RU"/>
              </w:rPr>
            </w:pPr>
          </w:p>
        </w:tc>
      </w:tr>
    </w:tbl>
    <w:p w14:paraId="088CA175" w14:textId="77777777" w:rsidR="00351F58" w:rsidRPr="00FA66E7" w:rsidRDefault="00351F58" w:rsidP="00FA66E7">
      <w:pPr>
        <w:pStyle w:val="a3"/>
        <w:rPr>
          <w:b/>
          <w:sz w:val="22"/>
          <w:szCs w:val="22"/>
        </w:rPr>
      </w:pPr>
    </w:p>
    <w:p w14:paraId="161ABD8E" w14:textId="77777777" w:rsidR="00351F58" w:rsidRPr="00FA66E7" w:rsidRDefault="00351F58" w:rsidP="00FA66E7">
      <w:pPr>
        <w:pStyle w:val="8"/>
        <w:rPr>
          <w:sz w:val="22"/>
          <w:szCs w:val="22"/>
        </w:rPr>
      </w:pPr>
      <w:bookmarkStart w:id="0" w:name="_TOC_250002"/>
      <w:bookmarkEnd w:id="0"/>
      <w:r w:rsidRPr="00FA66E7">
        <w:rPr>
          <w:sz w:val="22"/>
          <w:szCs w:val="22"/>
        </w:rPr>
        <w:t>Архитектурно – планировочные решения</w:t>
      </w:r>
    </w:p>
    <w:p w14:paraId="1AE69EF8" w14:textId="0A5B3F8B" w:rsidR="00351F58" w:rsidRPr="00FA66E7" w:rsidRDefault="00351F58" w:rsidP="00FA66E7">
      <w:pPr>
        <w:pStyle w:val="a3"/>
        <w:tabs>
          <w:tab w:val="left" w:pos="1620"/>
        </w:tabs>
        <w:ind w:right="221"/>
        <w:rPr>
          <w:sz w:val="22"/>
          <w:szCs w:val="22"/>
        </w:rPr>
      </w:pPr>
      <w:r w:rsidRPr="00FA66E7">
        <w:rPr>
          <w:sz w:val="22"/>
          <w:szCs w:val="22"/>
        </w:rPr>
        <w:t>Здание представляет собой бескаркасное арочное строение общими размерами в плане 13,589х23,910 м и высотой 5,298 м, с воротами (2шт.) по торцу здания. Ворота</w:t>
      </w:r>
      <w:r w:rsidRPr="00FA66E7">
        <w:rPr>
          <w:spacing w:val="-6"/>
          <w:sz w:val="22"/>
          <w:szCs w:val="22"/>
        </w:rPr>
        <w:t xml:space="preserve"> </w:t>
      </w:r>
      <w:r w:rsidRPr="00FA66E7">
        <w:rPr>
          <w:sz w:val="22"/>
          <w:szCs w:val="22"/>
        </w:rPr>
        <w:t>выполнены</w:t>
      </w:r>
      <w:r w:rsidRPr="00FA66E7">
        <w:rPr>
          <w:spacing w:val="-5"/>
          <w:sz w:val="22"/>
          <w:szCs w:val="22"/>
        </w:rPr>
        <w:t xml:space="preserve"> </w:t>
      </w:r>
      <w:r w:rsidRPr="00FA66E7">
        <w:rPr>
          <w:sz w:val="22"/>
          <w:szCs w:val="22"/>
        </w:rPr>
        <w:t>утеплёнными,</w:t>
      </w:r>
      <w:r w:rsidRPr="00FA66E7">
        <w:rPr>
          <w:spacing w:val="-6"/>
          <w:sz w:val="22"/>
          <w:szCs w:val="22"/>
        </w:rPr>
        <w:t xml:space="preserve"> </w:t>
      </w:r>
      <w:r w:rsidRPr="00FA66E7">
        <w:rPr>
          <w:sz w:val="22"/>
          <w:szCs w:val="22"/>
        </w:rPr>
        <w:t>распашными</w:t>
      </w:r>
      <w:r w:rsidRPr="00FA66E7">
        <w:rPr>
          <w:spacing w:val="-5"/>
          <w:sz w:val="22"/>
          <w:szCs w:val="22"/>
        </w:rPr>
        <w:t xml:space="preserve"> </w:t>
      </w:r>
      <w:r w:rsidRPr="00FA66E7">
        <w:rPr>
          <w:sz w:val="22"/>
          <w:szCs w:val="22"/>
        </w:rPr>
        <w:t>с</w:t>
      </w:r>
      <w:r w:rsidRPr="00FA66E7">
        <w:rPr>
          <w:spacing w:val="-5"/>
          <w:sz w:val="22"/>
          <w:szCs w:val="22"/>
        </w:rPr>
        <w:t xml:space="preserve"> </w:t>
      </w:r>
      <w:r w:rsidRPr="00FA66E7">
        <w:rPr>
          <w:sz w:val="22"/>
          <w:szCs w:val="22"/>
        </w:rPr>
        <w:t>ручным</w:t>
      </w:r>
      <w:r w:rsidRPr="00FA66E7">
        <w:rPr>
          <w:spacing w:val="-6"/>
          <w:sz w:val="22"/>
          <w:szCs w:val="22"/>
        </w:rPr>
        <w:t xml:space="preserve"> </w:t>
      </w:r>
      <w:r w:rsidRPr="00FA66E7">
        <w:rPr>
          <w:sz w:val="22"/>
          <w:szCs w:val="22"/>
        </w:rPr>
        <w:t>открыванием,</w:t>
      </w:r>
      <w:r w:rsidRPr="00FA66E7">
        <w:rPr>
          <w:spacing w:val="-5"/>
          <w:sz w:val="22"/>
          <w:szCs w:val="22"/>
        </w:rPr>
        <w:t xml:space="preserve"> </w:t>
      </w:r>
      <w:r w:rsidRPr="00FA66E7">
        <w:rPr>
          <w:sz w:val="22"/>
          <w:szCs w:val="22"/>
        </w:rPr>
        <w:t>на</w:t>
      </w:r>
      <w:r w:rsidRPr="00FA66E7">
        <w:rPr>
          <w:spacing w:val="-5"/>
          <w:sz w:val="22"/>
          <w:szCs w:val="22"/>
        </w:rPr>
        <w:t xml:space="preserve"> </w:t>
      </w:r>
      <w:r w:rsidRPr="00FA66E7">
        <w:rPr>
          <w:sz w:val="22"/>
          <w:szCs w:val="22"/>
        </w:rPr>
        <w:t>воротах</w:t>
      </w:r>
      <w:r w:rsidRPr="00FA66E7">
        <w:rPr>
          <w:spacing w:val="-6"/>
          <w:sz w:val="22"/>
          <w:szCs w:val="22"/>
        </w:rPr>
        <w:t xml:space="preserve"> </w:t>
      </w:r>
      <w:r w:rsidRPr="00FA66E7">
        <w:rPr>
          <w:sz w:val="22"/>
          <w:szCs w:val="22"/>
        </w:rPr>
        <w:t>в</w:t>
      </w:r>
      <w:r w:rsidRPr="00FA66E7">
        <w:rPr>
          <w:spacing w:val="-5"/>
          <w:sz w:val="22"/>
          <w:szCs w:val="22"/>
        </w:rPr>
        <w:t xml:space="preserve"> </w:t>
      </w:r>
      <w:r w:rsidRPr="00FA66E7">
        <w:rPr>
          <w:sz w:val="22"/>
          <w:szCs w:val="22"/>
        </w:rPr>
        <w:t>комплекте затворы поворотные. Размеры ворот 4,2х4,4(h)м. Кроме того имеется 2 стальные утеплённые антивандальные двери, с устройством внутреннего запирающего механизма. Размеры дверей (2000х800)</w:t>
      </w:r>
      <w:r w:rsidR="009E3AC8">
        <w:rPr>
          <w:sz w:val="22"/>
          <w:szCs w:val="22"/>
        </w:rPr>
        <w:t xml:space="preserve"> </w:t>
      </w:r>
      <w:r w:rsidRPr="00FA66E7">
        <w:rPr>
          <w:sz w:val="22"/>
          <w:szCs w:val="22"/>
        </w:rPr>
        <w:t>мм. Также с каждого торца выполнены окна: окна пластиковые</w:t>
      </w:r>
      <w:r w:rsidRPr="00FA66E7">
        <w:rPr>
          <w:spacing w:val="-8"/>
          <w:sz w:val="22"/>
          <w:szCs w:val="22"/>
        </w:rPr>
        <w:t xml:space="preserve"> </w:t>
      </w:r>
      <w:r w:rsidRPr="00FA66E7">
        <w:rPr>
          <w:sz w:val="22"/>
          <w:szCs w:val="22"/>
        </w:rPr>
        <w:t>с</w:t>
      </w:r>
      <w:r w:rsidRPr="00FA66E7">
        <w:rPr>
          <w:spacing w:val="-7"/>
          <w:sz w:val="22"/>
          <w:szCs w:val="22"/>
        </w:rPr>
        <w:t xml:space="preserve"> </w:t>
      </w:r>
      <w:r w:rsidRPr="00FA66E7">
        <w:rPr>
          <w:sz w:val="22"/>
          <w:szCs w:val="22"/>
        </w:rPr>
        <w:t>заполнением</w:t>
      </w:r>
      <w:r w:rsidRPr="00FA66E7">
        <w:rPr>
          <w:spacing w:val="-7"/>
          <w:sz w:val="22"/>
          <w:szCs w:val="22"/>
        </w:rPr>
        <w:t xml:space="preserve"> </w:t>
      </w:r>
      <w:r w:rsidRPr="00FA66E7">
        <w:rPr>
          <w:sz w:val="22"/>
          <w:szCs w:val="22"/>
        </w:rPr>
        <w:t>двухкамерным</w:t>
      </w:r>
      <w:r w:rsidRPr="00FA66E7">
        <w:rPr>
          <w:spacing w:val="-7"/>
          <w:sz w:val="22"/>
          <w:szCs w:val="22"/>
        </w:rPr>
        <w:t xml:space="preserve"> </w:t>
      </w:r>
      <w:r w:rsidRPr="00FA66E7">
        <w:rPr>
          <w:sz w:val="22"/>
          <w:szCs w:val="22"/>
        </w:rPr>
        <w:t>стеклопакетом</w:t>
      </w:r>
      <w:r w:rsidRPr="00FA66E7">
        <w:rPr>
          <w:spacing w:val="-7"/>
          <w:sz w:val="22"/>
          <w:szCs w:val="22"/>
        </w:rPr>
        <w:t xml:space="preserve"> </w:t>
      </w:r>
      <w:r w:rsidRPr="00FA66E7">
        <w:rPr>
          <w:sz w:val="22"/>
          <w:szCs w:val="22"/>
        </w:rPr>
        <w:t>размером</w:t>
      </w:r>
      <w:r w:rsidRPr="00FA66E7">
        <w:rPr>
          <w:spacing w:val="-8"/>
          <w:sz w:val="22"/>
          <w:szCs w:val="22"/>
        </w:rPr>
        <w:t xml:space="preserve"> </w:t>
      </w:r>
      <w:r w:rsidRPr="00FA66E7">
        <w:rPr>
          <w:sz w:val="22"/>
          <w:szCs w:val="22"/>
        </w:rPr>
        <w:t>4,2х</w:t>
      </w:r>
      <w:proofErr w:type="gramStart"/>
      <w:r w:rsidRPr="00FA66E7">
        <w:rPr>
          <w:sz w:val="22"/>
          <w:szCs w:val="22"/>
        </w:rPr>
        <w:t>0</w:t>
      </w:r>
      <w:proofErr w:type="gramEnd"/>
      <w:r w:rsidRPr="00FA66E7">
        <w:rPr>
          <w:sz w:val="22"/>
          <w:szCs w:val="22"/>
        </w:rPr>
        <w:t>,45(h)-1</w:t>
      </w:r>
      <w:r w:rsidRPr="00FA66E7">
        <w:rPr>
          <w:spacing w:val="-7"/>
          <w:sz w:val="22"/>
          <w:szCs w:val="22"/>
        </w:rPr>
        <w:t xml:space="preserve"> </w:t>
      </w:r>
      <w:r w:rsidRPr="00FA66E7">
        <w:rPr>
          <w:sz w:val="22"/>
          <w:szCs w:val="22"/>
        </w:rPr>
        <w:t>шт.</w:t>
      </w:r>
      <w:r w:rsidRPr="00FA66E7">
        <w:rPr>
          <w:spacing w:val="-7"/>
          <w:sz w:val="22"/>
          <w:szCs w:val="22"/>
        </w:rPr>
        <w:t xml:space="preserve"> </w:t>
      </w:r>
      <w:r w:rsidRPr="00FA66E7">
        <w:rPr>
          <w:sz w:val="22"/>
          <w:szCs w:val="22"/>
        </w:rPr>
        <w:t>В</w:t>
      </w:r>
      <w:r w:rsidRPr="00FA66E7">
        <w:rPr>
          <w:spacing w:val="-7"/>
          <w:sz w:val="22"/>
          <w:szCs w:val="22"/>
        </w:rPr>
        <w:t xml:space="preserve"> </w:t>
      </w:r>
      <w:r w:rsidRPr="00FA66E7">
        <w:rPr>
          <w:sz w:val="22"/>
          <w:szCs w:val="22"/>
        </w:rPr>
        <w:t xml:space="preserve">здании размещен тепловой узел, 12 регистров отопления, циркуляционные насосы. </w:t>
      </w:r>
    </w:p>
    <w:p w14:paraId="1C6D5448" w14:textId="77777777" w:rsidR="00BF16D3" w:rsidRPr="00FA66E7" w:rsidRDefault="00351F58" w:rsidP="00FA66E7">
      <w:r w:rsidRPr="00FA66E7">
        <w:rPr>
          <w:noProof/>
          <w:lang w:bidi="ar-SA"/>
        </w:rPr>
        <w:drawing>
          <wp:inline distT="0" distB="0" distL="0" distR="0" wp14:anchorId="0662010C" wp14:editId="78CECB73">
            <wp:extent cx="4009390" cy="268541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9390" cy="2685415"/>
                    </a:xfrm>
                    <a:prstGeom prst="rect">
                      <a:avLst/>
                    </a:prstGeom>
                    <a:noFill/>
                  </pic:spPr>
                </pic:pic>
              </a:graphicData>
            </a:graphic>
          </wp:inline>
        </w:drawing>
      </w:r>
    </w:p>
    <w:p w14:paraId="29470CDF" w14:textId="77777777" w:rsidR="00BF16D3" w:rsidRPr="00FA66E7" w:rsidRDefault="00BF16D3" w:rsidP="00FA66E7"/>
    <w:p w14:paraId="25C5A220" w14:textId="77777777" w:rsidR="00D12B53" w:rsidRPr="00FA66E7" w:rsidRDefault="00EF418A" w:rsidP="00FA66E7">
      <w:r w:rsidRPr="00FA66E7">
        <w:rPr>
          <w:noProof/>
          <w:lang w:bidi="ar-SA"/>
        </w:rPr>
        <w:lastRenderedPageBreak/>
        <w:drawing>
          <wp:inline distT="0" distB="0" distL="0" distR="0" wp14:anchorId="305FED6B" wp14:editId="3CD812B9">
            <wp:extent cx="3703320" cy="2779460"/>
            <wp:effectExtent l="0" t="0" r="0" b="1905"/>
            <wp:docPr id="1" name="Рисунок 1" descr="C:\Users\YRUSTP~1\AppData\Local\Temp\Rar$DRa0.107\IMG_36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RUSTP~1\AppData\Local\Temp\Rar$DRa0.107\IMG_363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3320" cy="2779460"/>
                    </a:xfrm>
                    <a:prstGeom prst="rect">
                      <a:avLst/>
                    </a:prstGeom>
                    <a:noFill/>
                    <a:ln>
                      <a:noFill/>
                    </a:ln>
                  </pic:spPr>
                </pic:pic>
              </a:graphicData>
            </a:graphic>
          </wp:inline>
        </w:drawing>
      </w:r>
    </w:p>
    <w:p w14:paraId="29E97AAC" w14:textId="77777777" w:rsidR="00D12B53" w:rsidRPr="00FA66E7" w:rsidRDefault="00D12B53" w:rsidP="00FA66E7"/>
    <w:p w14:paraId="304EBFDD" w14:textId="77777777" w:rsidR="004619AB" w:rsidRPr="004619AB" w:rsidRDefault="00FA66E7" w:rsidP="004619AB">
      <w:pPr>
        <w:rPr>
          <w:bCs/>
        </w:rPr>
      </w:pPr>
      <w:r w:rsidRPr="004619AB">
        <w:rPr>
          <w:b/>
          <w:bCs/>
        </w:rPr>
        <w:t>2.</w:t>
      </w:r>
      <w:r w:rsidR="004619AB">
        <w:rPr>
          <w:b/>
          <w:bCs/>
        </w:rPr>
        <w:t xml:space="preserve"> </w:t>
      </w:r>
      <w:r w:rsidR="004619AB" w:rsidRPr="004619AB">
        <w:rPr>
          <w:bCs/>
        </w:rPr>
        <w:t xml:space="preserve">Место выполнения работ: 665114, Россия, Иркутская область, Нижнеудинский район, </w:t>
      </w:r>
    </w:p>
    <w:p w14:paraId="052B2C0D" w14:textId="58235A13" w:rsidR="004619AB" w:rsidRDefault="004619AB" w:rsidP="004619AB">
      <w:pPr>
        <w:rPr>
          <w:b/>
          <w:bCs/>
        </w:rPr>
      </w:pPr>
      <w:r w:rsidRPr="004619AB">
        <w:rPr>
          <w:bCs/>
        </w:rPr>
        <w:t>п. Водопадный, ул. Молодежная, 1</w:t>
      </w:r>
    </w:p>
    <w:p w14:paraId="18B883D0" w14:textId="37530AB8" w:rsidR="00FA66E7" w:rsidRDefault="00FA66E7" w:rsidP="00FA66E7">
      <w:r w:rsidRPr="004619AB">
        <w:rPr>
          <w:b/>
          <w:bCs/>
        </w:rPr>
        <w:t>3</w:t>
      </w:r>
      <w:r>
        <w:rPr>
          <w:b/>
          <w:bCs/>
        </w:rPr>
        <w:t>. Сроки выполнения работ</w:t>
      </w:r>
      <w:r>
        <w:t xml:space="preserve">: </w:t>
      </w:r>
      <w:r w:rsidR="004619AB" w:rsidRPr="004619AB">
        <w:rPr>
          <w:highlight w:val="green"/>
        </w:rPr>
        <w:t>с момента подписания договора в течение 10 (десять) календарных дней</w:t>
      </w:r>
      <w:r w:rsidRPr="00FA66E7">
        <w:rPr>
          <w:highlight w:val="green"/>
        </w:rPr>
        <w:t>.</w:t>
      </w:r>
      <w:r w:rsidRPr="00FA66E7">
        <w:t xml:space="preserve"> </w:t>
      </w:r>
    </w:p>
    <w:p w14:paraId="7ED1E94C" w14:textId="77777777" w:rsidR="00FA66E7" w:rsidRPr="00FA66E7" w:rsidRDefault="00FA66E7" w:rsidP="00FA66E7">
      <w:pPr>
        <w:jc w:val="both"/>
        <w:outlineLvl w:val="0"/>
      </w:pPr>
      <w:r w:rsidRPr="00FA66E7">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EFF58E" w14:textId="61538CF8" w:rsidR="00FA66E7" w:rsidRPr="00FA66E7" w:rsidRDefault="00FA66E7" w:rsidP="00FA66E7">
      <w:pPr>
        <w:jc w:val="both"/>
        <w:outlineLvl w:val="0"/>
      </w:pPr>
      <w:r w:rsidRPr="00FA66E7">
        <w:t>3.1. Подрядчик до начала выполнения работ предоставляет Заказчику:</w:t>
      </w:r>
    </w:p>
    <w:p w14:paraId="71AC269E" w14:textId="77777777" w:rsidR="00FA66E7" w:rsidRPr="00FA66E7" w:rsidRDefault="00FA66E7" w:rsidP="00FA66E7">
      <w:pPr>
        <w:jc w:val="both"/>
        <w:outlineLvl w:val="0"/>
      </w:pPr>
      <w:r w:rsidRPr="00FA66E7">
        <w:t>- утвержденный план график выполнения работ;</w:t>
      </w:r>
    </w:p>
    <w:p w14:paraId="74527A06" w14:textId="77777777" w:rsidR="00FA66E7" w:rsidRPr="00FA66E7" w:rsidRDefault="00FA66E7" w:rsidP="00FA66E7">
      <w:pPr>
        <w:jc w:val="both"/>
        <w:outlineLvl w:val="0"/>
      </w:pPr>
      <w:r w:rsidRPr="00FA66E7">
        <w:t>- копию приказа о назначении ответственного за проведение работ и соблюдение требований пожарной безопасности, охраны окружающей среды;</w:t>
      </w:r>
    </w:p>
    <w:p w14:paraId="1B20377C" w14:textId="77777777" w:rsidR="00FA66E7" w:rsidRPr="00FA66E7" w:rsidRDefault="00FA66E7" w:rsidP="00FA66E7">
      <w:pPr>
        <w:jc w:val="both"/>
        <w:outlineLvl w:val="0"/>
      </w:pPr>
      <w:r w:rsidRPr="00FA66E7">
        <w:t>- список машин и оборудования необходимых в производстве работ;</w:t>
      </w:r>
    </w:p>
    <w:p w14:paraId="3DFD5AE7" w14:textId="77777777" w:rsidR="00FA66E7" w:rsidRDefault="00FA66E7" w:rsidP="00FA66E7">
      <w:pPr>
        <w:jc w:val="both"/>
        <w:outlineLvl w:val="0"/>
      </w:pPr>
      <w:r w:rsidRPr="00FA66E7">
        <w:t>- список сотрудников необходимых для выполнения данных видов работ (допуск работников Подрядчика на территорию учреждения).</w:t>
      </w:r>
    </w:p>
    <w:p w14:paraId="44F804DA" w14:textId="4E8665B0" w:rsidR="00FA66E7" w:rsidRDefault="00FA66E7" w:rsidP="00FA66E7">
      <w:pPr>
        <w:pStyle w:val="a7"/>
        <w:ind w:left="0"/>
        <w:jc w:val="both"/>
        <w:outlineLvl w:val="0"/>
        <w:rPr>
          <w:b/>
          <w:bCs/>
        </w:rPr>
      </w:pPr>
      <w:r>
        <w:rPr>
          <w:b/>
          <w:bCs/>
        </w:rPr>
        <w:t>4. Общие требования к выполнению работ:</w:t>
      </w:r>
    </w:p>
    <w:p w14:paraId="79DF0B9D" w14:textId="060DA4EF" w:rsidR="00FA66E7" w:rsidRDefault="00FA66E7" w:rsidP="00FA66E7">
      <w:pPr>
        <w:pStyle w:val="a7"/>
        <w:ind w:left="0"/>
        <w:jc w:val="both"/>
        <w:outlineLvl w:val="0"/>
      </w:pPr>
      <w:r>
        <w:t>4.1. Состав и содержание работ по созданию системы ПС и СОУЭ:</w:t>
      </w:r>
    </w:p>
    <w:p w14:paraId="7CCD7FDD" w14:textId="77777777" w:rsidR="00FA66E7" w:rsidRDefault="00FA66E7" w:rsidP="00FA66E7">
      <w:pPr>
        <w:pStyle w:val="a7"/>
        <w:ind w:left="0"/>
        <w:jc w:val="both"/>
        <w:outlineLvl w:val="0"/>
      </w:pPr>
      <w:r>
        <w:t xml:space="preserve">Интегрированная автоматизированная система объекта должна состоять из следующих взаимоувязанных систем: </w:t>
      </w:r>
    </w:p>
    <w:p w14:paraId="72AF4EF9" w14:textId="77777777" w:rsidR="00FA66E7" w:rsidRDefault="00FA66E7" w:rsidP="00FA66E7">
      <w:pPr>
        <w:pStyle w:val="a7"/>
        <w:ind w:left="0"/>
        <w:jc w:val="both"/>
        <w:outlineLvl w:val="0"/>
      </w:pPr>
      <w:r>
        <w:t xml:space="preserve">- система автоматической пожарной сигнализации (АПС); </w:t>
      </w:r>
    </w:p>
    <w:p w14:paraId="4A7592E1" w14:textId="77777777" w:rsidR="00FA66E7" w:rsidRDefault="00FA66E7" w:rsidP="00FA66E7">
      <w:pPr>
        <w:pStyle w:val="a7"/>
        <w:ind w:left="0"/>
        <w:jc w:val="both"/>
        <w:outlineLvl w:val="0"/>
      </w:pPr>
      <w:r>
        <w:t>- система оповещения и управления эвакуацией людей при пожаре (СОУЭ).</w:t>
      </w:r>
    </w:p>
    <w:p w14:paraId="1B909549" w14:textId="77777777" w:rsidR="00FA66E7" w:rsidRDefault="00FA66E7" w:rsidP="00FA66E7">
      <w:pPr>
        <w:pStyle w:val="a7"/>
        <w:ind w:left="0"/>
        <w:jc w:val="both"/>
        <w:outlineLvl w:val="0"/>
      </w:pPr>
      <w:r>
        <w:t>Содержание работ по монтажу системы:</w:t>
      </w:r>
    </w:p>
    <w:p w14:paraId="14BBD94E" w14:textId="77777777" w:rsidR="00FA66E7" w:rsidRDefault="00FA66E7" w:rsidP="00FA66E7">
      <w:pPr>
        <w:pStyle w:val="a7"/>
        <w:ind w:left="0"/>
        <w:jc w:val="both"/>
        <w:outlineLvl w:val="0"/>
      </w:pPr>
      <w:r>
        <w:t>- разработка и согласование с Заказчиком плана производства работ;</w:t>
      </w:r>
    </w:p>
    <w:p w14:paraId="058C3944" w14:textId="34918EAD" w:rsidR="00FA66E7" w:rsidRDefault="00FA66E7" w:rsidP="00FA66E7">
      <w:pPr>
        <w:pStyle w:val="a7"/>
        <w:ind w:left="0"/>
        <w:jc w:val="both"/>
        <w:outlineLvl w:val="0"/>
      </w:pPr>
      <w:r>
        <w:t>- выполнение монтажных работ в соответствии с</w:t>
      </w:r>
      <w:r w:rsidR="009E3AC8">
        <w:t xml:space="preserve"> разработанной Подрядчиком и согласованной с Заказчиком </w:t>
      </w:r>
      <w:r>
        <w:t>проектной рабочей документацией:</w:t>
      </w:r>
    </w:p>
    <w:p w14:paraId="6F7D9475" w14:textId="77777777" w:rsidR="00FA66E7" w:rsidRDefault="00FA66E7" w:rsidP="00FA66E7">
      <w:pPr>
        <w:pStyle w:val="a7"/>
        <w:ind w:left="0"/>
        <w:jc w:val="both"/>
        <w:outlineLvl w:val="0"/>
      </w:pPr>
      <w:r>
        <w:t>- монтаж кабельных линий системы пожарной сигнализации;</w:t>
      </w:r>
    </w:p>
    <w:p w14:paraId="5E5AA1A6" w14:textId="77777777" w:rsidR="00FA66E7" w:rsidRDefault="00FA66E7" w:rsidP="00FA66E7">
      <w:pPr>
        <w:pStyle w:val="a7"/>
        <w:ind w:left="0"/>
        <w:jc w:val="both"/>
        <w:outlineLvl w:val="0"/>
      </w:pPr>
      <w:r>
        <w:t>- монтаж оборудования системы пожарной сигнализации;</w:t>
      </w:r>
    </w:p>
    <w:p w14:paraId="55F84BD3" w14:textId="77777777" w:rsidR="00FA66E7" w:rsidRDefault="00FA66E7" w:rsidP="00FA66E7">
      <w:pPr>
        <w:pStyle w:val="a7"/>
        <w:ind w:left="0"/>
        <w:jc w:val="both"/>
        <w:outlineLvl w:val="0"/>
      </w:pPr>
      <w:r>
        <w:t>- монтаж кабельных линий системы оповещения и управления эвакуацией людей при пожаре;</w:t>
      </w:r>
    </w:p>
    <w:p w14:paraId="3181B46C" w14:textId="77777777" w:rsidR="00FA66E7" w:rsidRDefault="00FA66E7" w:rsidP="00FA66E7">
      <w:pPr>
        <w:pStyle w:val="a7"/>
        <w:ind w:left="0"/>
        <w:jc w:val="both"/>
        <w:outlineLvl w:val="0"/>
      </w:pPr>
      <w:r>
        <w:t>- монтаж оборудования системы оповещения и управления эвакуацией людей при пожаре;</w:t>
      </w:r>
    </w:p>
    <w:p w14:paraId="57F353BF" w14:textId="77777777" w:rsidR="00FA66E7" w:rsidRDefault="00FA66E7" w:rsidP="00FA66E7">
      <w:pPr>
        <w:pStyle w:val="a7"/>
        <w:ind w:left="0"/>
        <w:jc w:val="both"/>
        <w:outlineLvl w:val="0"/>
      </w:pPr>
      <w:r>
        <w:t>- установка специализированного программного обеспечения;</w:t>
      </w:r>
    </w:p>
    <w:p w14:paraId="2CE0AF4A" w14:textId="77777777" w:rsidR="00FA66E7" w:rsidRDefault="00FA66E7" w:rsidP="00FA66E7">
      <w:pPr>
        <w:pStyle w:val="a7"/>
        <w:ind w:left="0"/>
        <w:jc w:val="both"/>
        <w:outlineLvl w:val="0"/>
      </w:pPr>
      <w:r>
        <w:t>- программирование, настройка систем;</w:t>
      </w:r>
    </w:p>
    <w:p w14:paraId="42B168BF" w14:textId="77777777" w:rsidR="00FA66E7" w:rsidRDefault="00FA66E7" w:rsidP="00FA66E7">
      <w:pPr>
        <w:pStyle w:val="a7"/>
        <w:ind w:left="0"/>
        <w:jc w:val="both"/>
        <w:outlineLvl w:val="0"/>
      </w:pPr>
      <w:r>
        <w:t>- пусконаладочные работы;</w:t>
      </w:r>
    </w:p>
    <w:p w14:paraId="2B0C5070" w14:textId="77777777" w:rsidR="00FA66E7" w:rsidRDefault="00FA66E7" w:rsidP="00FA66E7">
      <w:pPr>
        <w:pStyle w:val="a7"/>
        <w:ind w:left="0"/>
        <w:jc w:val="both"/>
        <w:outlineLvl w:val="0"/>
      </w:pPr>
      <w:r>
        <w:t>- тестирование систем;</w:t>
      </w:r>
    </w:p>
    <w:p w14:paraId="1276A57E" w14:textId="77777777" w:rsidR="00FA66E7" w:rsidRDefault="00FA66E7" w:rsidP="00FA66E7">
      <w:pPr>
        <w:pStyle w:val="a7"/>
        <w:ind w:left="0"/>
        <w:jc w:val="both"/>
        <w:outlineLvl w:val="0"/>
      </w:pPr>
      <w:r>
        <w:t>- оформление исполнительной документации;</w:t>
      </w:r>
    </w:p>
    <w:p w14:paraId="6CB78D37" w14:textId="77777777" w:rsidR="00FA66E7" w:rsidRDefault="00FA66E7" w:rsidP="00FA66E7">
      <w:pPr>
        <w:pStyle w:val="a7"/>
        <w:ind w:left="0"/>
        <w:jc w:val="both"/>
        <w:outlineLvl w:val="0"/>
      </w:pPr>
      <w:r>
        <w:t>- сдача систем в эксплуатацию.</w:t>
      </w:r>
    </w:p>
    <w:p w14:paraId="47C4EE4F" w14:textId="70FDCD40" w:rsidR="00FA66E7" w:rsidRDefault="00BC489C" w:rsidP="00FA66E7">
      <w:pPr>
        <w:jc w:val="both"/>
        <w:rPr>
          <w:rFonts w:eastAsia="SimSun"/>
          <w:b/>
          <w:bCs/>
          <w:lang w:eastAsia="hi-IN" w:bidi="hi-IN"/>
        </w:rPr>
      </w:pPr>
      <w:r>
        <w:rPr>
          <w:rFonts w:eastAsia="SimSun"/>
          <w:b/>
          <w:lang w:eastAsia="hi-IN" w:bidi="hi-IN"/>
        </w:rPr>
        <w:t>5</w:t>
      </w:r>
      <w:r w:rsidR="00FA66E7">
        <w:rPr>
          <w:rFonts w:eastAsia="SimSun"/>
          <w:b/>
          <w:lang w:eastAsia="hi-IN" w:bidi="hi-IN"/>
        </w:rPr>
        <w:t>.</w:t>
      </w:r>
      <w:r w:rsidR="00FA66E7">
        <w:rPr>
          <w:rFonts w:eastAsia="SimSu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8F717B3" w14:textId="57E8DD79" w:rsidR="00FA66E7" w:rsidRDefault="00BC489C" w:rsidP="00FA66E7">
      <w:pPr>
        <w:jc w:val="both"/>
        <w:rPr>
          <w:rFonts w:eastAsia="SimSun"/>
          <w:b/>
          <w:bCs/>
          <w:lang w:eastAsia="hi-IN" w:bidi="hi-IN"/>
        </w:rPr>
      </w:pPr>
      <w:r>
        <w:rPr>
          <w:rFonts w:eastAsia="SimSun"/>
          <w:lang w:eastAsia="hi-IN" w:bidi="hi-IN"/>
        </w:rPr>
        <w:t>5</w:t>
      </w:r>
      <w:r w:rsidR="00FA66E7">
        <w:rPr>
          <w:rFonts w:eastAsia="SimSun"/>
          <w:lang w:eastAsia="hi-IN" w:bidi="hi-IN"/>
        </w:rPr>
        <w:t>.</w:t>
      </w:r>
      <w:r w:rsidR="00FA66E7">
        <w:rPr>
          <w:rFonts w:eastAsia="SimSun"/>
          <w:bCs/>
          <w:lang w:eastAsia="hi-IN" w:bidi="hi-IN"/>
        </w:rPr>
        <w:t xml:space="preserve">1. Работы должны быть выполнены в соответствии с </w:t>
      </w:r>
      <w:r w:rsidR="00FA66E7">
        <w:rPr>
          <w:rFonts w:eastAsia="SimSun"/>
          <w:lang w:eastAsia="hi-IN" w:bidi="hi-IN"/>
        </w:rPr>
        <w:t>документацией</w:t>
      </w:r>
      <w:r w:rsidR="009E3AC8">
        <w:rPr>
          <w:rFonts w:eastAsia="SimSun"/>
          <w:lang w:eastAsia="hi-IN" w:bidi="hi-IN"/>
        </w:rPr>
        <w:t xml:space="preserve">, </w:t>
      </w:r>
      <w:r w:rsidR="00FA66E7">
        <w:rPr>
          <w:rFonts w:eastAsia="SimSu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A552769" w14:textId="77777777" w:rsidR="00FA66E7" w:rsidRPr="007D2F2A" w:rsidRDefault="00FA66E7" w:rsidP="00FA66E7">
      <w:pPr>
        <w:jc w:val="both"/>
        <w:rPr>
          <w:rFonts w:eastAsia="SimSun"/>
          <w:bCs/>
          <w:lang w:eastAsia="hi-IN" w:bidi="hi-IN"/>
        </w:rPr>
      </w:pPr>
      <w:r w:rsidRPr="007D2F2A">
        <w:rPr>
          <w:rFonts w:eastAsia="SimSun"/>
          <w:bCs/>
          <w:lang w:eastAsia="hi-IN" w:bidi="hi-IN"/>
        </w:rPr>
        <w:t>- Федеральный закон №52-ФЗ от 30.03.99г. «О санитарно-эпидемиологическом благополучии населения (с изменениями)»;</w:t>
      </w:r>
    </w:p>
    <w:p w14:paraId="5FD5CADF" w14:textId="77777777" w:rsidR="00FA66E7" w:rsidRPr="007D2F2A" w:rsidRDefault="00FA66E7" w:rsidP="00FA66E7">
      <w:pPr>
        <w:jc w:val="both"/>
        <w:rPr>
          <w:rFonts w:eastAsia="SimSun"/>
          <w:bCs/>
          <w:lang w:eastAsia="hi-IN" w:bidi="hi-IN"/>
        </w:rPr>
      </w:pPr>
      <w:r w:rsidRPr="007D2F2A">
        <w:rPr>
          <w:rFonts w:eastAsia="SimSun"/>
          <w:bCs/>
          <w:lang w:eastAsia="hi-IN" w:bidi="hi-IN"/>
        </w:rPr>
        <w:t>- Градостроительный кодекс Российской Федерации (с изменениями);</w:t>
      </w:r>
    </w:p>
    <w:p w14:paraId="27D4C426" w14:textId="77777777" w:rsidR="00FA66E7" w:rsidRPr="007D2F2A" w:rsidRDefault="00FA66E7" w:rsidP="00FA66E7">
      <w:pPr>
        <w:jc w:val="both"/>
        <w:rPr>
          <w:rFonts w:eastAsia="SimSun"/>
          <w:bCs/>
          <w:lang w:eastAsia="hi-IN" w:bidi="hi-IN"/>
        </w:rPr>
      </w:pPr>
      <w:r w:rsidRPr="007D2F2A">
        <w:rPr>
          <w:rFonts w:eastAsia="SimSun"/>
          <w:bCs/>
          <w:lang w:eastAsia="hi-IN" w:bidi="hi-IN"/>
        </w:rPr>
        <w:t xml:space="preserve">- Организация и выполнение Работ должны соответствовать требованиям безопасности, установленным </w:t>
      </w:r>
      <w:r w:rsidRPr="007D2F2A">
        <w:rPr>
          <w:rFonts w:eastAsia="SimSun"/>
          <w:bCs/>
          <w:lang w:eastAsia="hi-IN" w:bidi="hi-IN"/>
        </w:rPr>
        <w:lastRenderedPageBreak/>
        <w:t>в следующих документах:</w:t>
      </w:r>
    </w:p>
    <w:p w14:paraId="2875B84D" w14:textId="77777777" w:rsidR="00FA66E7" w:rsidRPr="007D2F2A" w:rsidRDefault="00FA66E7" w:rsidP="00FA66E7">
      <w:pPr>
        <w:jc w:val="both"/>
        <w:rPr>
          <w:rFonts w:eastAsia="SimSun"/>
          <w:bCs/>
          <w:lang w:eastAsia="hi-IN" w:bidi="hi-IN"/>
        </w:rPr>
      </w:pPr>
      <w:r w:rsidRPr="007D2F2A">
        <w:rPr>
          <w:rFonts w:eastAsia="SimSun"/>
          <w:bCs/>
          <w:lang w:eastAsia="hi-IN" w:bidi="hi-IN"/>
        </w:rPr>
        <w:t>- Федеральный закон от 22.07.2008 № 123-ФЗ «Технический регламент о требованиях пожарной безопасности (последняя редакция)»;</w:t>
      </w:r>
    </w:p>
    <w:p w14:paraId="472C3B49" w14:textId="77777777" w:rsidR="00FA66E7" w:rsidRPr="007D2F2A" w:rsidRDefault="00FA66E7" w:rsidP="00FA66E7">
      <w:pPr>
        <w:jc w:val="both"/>
        <w:rPr>
          <w:rFonts w:eastAsia="SimSun"/>
          <w:bCs/>
          <w:lang w:eastAsia="hi-IN" w:bidi="hi-IN"/>
        </w:rPr>
      </w:pPr>
      <w:r w:rsidRPr="007D2F2A">
        <w:rPr>
          <w:rFonts w:eastAsia="SimSun"/>
          <w:bCs/>
          <w:lang w:eastAsia="hi-IN" w:bidi="hi-IN"/>
        </w:rPr>
        <w:t>- СНиП 12-03-2001 «Безопасность труда в строительстве Часть 1. Общие требования»;</w:t>
      </w:r>
    </w:p>
    <w:p w14:paraId="06EB4D25" w14:textId="77777777" w:rsidR="00FA66E7" w:rsidRPr="007D2F2A" w:rsidRDefault="00FA66E7" w:rsidP="00FA66E7">
      <w:pPr>
        <w:jc w:val="both"/>
        <w:rPr>
          <w:rFonts w:eastAsia="SimSun"/>
          <w:bCs/>
          <w:lang w:eastAsia="hi-IN" w:bidi="hi-IN"/>
        </w:rPr>
      </w:pPr>
      <w:r w:rsidRPr="007D2F2A">
        <w:rPr>
          <w:rFonts w:eastAsia="SimSun"/>
          <w:bCs/>
          <w:lang w:eastAsia="hi-IN" w:bidi="hi-IN"/>
        </w:rPr>
        <w:t>- СНиП 12-04-2002 «Безопасность труда в строительстве Часть 2. Строительное производство»;</w:t>
      </w:r>
    </w:p>
    <w:p w14:paraId="0BFB2DF5" w14:textId="77777777" w:rsidR="00FA66E7" w:rsidRPr="007D2F2A" w:rsidRDefault="00FA66E7" w:rsidP="00FA66E7">
      <w:pPr>
        <w:jc w:val="both"/>
        <w:rPr>
          <w:rFonts w:eastAsia="SimSun"/>
          <w:bCs/>
          <w:lang w:eastAsia="hi-IN" w:bidi="hi-IN"/>
        </w:rPr>
      </w:pPr>
      <w:r w:rsidRPr="007D2F2A">
        <w:rPr>
          <w:rFonts w:eastAsia="SimSun"/>
          <w:bCs/>
          <w:lang w:eastAsia="hi-IN" w:bidi="hi-IN"/>
        </w:rPr>
        <w:t>- Федеральный закон от 21.12.1994 № 69-ФЗ «О пожарной безопасности» (с Изменениями);</w:t>
      </w:r>
    </w:p>
    <w:p w14:paraId="3E1EB53E" w14:textId="77777777" w:rsidR="00FA66E7" w:rsidRPr="007D2F2A" w:rsidRDefault="00FA66E7" w:rsidP="00FA66E7">
      <w:pPr>
        <w:jc w:val="both"/>
        <w:rPr>
          <w:rFonts w:eastAsia="SimSun"/>
          <w:bCs/>
          <w:lang w:eastAsia="hi-IN" w:bidi="hi-IN"/>
        </w:rPr>
      </w:pPr>
      <w:r w:rsidRPr="007D2F2A">
        <w:rPr>
          <w:rFonts w:eastAsia="SimSun"/>
          <w:bCs/>
          <w:lang w:eastAsia="hi-IN" w:bidi="hi-IN"/>
        </w:rPr>
        <w:t>- Федеральный закон от 27.12.2002 № 184-ФЗ «О техническом регулировании» (с Изменениями);</w:t>
      </w:r>
    </w:p>
    <w:p w14:paraId="3B1BEFEE" w14:textId="77777777" w:rsidR="00FA66E7" w:rsidRPr="007D2F2A" w:rsidRDefault="00FA66E7" w:rsidP="00FA66E7">
      <w:pPr>
        <w:jc w:val="both"/>
        <w:rPr>
          <w:rFonts w:eastAsia="SimSun"/>
          <w:bCs/>
          <w:lang w:eastAsia="hi-IN" w:bidi="hi-IN"/>
        </w:rPr>
      </w:pPr>
      <w:r w:rsidRPr="007D2F2A">
        <w:rPr>
          <w:rFonts w:eastAsia="SimSun"/>
          <w:bCs/>
          <w:lang w:eastAsia="hi-IN" w:bidi="hi-IN"/>
        </w:rPr>
        <w:t>- Федеральным законом от 30.12.2009 № 384-ФЗ «Технический регламент о безопасности зданий и сооружений (с изменениями)»;</w:t>
      </w:r>
    </w:p>
    <w:p w14:paraId="39D04039" w14:textId="77777777" w:rsidR="00FA66E7" w:rsidRPr="007D2F2A" w:rsidRDefault="00FA66E7" w:rsidP="00FA66E7">
      <w:pPr>
        <w:jc w:val="both"/>
        <w:rPr>
          <w:rFonts w:eastAsia="SimSun"/>
          <w:bCs/>
          <w:lang w:eastAsia="hi-IN" w:bidi="hi-IN"/>
        </w:rPr>
      </w:pPr>
      <w:r w:rsidRPr="007D2F2A">
        <w:rPr>
          <w:rFonts w:eastAsia="SimSun"/>
          <w:bCs/>
          <w:lang w:eastAsia="hi-IN" w:bidi="hi-IN"/>
        </w:rPr>
        <w:t>- ГОСТ 12.1.004-91 «Система стандартов безопасности труда. Пожарная безопасность. Общие требования»;</w:t>
      </w:r>
    </w:p>
    <w:p w14:paraId="053C9E7B" w14:textId="6102127C" w:rsidR="00FA66E7" w:rsidRPr="007D2F2A" w:rsidRDefault="00FA66E7" w:rsidP="00FA66E7">
      <w:pPr>
        <w:jc w:val="both"/>
        <w:rPr>
          <w:rFonts w:eastAsia="SimSun"/>
          <w:bCs/>
          <w:lang w:eastAsia="hi-IN" w:bidi="hi-IN"/>
        </w:rPr>
      </w:pPr>
      <w:r w:rsidRPr="007D2F2A">
        <w:rPr>
          <w:rFonts w:eastAsia="SimSun"/>
          <w:bCs/>
          <w:lang w:eastAsia="hi-IN" w:bidi="hi-IN"/>
        </w:rPr>
        <w:t>- СП 118.13330.20</w:t>
      </w:r>
      <w:r w:rsidR="00F20957">
        <w:rPr>
          <w:rFonts w:eastAsia="SimSun"/>
          <w:bCs/>
          <w:lang w:eastAsia="hi-IN" w:bidi="hi-IN"/>
        </w:rPr>
        <w:t>2</w:t>
      </w:r>
      <w:r w:rsidRPr="007D2F2A">
        <w:rPr>
          <w:rFonts w:eastAsia="SimSun"/>
          <w:bCs/>
          <w:lang w:eastAsia="hi-IN" w:bidi="hi-IN"/>
        </w:rPr>
        <w:t>2 «Свод правил. Общественные здания и сооружения. Актуализированная редакция СНиП 31-06-2009»;</w:t>
      </w:r>
    </w:p>
    <w:p w14:paraId="01988B03" w14:textId="3CB5C1AF" w:rsidR="00FA66E7" w:rsidRPr="007D2F2A" w:rsidRDefault="00FA66E7" w:rsidP="00FA66E7">
      <w:pPr>
        <w:jc w:val="both"/>
        <w:rPr>
          <w:rFonts w:eastAsia="SimSun"/>
          <w:bCs/>
          <w:lang w:eastAsia="hi-IN" w:bidi="hi-IN"/>
        </w:rPr>
      </w:pPr>
      <w:r w:rsidRPr="007D2F2A">
        <w:rPr>
          <w:rFonts w:eastAsia="SimSun"/>
          <w:bCs/>
          <w:lang w:eastAsia="hi-IN" w:bidi="hi-IN"/>
        </w:rPr>
        <w:t xml:space="preserve">- </w:t>
      </w:r>
      <w:r w:rsidR="00F20957" w:rsidRPr="00F20957">
        <w:rPr>
          <w:rFonts w:eastAsia="SimSun"/>
          <w:bCs/>
          <w:lang w:eastAsia="hi-IN" w:bidi="hi-IN"/>
        </w:rPr>
        <w:t>СП 76.13330.2016. Свод правил электротехнические устройства</w:t>
      </w:r>
      <w:r w:rsidR="00F20957">
        <w:rPr>
          <w:rFonts w:eastAsia="SimSun"/>
          <w:bCs/>
          <w:lang w:eastAsia="hi-IN" w:bidi="hi-IN"/>
        </w:rPr>
        <w:t>;</w:t>
      </w:r>
    </w:p>
    <w:p w14:paraId="541999A7" w14:textId="77777777" w:rsidR="00FA66E7" w:rsidRPr="007D2F2A" w:rsidRDefault="00FA66E7" w:rsidP="00FA66E7">
      <w:pPr>
        <w:jc w:val="both"/>
        <w:rPr>
          <w:rFonts w:eastAsia="SimSun"/>
          <w:bCs/>
          <w:lang w:eastAsia="hi-IN" w:bidi="hi-IN"/>
        </w:rPr>
      </w:pPr>
      <w:r w:rsidRPr="007D2F2A">
        <w:rPr>
          <w:rFonts w:eastAsia="SimSun"/>
          <w:bCs/>
          <w:lang w:eastAsia="hi-IN" w:bidi="hi-IN"/>
        </w:rPr>
        <w:t>- Постановление Правительства РФ от 01.09.2021 N 1464 "Об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w:t>
      </w:r>
    </w:p>
    <w:p w14:paraId="752871E9" w14:textId="77777777" w:rsidR="00FA66E7" w:rsidRPr="007D2F2A" w:rsidRDefault="00FA66E7" w:rsidP="00FA66E7">
      <w:pPr>
        <w:jc w:val="both"/>
        <w:rPr>
          <w:rFonts w:eastAsia="SimSun"/>
          <w:bCs/>
          <w:lang w:eastAsia="hi-IN" w:bidi="hi-IN"/>
        </w:rPr>
      </w:pPr>
      <w:r w:rsidRPr="007D2F2A">
        <w:rPr>
          <w:rFonts w:eastAsia="SimSun"/>
          <w:bCs/>
          <w:lang w:eastAsia="hi-IN" w:bidi="hi-IN"/>
        </w:rPr>
        <w:t>- Правила противопожарного режима Российской Федерации утв. Постановлением Правительства РФ от 16 сентября 2020 года № 1479;</w:t>
      </w:r>
    </w:p>
    <w:p w14:paraId="2BA6DF92" w14:textId="77777777" w:rsidR="00FA66E7" w:rsidRPr="007D2F2A" w:rsidRDefault="00FA66E7" w:rsidP="00FA66E7">
      <w:pPr>
        <w:jc w:val="both"/>
        <w:rPr>
          <w:rFonts w:eastAsia="SimSun"/>
          <w:bCs/>
          <w:lang w:eastAsia="hi-IN" w:bidi="hi-IN"/>
        </w:rPr>
      </w:pPr>
      <w:r w:rsidRPr="007D2F2A">
        <w:rPr>
          <w:rFonts w:eastAsia="SimSun"/>
          <w:bCs/>
          <w:lang w:eastAsia="hi-IN" w:bidi="hi-IN"/>
        </w:rPr>
        <w:t>-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14:paraId="3BDBBB7B" w14:textId="77777777" w:rsidR="00FA66E7" w:rsidRPr="007D2F2A" w:rsidRDefault="00FA66E7" w:rsidP="00FA66E7">
      <w:pPr>
        <w:jc w:val="both"/>
        <w:rPr>
          <w:rFonts w:eastAsia="SimSun"/>
          <w:bCs/>
          <w:lang w:eastAsia="hi-IN" w:bidi="hi-IN"/>
        </w:rPr>
      </w:pPr>
      <w:r w:rsidRPr="007D2F2A">
        <w:rPr>
          <w:rFonts w:eastAsia="SimSun"/>
          <w:bCs/>
          <w:lang w:eastAsia="hi-IN" w:bidi="hi-IN"/>
        </w:rPr>
        <w:t>- РД 78.145-93 "Системы и комплексы охранной, пожарной и охранно-пожарной сигнализации. Правила производства и приемки работ".</w:t>
      </w:r>
    </w:p>
    <w:p w14:paraId="77B4368C" w14:textId="77777777" w:rsidR="00FA66E7" w:rsidRDefault="00FA66E7" w:rsidP="00FA66E7">
      <w:pPr>
        <w:jc w:val="both"/>
        <w:rPr>
          <w:rFonts w:eastAsia="SimSun"/>
          <w:bCs/>
          <w:lang w:eastAsia="hi-IN" w:bidi="hi-IN"/>
        </w:rPr>
      </w:pPr>
      <w:r>
        <w:rPr>
          <w:rFonts w:eastAsia="SimSun"/>
          <w:bCs/>
          <w:lang w:eastAsia="hi-IN" w:bidi="hi-IN"/>
        </w:rPr>
        <w:t>- СП 484.1 311 500.2020 «Системы пожарной сигнализации и автоматизация систем противопожарной защиты. Нормы и правила проектирования»;</w:t>
      </w:r>
    </w:p>
    <w:p w14:paraId="579D8308" w14:textId="77777777" w:rsidR="00FA66E7" w:rsidRDefault="00FA66E7" w:rsidP="00FA66E7">
      <w:pPr>
        <w:jc w:val="both"/>
        <w:rPr>
          <w:rFonts w:eastAsia="SimSun"/>
          <w:bCs/>
          <w:lang w:eastAsia="hi-IN" w:bidi="hi-IN"/>
        </w:rPr>
      </w:pPr>
      <w:r>
        <w:rPr>
          <w:rFonts w:eastAsia="SimSun"/>
          <w:bCs/>
          <w:lang w:eastAsia="hi-IN" w:bidi="hi-IN"/>
        </w:rPr>
        <w:t>- СП 485.1 311 500.2020 «Установки пожаротушения автоматические. Нормы и правила проектирования»;</w:t>
      </w:r>
    </w:p>
    <w:p w14:paraId="50B8B295" w14:textId="77777777" w:rsidR="00FA66E7" w:rsidRDefault="00FA66E7" w:rsidP="00FA66E7">
      <w:pPr>
        <w:jc w:val="both"/>
        <w:rPr>
          <w:rFonts w:eastAsia="SimSun"/>
          <w:bCs/>
          <w:lang w:eastAsia="hi-IN" w:bidi="hi-IN"/>
        </w:rPr>
      </w:pPr>
      <w:r>
        <w:rPr>
          <w:rFonts w:eastAsia="SimSun"/>
          <w:bCs/>
          <w:lang w:eastAsia="hi-IN" w:bidi="hi-IN"/>
        </w:rPr>
        <w:t>- СП 486.1 311 500.2020 «Перечень зданий, сооружений, помещений и оборудования, подлежащих защите автоматическими установками пожаротушения и системами пожарной сигнализации. Нормы и правила проектирования»;</w:t>
      </w:r>
    </w:p>
    <w:p w14:paraId="58A7CE73" w14:textId="77777777" w:rsidR="00FA66E7" w:rsidRDefault="00FA66E7" w:rsidP="00FA66E7">
      <w:pPr>
        <w:jc w:val="both"/>
        <w:rPr>
          <w:rFonts w:eastAsia="SimSun"/>
          <w:bCs/>
          <w:lang w:eastAsia="hi-IN" w:bidi="hi-IN"/>
        </w:rPr>
      </w:pPr>
      <w:r>
        <w:rPr>
          <w:rFonts w:eastAsia="SimSun"/>
          <w:bCs/>
          <w:lang w:eastAsia="hi-IN" w:bidi="hi-IN"/>
        </w:rPr>
        <w:t>- СП 6.13 130.2021 «Системы противопожарной защиты. Электрооборудование. Требования пожарной безопасности»;</w:t>
      </w:r>
    </w:p>
    <w:p w14:paraId="38A80731" w14:textId="77777777" w:rsidR="00FA66E7" w:rsidRDefault="00FA66E7" w:rsidP="00FA66E7">
      <w:pPr>
        <w:jc w:val="both"/>
        <w:rPr>
          <w:rFonts w:eastAsia="SimSun"/>
          <w:bCs/>
          <w:lang w:eastAsia="hi-IN" w:bidi="hi-IN"/>
        </w:rPr>
      </w:pPr>
      <w:r>
        <w:rPr>
          <w:rFonts w:eastAsia="SimSun"/>
          <w:bCs/>
          <w:lang w:eastAsia="hi-IN" w:bidi="hi-IN"/>
        </w:rPr>
        <w:t>- СП 10.13 130.2020 «Системы противопожарной защиты. Внутренний противопожарный водопровод. Требования пожарной безопасности»;</w:t>
      </w:r>
    </w:p>
    <w:p w14:paraId="2128AE7B" w14:textId="77777777" w:rsidR="00FA66E7" w:rsidRDefault="00FA66E7" w:rsidP="00FA66E7">
      <w:pPr>
        <w:jc w:val="both"/>
        <w:rPr>
          <w:rFonts w:eastAsia="SimSun"/>
          <w:bCs/>
          <w:lang w:eastAsia="hi-IN" w:bidi="hi-IN"/>
        </w:rPr>
      </w:pPr>
      <w:r>
        <w:rPr>
          <w:rFonts w:eastAsia="SimSun"/>
          <w:bCs/>
          <w:lang w:eastAsia="hi-IN" w:bidi="hi-IN"/>
        </w:rPr>
        <w:t>- Выбор электрических проводов и кабелей, способы их прокладки для организации шлейфов и соединительных линий пожарной сигнализации должен производиться в соответствии с требованиями ГОСТ 31565-2012, ГОСТ Р 53325, СП 6.13 130.2021 «Системы противопожарной защиты. Электрооборудование. Требования пожарной безопасности»;</w:t>
      </w:r>
    </w:p>
    <w:p w14:paraId="30BA69B2" w14:textId="77777777" w:rsidR="00FA66E7" w:rsidRDefault="00FA66E7" w:rsidP="00FA66E7">
      <w:pPr>
        <w:jc w:val="both"/>
        <w:rPr>
          <w:rFonts w:eastAsia="SimSun"/>
          <w:bCs/>
          <w:lang w:eastAsia="hi-IN" w:bidi="hi-IN"/>
        </w:rPr>
      </w:pPr>
      <w:r w:rsidRPr="007D2F2A">
        <w:rPr>
          <w:rFonts w:eastAsia="SimSun"/>
          <w:bCs/>
          <w:lang w:eastAsia="hi-IN" w:bidi="hi-IN"/>
        </w:rPr>
        <w:t>- И иные 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39845A2E" w14:textId="77777777" w:rsidR="0041140E" w:rsidRDefault="0041140E" w:rsidP="00FA66E7">
      <w:pPr>
        <w:jc w:val="both"/>
        <w:rPr>
          <w:rFonts w:eastAsia="SimSun"/>
          <w:bCs/>
          <w:lang w:eastAsia="hi-IN" w:bidi="hi-IN"/>
        </w:rPr>
      </w:pPr>
    </w:p>
    <w:p w14:paraId="1CE03941" w14:textId="4D181427" w:rsidR="0041140E" w:rsidRPr="0041140E" w:rsidRDefault="0041140E" w:rsidP="0041140E">
      <w:pPr>
        <w:jc w:val="both"/>
        <w:rPr>
          <w:rFonts w:eastAsia="SimSun"/>
          <w:bCs/>
          <w:i/>
          <w:iCs/>
          <w:lang w:eastAsia="hi-IN" w:bidi="hi-IN"/>
        </w:rPr>
      </w:pPr>
      <w:r w:rsidRPr="0041140E">
        <w:rPr>
          <w:rFonts w:eastAsia="SimSun"/>
          <w:bCs/>
          <w:i/>
          <w:iCs/>
          <w:lang w:eastAsia="hi-IN" w:bidi="hi-IN"/>
        </w:rPr>
        <w:t xml:space="preserve">В случае наличия ссылок на недействующие или замененные ГОСТы, ОСТы, ТУ, СНиП – требования, установленные в отмененных нормативных документах, не применяются. Участникам закупки при выполнении </w:t>
      </w:r>
      <w:r>
        <w:rPr>
          <w:rFonts w:eastAsia="SimSun"/>
          <w:bCs/>
          <w:i/>
          <w:iCs/>
          <w:lang w:eastAsia="hi-IN" w:bidi="hi-IN"/>
        </w:rPr>
        <w:t>работ</w:t>
      </w:r>
      <w:r w:rsidRPr="0041140E">
        <w:rPr>
          <w:rFonts w:eastAsia="SimSun"/>
          <w:bCs/>
          <w:i/>
          <w:iCs/>
          <w:lang w:eastAsia="hi-IN" w:bidi="hi-IN"/>
        </w:rPr>
        <w:t xml:space="preserve"> необходимо руководствоваться ГОСТами, ОСТами, ТУ, СНиП, вступившими в силу взамен отмененных.</w:t>
      </w:r>
    </w:p>
    <w:p w14:paraId="64C4C40E" w14:textId="77777777" w:rsidR="0041140E" w:rsidRDefault="0041140E" w:rsidP="00FA66E7">
      <w:pPr>
        <w:jc w:val="both"/>
        <w:rPr>
          <w:rFonts w:eastAsia="SimSun"/>
          <w:bCs/>
          <w:lang w:eastAsia="hi-IN" w:bidi="hi-IN"/>
        </w:rPr>
      </w:pPr>
    </w:p>
    <w:p w14:paraId="7A75904D" w14:textId="66D787CD" w:rsidR="00FA66E7" w:rsidRDefault="00BC489C" w:rsidP="00FA66E7">
      <w:pPr>
        <w:pStyle w:val="a7"/>
        <w:ind w:left="0"/>
        <w:jc w:val="both"/>
        <w:outlineLvl w:val="0"/>
        <w:rPr>
          <w:b/>
          <w:bCs/>
        </w:rPr>
      </w:pPr>
      <w:r>
        <w:rPr>
          <w:b/>
          <w:bCs/>
        </w:rPr>
        <w:t>6</w:t>
      </w:r>
      <w:r w:rsidR="00FA66E7">
        <w:rPr>
          <w:b/>
          <w:bCs/>
        </w:rPr>
        <w:t>.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0B2DD47C" w14:textId="09432ED1" w:rsidR="00FA66E7" w:rsidRDefault="00BC489C" w:rsidP="00FA66E7">
      <w:pPr>
        <w:pStyle w:val="a7"/>
        <w:ind w:left="0"/>
        <w:jc w:val="both"/>
        <w:outlineLvl w:val="0"/>
      </w:pPr>
      <w:r>
        <w:t>6</w:t>
      </w:r>
      <w:r w:rsidR="00FA66E7">
        <w:t xml:space="preserve">.1. Результатом работы являются выполненные работы по </w:t>
      </w:r>
      <w:r w:rsidR="009E3AC8" w:rsidRPr="009E3AC8">
        <w:t>разработке проектной документации и по монтажу пожарной сигнализации и системы оповещения в здании для стоянки автотранспортных сре</w:t>
      </w:r>
      <w:proofErr w:type="gramStart"/>
      <w:r w:rsidR="009E3AC8" w:rsidRPr="009E3AC8">
        <w:t>дств с п</w:t>
      </w:r>
      <w:proofErr w:type="gramEnd"/>
      <w:r w:rsidR="009E3AC8" w:rsidRPr="009E3AC8">
        <w:t>одключением к существующей системе</w:t>
      </w:r>
      <w:r w:rsidR="00FA66E7" w:rsidRPr="00215528">
        <w:t>,</w:t>
      </w:r>
      <w:r w:rsidR="00FA66E7">
        <w:t xml:space="preserve"> приведенной в нормативно-техническое состояние, отвечающей требованиям технической и пожарной безопасности.</w:t>
      </w:r>
    </w:p>
    <w:p w14:paraId="783D4BEC" w14:textId="31204C07" w:rsidR="00FA66E7" w:rsidRDefault="00BC489C" w:rsidP="00FA66E7">
      <w:pPr>
        <w:pStyle w:val="a7"/>
        <w:ind w:left="0"/>
        <w:jc w:val="both"/>
        <w:outlineLvl w:val="0"/>
      </w:pPr>
      <w:r>
        <w:t>6</w:t>
      </w:r>
      <w:r w:rsidR="00FA66E7">
        <w:t xml:space="preserve">.2. Сдача результатов выполненных работ Подрядчиком и приемка их Заказчиком оформляется </w:t>
      </w:r>
      <w:r w:rsidR="00FA66E7" w:rsidRPr="007D2F2A">
        <w:t>акт</w:t>
      </w:r>
      <w:r w:rsidR="00FA66E7">
        <w:t>ом</w:t>
      </w:r>
      <w:r w:rsidR="00FA66E7" w:rsidRPr="007D2F2A">
        <w:t xml:space="preserve"> сдачи-приемки выполненной работы</w:t>
      </w:r>
      <w:r w:rsidR="00FA66E7">
        <w:t>, подписанным обеими сторонами.</w:t>
      </w:r>
    </w:p>
    <w:p w14:paraId="62968362" w14:textId="1923708F" w:rsidR="00FA66E7" w:rsidRDefault="00BC489C" w:rsidP="00FA66E7">
      <w:pPr>
        <w:pStyle w:val="a7"/>
        <w:ind w:left="0"/>
        <w:jc w:val="both"/>
        <w:outlineLvl w:val="0"/>
      </w:pPr>
      <w:r>
        <w:t>6</w:t>
      </w:r>
      <w:r w:rsidR="00FA66E7">
        <w:t>.3. По завершению работ Подрядчик должен предоставить Заказчику:</w:t>
      </w:r>
    </w:p>
    <w:p w14:paraId="79713268" w14:textId="77777777" w:rsidR="00215528" w:rsidRDefault="00215528" w:rsidP="00215528">
      <w:pPr>
        <w:numPr>
          <w:ilvl w:val="0"/>
          <w:numId w:val="1"/>
        </w:numPr>
      </w:pPr>
      <w:r>
        <w:t>проектная и рабочая документация;</w:t>
      </w:r>
    </w:p>
    <w:p w14:paraId="06A7A9BC" w14:textId="77777777" w:rsidR="00215528" w:rsidRDefault="00215528" w:rsidP="00215528">
      <w:pPr>
        <w:numPr>
          <w:ilvl w:val="0"/>
          <w:numId w:val="1"/>
        </w:numPr>
      </w:pPr>
      <w:r>
        <w:t>комплект рабочих чертежей с внесенными в них изменениями;</w:t>
      </w:r>
    </w:p>
    <w:p w14:paraId="69273EC7" w14:textId="77777777" w:rsidR="00215528" w:rsidRDefault="00215528" w:rsidP="00215528">
      <w:pPr>
        <w:numPr>
          <w:ilvl w:val="0"/>
          <w:numId w:val="1"/>
        </w:numPr>
      </w:pPr>
      <w:r>
        <w:lastRenderedPageBreak/>
        <w:t>сертификаты, технические паспорта или другие документы, удостоверяющие качество материалов, изделий и оборудования, применяемых при производстве монтажных работ;</w:t>
      </w:r>
    </w:p>
    <w:p w14:paraId="21A03BF3" w14:textId="77777777" w:rsidR="00215528" w:rsidRDefault="00215528" w:rsidP="00215528">
      <w:pPr>
        <w:numPr>
          <w:ilvl w:val="0"/>
          <w:numId w:val="1"/>
        </w:numPr>
      </w:pPr>
      <w:r>
        <w:t>Акт обследования;</w:t>
      </w:r>
    </w:p>
    <w:p w14:paraId="1B28A316" w14:textId="77777777" w:rsidR="00215528" w:rsidRDefault="00215528" w:rsidP="00215528">
      <w:pPr>
        <w:numPr>
          <w:ilvl w:val="0"/>
          <w:numId w:val="1"/>
        </w:numPr>
      </w:pPr>
      <w:r>
        <w:t>Акт об окончании монтажных работ</w:t>
      </w:r>
    </w:p>
    <w:p w14:paraId="01053340" w14:textId="77777777" w:rsidR="00215528" w:rsidRDefault="00215528" w:rsidP="00215528">
      <w:pPr>
        <w:numPr>
          <w:ilvl w:val="0"/>
          <w:numId w:val="1"/>
        </w:numPr>
      </w:pPr>
      <w:r>
        <w:t>Акт об окончании пусконаладочных работ</w:t>
      </w:r>
    </w:p>
    <w:p w14:paraId="3F8BD0D4" w14:textId="77777777" w:rsidR="00215528" w:rsidRDefault="00215528" w:rsidP="00215528">
      <w:pPr>
        <w:numPr>
          <w:ilvl w:val="0"/>
          <w:numId w:val="1"/>
        </w:numPr>
      </w:pPr>
      <w:r>
        <w:t>Ведомость смонтированного оборудования</w:t>
      </w:r>
    </w:p>
    <w:p w14:paraId="3777DD76" w14:textId="2AC45803" w:rsidR="00FA66E7" w:rsidRPr="00FA66E7" w:rsidRDefault="00215528" w:rsidP="00215528">
      <w:pPr>
        <w:numPr>
          <w:ilvl w:val="0"/>
          <w:numId w:val="1"/>
        </w:numPr>
      </w:pPr>
      <w:r>
        <w:t>Акт о приемке технических средств сигнализации в эксплуатацию</w:t>
      </w:r>
      <w:r w:rsidR="00FA66E7">
        <w:t>.</w:t>
      </w:r>
    </w:p>
    <w:p w14:paraId="7F6FCAEC" w14:textId="7F5643F9" w:rsidR="00FA66E7" w:rsidRDefault="00BC489C" w:rsidP="00FA66E7">
      <w:pPr>
        <w:pStyle w:val="a7"/>
        <w:ind w:left="0"/>
        <w:jc w:val="both"/>
        <w:outlineLvl w:val="0"/>
        <w:rPr>
          <w:b/>
          <w:bCs/>
        </w:rPr>
      </w:pPr>
      <w:r>
        <w:rPr>
          <w:b/>
          <w:bCs/>
        </w:rPr>
        <w:t>7</w:t>
      </w:r>
      <w:r w:rsidR="00FA66E7">
        <w:rPr>
          <w:b/>
          <w:bCs/>
        </w:rPr>
        <w:t>. Требования по объёму гарантий качества работ</w:t>
      </w:r>
    </w:p>
    <w:p w14:paraId="7EC8BE36" w14:textId="1859F45B" w:rsidR="00FA66E7" w:rsidRDefault="00BC489C" w:rsidP="00FA66E7">
      <w:pPr>
        <w:pStyle w:val="a7"/>
        <w:ind w:left="0"/>
        <w:jc w:val="both"/>
        <w:outlineLvl w:val="0"/>
      </w:pPr>
      <w:r>
        <w:t>7</w:t>
      </w:r>
      <w:r w:rsidR="00FA66E7">
        <w:t>.1.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76360ED5" w14:textId="71A83B04" w:rsidR="00FA66E7" w:rsidRDefault="00BC489C" w:rsidP="00FA66E7">
      <w:pPr>
        <w:pStyle w:val="a7"/>
        <w:ind w:left="0"/>
        <w:jc w:val="both"/>
        <w:outlineLvl w:val="0"/>
      </w:pPr>
      <w:r>
        <w:t>7</w:t>
      </w:r>
      <w:r w:rsidR="00FA66E7">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12E3ECE7" w14:textId="65AEF206" w:rsidR="00FA66E7" w:rsidRDefault="00BC489C" w:rsidP="00FA66E7">
      <w:pPr>
        <w:pStyle w:val="a7"/>
        <w:ind w:left="0"/>
        <w:jc w:val="both"/>
        <w:outlineLvl w:val="0"/>
      </w:pPr>
      <w:r>
        <w:t>7</w:t>
      </w:r>
      <w:r w:rsidR="00FA66E7">
        <w:t>.3.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4D042692" w14:textId="0C2CB2F5" w:rsidR="00FA66E7" w:rsidRDefault="00BC489C" w:rsidP="00FA66E7">
      <w:pPr>
        <w:pStyle w:val="a7"/>
        <w:ind w:left="0"/>
        <w:jc w:val="both"/>
        <w:outlineLvl w:val="0"/>
      </w:pPr>
      <w:r>
        <w:t>7</w:t>
      </w:r>
      <w:r w:rsidR="00FA66E7">
        <w:t>.4.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334881E9" w14:textId="3086CAE1" w:rsidR="00FA66E7" w:rsidRDefault="00BC489C" w:rsidP="00FA66E7">
      <w:pPr>
        <w:pStyle w:val="a7"/>
        <w:ind w:left="0"/>
        <w:jc w:val="both"/>
        <w:outlineLvl w:val="0"/>
      </w:pPr>
      <w:r>
        <w:t>7</w:t>
      </w:r>
      <w:r w:rsidR="00FA66E7">
        <w:t>.5.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7FAC9D6F" w14:textId="368A71F3" w:rsidR="00FA66E7" w:rsidRDefault="00BC489C" w:rsidP="00FA66E7">
      <w:pPr>
        <w:pStyle w:val="a7"/>
        <w:ind w:left="0"/>
        <w:jc w:val="both"/>
        <w:outlineLvl w:val="0"/>
      </w:pPr>
      <w:r>
        <w:t>7</w:t>
      </w:r>
      <w:r w:rsidR="00FA66E7">
        <w:t>.6.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1C20AAB4" w14:textId="2096BB72" w:rsidR="00FA66E7" w:rsidRDefault="00BC489C" w:rsidP="00FA66E7">
      <w:pPr>
        <w:pStyle w:val="a7"/>
        <w:ind w:left="0"/>
        <w:jc w:val="both"/>
        <w:outlineLvl w:val="0"/>
      </w:pPr>
      <w:r>
        <w:t>7</w:t>
      </w:r>
      <w:r w:rsidR="00FA66E7">
        <w:t>.7.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C418D24" w14:textId="48B8C238" w:rsidR="00FA66E7" w:rsidRDefault="00BC489C" w:rsidP="00FA66E7">
      <w:pPr>
        <w:pStyle w:val="a7"/>
        <w:ind w:left="0"/>
        <w:jc w:val="both"/>
        <w:outlineLvl w:val="0"/>
      </w:pPr>
      <w:r>
        <w:t>7</w:t>
      </w:r>
      <w:r w:rsidR="00FA66E7">
        <w:t>.8.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69D05812" w14:textId="55BD0698" w:rsidR="00FA66E7" w:rsidRDefault="00BC489C" w:rsidP="00FA66E7">
      <w:pPr>
        <w:pStyle w:val="a7"/>
        <w:ind w:left="0"/>
        <w:jc w:val="both"/>
        <w:outlineLvl w:val="0"/>
      </w:pPr>
      <w:r>
        <w:t>7</w:t>
      </w:r>
      <w:r w:rsidR="00FA66E7">
        <w:t>.9. Подрядчик несет ответственность перед Заказчиком за допущенные отступления от требований настоящего Технического задания.</w:t>
      </w:r>
    </w:p>
    <w:p w14:paraId="78CF9B01" w14:textId="18AA508A" w:rsidR="00FA66E7" w:rsidRDefault="00BC489C" w:rsidP="00FA66E7">
      <w:pPr>
        <w:pStyle w:val="a7"/>
        <w:ind w:left="0"/>
        <w:jc w:val="both"/>
        <w:outlineLvl w:val="0"/>
      </w:pPr>
      <w:r>
        <w:t>7</w:t>
      </w:r>
      <w:r w:rsidR="00FA66E7">
        <w:t>.10.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F7A67DA" w14:textId="372DEB6E" w:rsidR="00FA66E7" w:rsidRDefault="00BC489C" w:rsidP="00FA66E7">
      <w:pPr>
        <w:pStyle w:val="a7"/>
        <w:ind w:left="0"/>
        <w:jc w:val="both"/>
        <w:outlineLvl w:val="0"/>
      </w:pPr>
      <w:r>
        <w:t>7</w:t>
      </w:r>
      <w:bookmarkStart w:id="1" w:name="_GoBack"/>
      <w:bookmarkEnd w:id="1"/>
      <w:r w:rsidR="00FA66E7">
        <w:t>.11. В соответствии с условиями Договора гарантийный срок на выполненные работы –</w:t>
      </w:r>
      <w:r w:rsidR="00215528">
        <w:t xml:space="preserve"> составляет</w:t>
      </w:r>
      <w:r w:rsidR="00FA66E7">
        <w:t xml:space="preserve"> не </w:t>
      </w:r>
      <w:r w:rsidR="00FA66E7">
        <w:rPr>
          <w:highlight w:val="yellow"/>
        </w:rPr>
        <w:t>менее 24 (двадцати четырех) месяцев</w:t>
      </w:r>
      <w:r w:rsidR="00FA66E7">
        <w:t xml:space="preserve"> </w:t>
      </w:r>
      <w:proofErr w:type="gramStart"/>
      <w:r w:rsidR="00FA66E7">
        <w:t>с даты подписания</w:t>
      </w:r>
      <w:proofErr w:type="gramEnd"/>
      <w:r w:rsidR="00FA66E7">
        <w:t xml:space="preserve"> итогового </w:t>
      </w:r>
      <w:r w:rsidR="00FA66E7" w:rsidRPr="007D2F2A">
        <w:t>акта сдачи-приемки выполненной работы</w:t>
      </w:r>
      <w:r w:rsidR="00FA66E7">
        <w:t>.</w:t>
      </w:r>
    </w:p>
    <w:p w14:paraId="770607A3" w14:textId="77777777" w:rsidR="009930A2" w:rsidRPr="00FA66E7" w:rsidRDefault="009930A2" w:rsidP="00FA66E7"/>
    <w:p w14:paraId="3D5FFFC3" w14:textId="77777777" w:rsidR="00D12B53" w:rsidRPr="00FA66E7" w:rsidRDefault="00D12B53" w:rsidP="00FA66E7"/>
    <w:p w14:paraId="26E3A5F2" w14:textId="77777777" w:rsidR="00D12B53" w:rsidRPr="00FA66E7" w:rsidRDefault="00D12B53" w:rsidP="00FA66E7"/>
    <w:sectPr w:rsidR="00D12B53" w:rsidRPr="00FA66E7" w:rsidSect="00FA66E7">
      <w:pgSz w:w="11906" w:h="16838"/>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31C1C"/>
    <w:multiLevelType w:val="hybridMultilevel"/>
    <w:tmpl w:val="FD1C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D303CC"/>
    <w:multiLevelType w:val="multilevel"/>
    <w:tmpl w:val="B9BC1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58"/>
    <w:rsid w:val="00215528"/>
    <w:rsid w:val="00286584"/>
    <w:rsid w:val="00351F58"/>
    <w:rsid w:val="0041140E"/>
    <w:rsid w:val="004619AB"/>
    <w:rsid w:val="009930A2"/>
    <w:rsid w:val="009E3AC8"/>
    <w:rsid w:val="00A3784B"/>
    <w:rsid w:val="00BC489C"/>
    <w:rsid w:val="00BF16D3"/>
    <w:rsid w:val="00C25054"/>
    <w:rsid w:val="00C27B9C"/>
    <w:rsid w:val="00D12B53"/>
    <w:rsid w:val="00EF418A"/>
    <w:rsid w:val="00F20957"/>
    <w:rsid w:val="00F67F92"/>
    <w:rsid w:val="00F835BE"/>
    <w:rsid w:val="00FA6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51F58"/>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8">
    <w:name w:val="heading 8"/>
    <w:basedOn w:val="a"/>
    <w:link w:val="80"/>
    <w:uiPriority w:val="1"/>
    <w:qFormat/>
    <w:rsid w:val="00351F58"/>
    <w:pPr>
      <w:outlineLvl w:val="7"/>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1"/>
    <w:rsid w:val="00351F58"/>
    <w:rPr>
      <w:rFonts w:ascii="Times New Roman" w:eastAsia="Times New Roman" w:hAnsi="Times New Roman" w:cs="Times New Roman"/>
      <w:b/>
      <w:bCs/>
      <w:sz w:val="26"/>
      <w:szCs w:val="26"/>
      <w:lang w:eastAsia="ru-RU" w:bidi="ru-RU"/>
    </w:rPr>
  </w:style>
  <w:style w:type="table" w:customStyle="1" w:styleId="TableNormal">
    <w:name w:val="Table Normal"/>
    <w:uiPriority w:val="2"/>
    <w:semiHidden/>
    <w:unhideWhenUsed/>
    <w:qFormat/>
    <w:rsid w:val="00351F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51F58"/>
    <w:rPr>
      <w:sz w:val="26"/>
      <w:szCs w:val="26"/>
    </w:rPr>
  </w:style>
  <w:style w:type="character" w:customStyle="1" w:styleId="a4">
    <w:name w:val="Основной текст Знак"/>
    <w:basedOn w:val="a0"/>
    <w:link w:val="a3"/>
    <w:uiPriority w:val="1"/>
    <w:rsid w:val="00351F58"/>
    <w:rPr>
      <w:rFonts w:ascii="Times New Roman" w:eastAsia="Times New Roman" w:hAnsi="Times New Roman" w:cs="Times New Roman"/>
      <w:sz w:val="26"/>
      <w:szCs w:val="26"/>
      <w:lang w:eastAsia="ru-RU" w:bidi="ru-RU"/>
    </w:rPr>
  </w:style>
  <w:style w:type="paragraph" w:customStyle="1" w:styleId="TableParagraph">
    <w:name w:val="Table Paragraph"/>
    <w:basedOn w:val="a"/>
    <w:uiPriority w:val="1"/>
    <w:qFormat/>
    <w:rsid w:val="00351F58"/>
    <w:rPr>
      <w:rFonts w:ascii="Arial" w:eastAsia="Arial" w:hAnsi="Arial" w:cs="Arial"/>
    </w:rPr>
  </w:style>
  <w:style w:type="paragraph" w:styleId="a5">
    <w:name w:val="Balloon Text"/>
    <w:basedOn w:val="a"/>
    <w:link w:val="a6"/>
    <w:uiPriority w:val="99"/>
    <w:semiHidden/>
    <w:unhideWhenUsed/>
    <w:rsid w:val="00351F58"/>
    <w:rPr>
      <w:rFonts w:ascii="Tahoma" w:hAnsi="Tahoma" w:cs="Tahoma"/>
      <w:sz w:val="16"/>
      <w:szCs w:val="16"/>
    </w:rPr>
  </w:style>
  <w:style w:type="character" w:customStyle="1" w:styleId="a6">
    <w:name w:val="Текст выноски Знак"/>
    <w:basedOn w:val="a0"/>
    <w:link w:val="a5"/>
    <w:uiPriority w:val="99"/>
    <w:semiHidden/>
    <w:rsid w:val="00351F58"/>
    <w:rPr>
      <w:rFonts w:ascii="Tahoma" w:eastAsia="Times New Roman" w:hAnsi="Tahoma" w:cs="Tahoma"/>
      <w:sz w:val="16"/>
      <w:szCs w:val="16"/>
      <w:lang w:eastAsia="ru-RU" w:bidi="ru-RU"/>
    </w:rPr>
  </w:style>
  <w:style w:type="paragraph" w:styleId="a7">
    <w:name w:val="List Paragraph"/>
    <w:basedOn w:val="a"/>
    <w:uiPriority w:val="34"/>
    <w:qFormat/>
    <w:rsid w:val="00FA66E7"/>
    <w:pPr>
      <w:ind w:left="720"/>
      <w:contextualSpacing/>
    </w:pPr>
  </w:style>
  <w:style w:type="character" w:styleId="a8">
    <w:name w:val="Hyperlink"/>
    <w:basedOn w:val="a0"/>
    <w:uiPriority w:val="99"/>
    <w:unhideWhenUsed/>
    <w:rsid w:val="004619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51F58"/>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8">
    <w:name w:val="heading 8"/>
    <w:basedOn w:val="a"/>
    <w:link w:val="80"/>
    <w:uiPriority w:val="1"/>
    <w:qFormat/>
    <w:rsid w:val="00351F58"/>
    <w:pPr>
      <w:outlineLvl w:val="7"/>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1"/>
    <w:rsid w:val="00351F58"/>
    <w:rPr>
      <w:rFonts w:ascii="Times New Roman" w:eastAsia="Times New Roman" w:hAnsi="Times New Roman" w:cs="Times New Roman"/>
      <w:b/>
      <w:bCs/>
      <w:sz w:val="26"/>
      <w:szCs w:val="26"/>
      <w:lang w:eastAsia="ru-RU" w:bidi="ru-RU"/>
    </w:rPr>
  </w:style>
  <w:style w:type="table" w:customStyle="1" w:styleId="TableNormal">
    <w:name w:val="Table Normal"/>
    <w:uiPriority w:val="2"/>
    <w:semiHidden/>
    <w:unhideWhenUsed/>
    <w:qFormat/>
    <w:rsid w:val="00351F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51F58"/>
    <w:rPr>
      <w:sz w:val="26"/>
      <w:szCs w:val="26"/>
    </w:rPr>
  </w:style>
  <w:style w:type="character" w:customStyle="1" w:styleId="a4">
    <w:name w:val="Основной текст Знак"/>
    <w:basedOn w:val="a0"/>
    <w:link w:val="a3"/>
    <w:uiPriority w:val="1"/>
    <w:rsid w:val="00351F58"/>
    <w:rPr>
      <w:rFonts w:ascii="Times New Roman" w:eastAsia="Times New Roman" w:hAnsi="Times New Roman" w:cs="Times New Roman"/>
      <w:sz w:val="26"/>
      <w:szCs w:val="26"/>
      <w:lang w:eastAsia="ru-RU" w:bidi="ru-RU"/>
    </w:rPr>
  </w:style>
  <w:style w:type="paragraph" w:customStyle="1" w:styleId="TableParagraph">
    <w:name w:val="Table Paragraph"/>
    <w:basedOn w:val="a"/>
    <w:uiPriority w:val="1"/>
    <w:qFormat/>
    <w:rsid w:val="00351F58"/>
    <w:rPr>
      <w:rFonts w:ascii="Arial" w:eastAsia="Arial" w:hAnsi="Arial" w:cs="Arial"/>
    </w:rPr>
  </w:style>
  <w:style w:type="paragraph" w:styleId="a5">
    <w:name w:val="Balloon Text"/>
    <w:basedOn w:val="a"/>
    <w:link w:val="a6"/>
    <w:uiPriority w:val="99"/>
    <w:semiHidden/>
    <w:unhideWhenUsed/>
    <w:rsid w:val="00351F58"/>
    <w:rPr>
      <w:rFonts w:ascii="Tahoma" w:hAnsi="Tahoma" w:cs="Tahoma"/>
      <w:sz w:val="16"/>
      <w:szCs w:val="16"/>
    </w:rPr>
  </w:style>
  <w:style w:type="character" w:customStyle="1" w:styleId="a6">
    <w:name w:val="Текст выноски Знак"/>
    <w:basedOn w:val="a0"/>
    <w:link w:val="a5"/>
    <w:uiPriority w:val="99"/>
    <w:semiHidden/>
    <w:rsid w:val="00351F58"/>
    <w:rPr>
      <w:rFonts w:ascii="Tahoma" w:eastAsia="Times New Roman" w:hAnsi="Tahoma" w:cs="Tahoma"/>
      <w:sz w:val="16"/>
      <w:szCs w:val="16"/>
      <w:lang w:eastAsia="ru-RU" w:bidi="ru-RU"/>
    </w:rPr>
  </w:style>
  <w:style w:type="paragraph" w:styleId="a7">
    <w:name w:val="List Paragraph"/>
    <w:basedOn w:val="a"/>
    <w:uiPriority w:val="34"/>
    <w:qFormat/>
    <w:rsid w:val="00FA66E7"/>
    <w:pPr>
      <w:ind w:left="720"/>
      <w:contextualSpacing/>
    </w:pPr>
  </w:style>
  <w:style w:type="character" w:styleId="a8">
    <w:name w:val="Hyperlink"/>
    <w:basedOn w:val="a0"/>
    <w:uiPriority w:val="99"/>
    <w:unhideWhenUsed/>
    <w:rsid w:val="004619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776593">
      <w:bodyDiv w:val="1"/>
      <w:marLeft w:val="0"/>
      <w:marRight w:val="0"/>
      <w:marTop w:val="0"/>
      <w:marBottom w:val="0"/>
      <w:divBdr>
        <w:top w:val="none" w:sz="0" w:space="0" w:color="auto"/>
        <w:left w:val="none" w:sz="0" w:space="0" w:color="auto"/>
        <w:bottom w:val="none" w:sz="0" w:space="0" w:color="auto"/>
        <w:right w:val="none" w:sz="0" w:space="0" w:color="auto"/>
      </w:divBdr>
    </w:div>
    <w:div w:id="1461266417">
      <w:bodyDiv w:val="1"/>
      <w:marLeft w:val="0"/>
      <w:marRight w:val="0"/>
      <w:marTop w:val="0"/>
      <w:marBottom w:val="0"/>
      <w:divBdr>
        <w:top w:val="none" w:sz="0" w:space="0" w:color="auto"/>
        <w:left w:val="none" w:sz="0" w:space="0" w:color="auto"/>
        <w:bottom w:val="none" w:sz="0" w:space="0" w:color="auto"/>
        <w:right w:val="none" w:sz="0" w:space="0" w:color="auto"/>
      </w:divBdr>
      <w:divsChild>
        <w:div w:id="91085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4</Pages>
  <Words>1596</Words>
  <Characters>9103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YrustPNIVodopad</dc:creator>
  <dc:description>DOC-MARKER-3y6px0kYjwcQErmA3XgPJA</dc:description>
  <cp:lastModifiedBy>YrustPNIVodopad</cp:lastModifiedBy>
  <cp:revision>9</cp:revision>
  <dcterms:created xsi:type="dcterms:W3CDTF">2026-05-04T08:04:00Z</dcterms:created>
  <dcterms:modified xsi:type="dcterms:W3CDTF">2026-05-13T13:31:00Z</dcterms:modified>
</cp:coreProperties>
</file>