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24226798" w14:textId="3C0B2C22" w:rsidR="00B9693D" w:rsidRDefault="005265B1" w:rsidP="006844AE">
      <w:pPr>
        <w:jc w:val="center"/>
        <w:rPr>
          <w:rFonts w:eastAsia="Calibri"/>
          <w:b/>
          <w:bCs/>
          <w:sz w:val="23"/>
          <w:szCs w:val="23"/>
        </w:rPr>
      </w:pPr>
      <w:r w:rsidRPr="00F867B7">
        <w:rPr>
          <w:rFonts w:eastAsia="Calibri"/>
          <w:b/>
          <w:bCs/>
          <w:sz w:val="23"/>
          <w:szCs w:val="23"/>
        </w:rPr>
        <w:t>Договор №</w:t>
      </w:r>
    </w:p>
    <w:p w14:paraId="4160DC85" w14:textId="77777777" w:rsidR="002855B6" w:rsidRDefault="002855B6" w:rsidP="005D75B4">
      <w:pPr>
        <w:rPr>
          <w:rFonts w:eastAsia="Calibri"/>
          <w:b/>
          <w:bCs/>
          <w:sz w:val="23"/>
          <w:szCs w:val="23"/>
        </w:rPr>
      </w:pPr>
    </w:p>
    <w:p w14:paraId="2CA51E66" w14:textId="53E9B1FA" w:rsidR="00622678" w:rsidRDefault="005B48B5" w:rsidP="005B48B5">
      <w:pPr>
        <w:spacing w:after="120"/>
        <w:rPr>
          <w:rFonts w:eastAsia="Calibri"/>
          <w:sz w:val="23"/>
          <w:szCs w:val="23"/>
        </w:rPr>
      </w:pPr>
      <w:r>
        <w:rPr>
          <w:rFonts w:eastAsia="Calibri"/>
          <w:sz w:val="23"/>
          <w:szCs w:val="23"/>
        </w:rPr>
        <w:t xml:space="preserve">            </w:t>
      </w:r>
      <w:r w:rsidR="005D75B4" w:rsidRPr="005D75B4">
        <w:rPr>
          <w:rFonts w:eastAsia="Calibri"/>
          <w:sz w:val="23"/>
          <w:szCs w:val="23"/>
        </w:rPr>
        <w:t xml:space="preserve"> </w:t>
      </w:r>
      <w:r>
        <w:rPr>
          <w:rFonts w:eastAsia="Calibri"/>
          <w:sz w:val="23"/>
          <w:szCs w:val="23"/>
        </w:rPr>
        <w:t xml:space="preserve"> </w:t>
      </w:r>
      <w:r w:rsidR="00FC7B93" w:rsidRPr="00FC7B93">
        <w:rPr>
          <w:rFonts w:eastAsia="Calibri"/>
          <w:sz w:val="23"/>
          <w:szCs w:val="23"/>
        </w:rPr>
        <w:t xml:space="preserve">г. </w:t>
      </w:r>
      <w:r w:rsidR="00BD2DFB">
        <w:rPr>
          <w:rFonts w:eastAsia="Calibri"/>
          <w:sz w:val="23"/>
          <w:szCs w:val="23"/>
        </w:rPr>
        <w:t xml:space="preserve">           </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81D238A" w14:textId="77777777" w:rsidR="00812A1D" w:rsidRPr="00F867B7" w:rsidRDefault="00812A1D" w:rsidP="005B48B5">
      <w:pPr>
        <w:spacing w:after="120"/>
        <w:rPr>
          <w:rFonts w:eastAsia="Calibri"/>
          <w:sz w:val="23"/>
          <w:szCs w:val="23"/>
        </w:rPr>
      </w:pPr>
    </w:p>
    <w:p w14:paraId="31AD90BF" w14:textId="6CA3F7BE" w:rsidR="005265B1" w:rsidRPr="00812A1D" w:rsidRDefault="00CE3CA4" w:rsidP="005D75B4">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B9693D" w:rsidRPr="00B9693D">
        <w:t xml:space="preserve"> </w:t>
      </w:r>
      <w:r w:rsidR="00B9693D" w:rsidRPr="00B9693D">
        <w:rPr>
          <w:sz w:val="22"/>
          <w:szCs w:val="22"/>
        </w:rPr>
        <w:t>АО "УТГ-1"</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2F858608" w:rsidR="005265B1" w:rsidRPr="009674EF" w:rsidRDefault="005265B1" w:rsidP="009674EF">
      <w:pPr>
        <w:jc w:val="both"/>
        <w:rPr>
          <w:b/>
          <w:bCs/>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9693D" w:rsidRPr="00B9693D">
        <w:t xml:space="preserve"> </w:t>
      </w:r>
      <w:r w:rsidR="00B9693D" w:rsidRPr="00B9693D">
        <w:rPr>
          <w:b/>
          <w:bCs/>
          <w:sz w:val="22"/>
          <w:szCs w:val="22"/>
        </w:rPr>
        <w:t xml:space="preserve">на поставку расходных материалов для КИПиА для </w:t>
      </w:r>
      <w:r w:rsidR="006844AE">
        <w:rPr>
          <w:b/>
          <w:bCs/>
          <w:sz w:val="22"/>
          <w:szCs w:val="22"/>
        </w:rPr>
        <w:t>подготовки к ОЗП</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5CDCE8BE"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84E5559" w14:textId="4DA63F41" w:rsidR="00E838D1" w:rsidRDefault="00E838D1" w:rsidP="00FC184D">
      <w:pPr>
        <w:shd w:val="clear" w:color="auto" w:fill="FFFFFF"/>
        <w:ind w:right="17"/>
        <w:rPr>
          <w:b/>
          <w:sz w:val="22"/>
          <w:szCs w:val="22"/>
        </w:rPr>
      </w:pPr>
    </w:p>
    <w:p w14:paraId="7DD583AA" w14:textId="032915E9" w:rsidR="00833786" w:rsidRDefault="00833786" w:rsidP="00FC184D">
      <w:pPr>
        <w:shd w:val="clear" w:color="auto" w:fill="FFFFFF"/>
        <w:ind w:right="17"/>
        <w:rPr>
          <w:b/>
          <w:sz w:val="22"/>
          <w:szCs w:val="22"/>
        </w:rPr>
      </w:pPr>
    </w:p>
    <w:p w14:paraId="5A3A3694" w14:textId="77777777" w:rsidR="00833786" w:rsidRDefault="00833786"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lastRenderedPageBreak/>
        <w:t>3.Срок и условия поставки</w:t>
      </w:r>
    </w:p>
    <w:p w14:paraId="187EFFD1" w14:textId="48B5B575" w:rsidR="008E4902" w:rsidRPr="008E4902"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6844AE">
        <w:rPr>
          <w:b/>
          <w:bCs/>
          <w:sz w:val="22"/>
          <w:szCs w:val="22"/>
        </w:rPr>
        <w:t>до 31.07.2026</w:t>
      </w:r>
      <w:r w:rsidR="00E90B46" w:rsidRPr="00E90B46">
        <w:rPr>
          <w:b/>
          <w:bCs/>
          <w:sz w:val="22"/>
          <w:szCs w:val="22"/>
        </w:rPr>
        <w:t>.</w:t>
      </w:r>
    </w:p>
    <w:bookmarkEnd w:id="0"/>
    <w:bookmarkEnd w:id="1"/>
    <w:p w14:paraId="72177294" w14:textId="7B61DDD6" w:rsidR="005265B1" w:rsidRPr="005B71B7"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End w:id="2"/>
      <w:r w:rsidR="00E90B46" w:rsidRPr="00E90B46">
        <w:t xml:space="preserve">629305, Россия, Ямало-Ненецкий АО, г. Новый Уренгой, ул. </w:t>
      </w:r>
      <w:r w:rsidR="006844AE">
        <w:t>Крайняя, д. 10.</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lastRenderedPageBreak/>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lastRenderedPageBreak/>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 xml:space="preserve">просрочки Заказчиком исполнения обязательства, </w:t>
      </w:r>
      <w:r w:rsidRPr="003114BF">
        <w:rPr>
          <w:rFonts w:eastAsia="SimSun"/>
          <w:sz w:val="22"/>
          <w:szCs w:val="22"/>
        </w:rPr>
        <w:lastRenderedPageBreak/>
        <w:t>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w:t>
      </w:r>
      <w:r w:rsidRPr="00F867B7">
        <w:rPr>
          <w:sz w:val="22"/>
          <w:szCs w:val="22"/>
        </w:rPr>
        <w:lastRenderedPageBreak/>
        <w:t>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0ABC3F42"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28175E">
        <w:rPr>
          <w:b/>
          <w:bCs/>
          <w:sz w:val="22"/>
          <w:szCs w:val="22"/>
        </w:rPr>
        <w:t>по месту нахождению заказчика.</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 xml:space="preserve">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w:t>
      </w:r>
      <w:r w:rsidRPr="00AC5D9E">
        <w:rPr>
          <w:bCs/>
          <w:sz w:val="22"/>
          <w:szCs w:val="22"/>
        </w:rPr>
        <w:lastRenderedPageBreak/>
        <w:t>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0A08CA78"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6844AE">
        <w:rPr>
          <w:b/>
          <w:sz w:val="22"/>
          <w:szCs w:val="22"/>
        </w:rPr>
        <w:t>декабря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w:t>
      </w:r>
      <w:r w:rsidRPr="00F867B7">
        <w:rPr>
          <w:sz w:val="22"/>
          <w:szCs w:val="22"/>
        </w:rPr>
        <w:lastRenderedPageBreak/>
        <w:t>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ЗАКАЗЧИК: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(подпись)                    (Фамилия И.О.)                                                                            (подпись)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2C9A6D20" w14:textId="3B593972" w:rsidR="00EE56F9" w:rsidRDefault="00EE56F9" w:rsidP="00D24107">
      <w:pPr>
        <w:autoSpaceDN w:val="0"/>
        <w:spacing w:after="120"/>
        <w:rPr>
          <w:sz w:val="22"/>
          <w:lang w:eastAsia="en-US"/>
        </w:rPr>
      </w:pPr>
    </w:p>
    <w:p w14:paraId="68FD9591" w14:textId="635FBCA2" w:rsidR="00EE56F9" w:rsidRDefault="00EE56F9" w:rsidP="00D24107">
      <w:pPr>
        <w:autoSpaceDN w:val="0"/>
        <w:spacing w:after="120"/>
        <w:rPr>
          <w:sz w:val="22"/>
          <w:lang w:eastAsia="en-US"/>
        </w:rPr>
      </w:pPr>
    </w:p>
    <w:p w14:paraId="6AD46E56" w14:textId="2DE0D690" w:rsidR="00EE56F9" w:rsidRDefault="00EE56F9" w:rsidP="00D24107">
      <w:pPr>
        <w:autoSpaceDN w:val="0"/>
        <w:spacing w:after="120"/>
        <w:rPr>
          <w:sz w:val="22"/>
          <w:lang w:eastAsia="en-US"/>
        </w:rPr>
      </w:pPr>
    </w:p>
    <w:p w14:paraId="25943119" w14:textId="412C5D4E" w:rsidR="008D2950" w:rsidRDefault="008D2950" w:rsidP="00D24107">
      <w:pPr>
        <w:autoSpaceDN w:val="0"/>
        <w:spacing w:after="120"/>
        <w:rPr>
          <w:sz w:val="22"/>
          <w:lang w:eastAsia="en-US"/>
        </w:rPr>
      </w:pPr>
    </w:p>
    <w:p w14:paraId="5E044F47" w14:textId="66623DBE" w:rsidR="008D2950" w:rsidRDefault="008D2950"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bookmarkEnd w:id="4"/>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6917" w14:textId="77777777" w:rsidR="00CF6DBC" w:rsidRDefault="00CF6DBC">
      <w:r>
        <w:separator/>
      </w:r>
    </w:p>
  </w:endnote>
  <w:endnote w:type="continuationSeparator" w:id="0">
    <w:p w14:paraId="62CFD83C" w14:textId="77777777" w:rsidR="00CF6DBC" w:rsidRDefault="00CF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1491" w14:textId="77777777" w:rsidR="00CF6DBC" w:rsidRDefault="00CF6DBC">
      <w:r>
        <w:separator/>
      </w:r>
    </w:p>
  </w:footnote>
  <w:footnote w:type="continuationSeparator" w:id="0">
    <w:p w14:paraId="71BAD24A" w14:textId="77777777" w:rsidR="00CF6DBC" w:rsidRDefault="00CF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44AE"/>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2773"/>
    <w:rsid w:val="00763A48"/>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93D"/>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4213"/>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DBC"/>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4EF5"/>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B46"/>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56F9"/>
    <w:rsid w:val="00EE612A"/>
    <w:rsid w:val="00EE612E"/>
    <w:rsid w:val="00EE61CF"/>
    <w:rsid w:val="00EE63F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2B4A5-F74B-4827-96D3-B0BECD99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4628</Words>
  <Characters>26383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DOC-MARKER-QcliCOY3y1ai8j3R5uX_tw</dc:description>
  <cp:lastModifiedBy>Сезнева Мария Геннадьевна</cp:lastModifiedBy>
  <cp:revision>6</cp:revision>
  <cp:lastPrinted>2026-05-13T11:29:00Z</cp:lastPrinted>
  <dcterms:created xsi:type="dcterms:W3CDTF">2026-05-08T09:30:00Z</dcterms:created>
  <dcterms:modified xsi:type="dcterms:W3CDTF">2026-05-14T06:07:00Z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